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the lowest and the only season below the leading-order value of 1 (</w:t>
      </w:r>
      <m:oMath>
        <m:r>
          <m:t>β</m:t>
        </m:r>
      </m:oMath>
      <w:r>
        <w:t xml:space="preserve"> </w:t>
      </w:r>
      <w:r>
        <w:t xml:space="preserve">= 0.81), consistent with weaker spring–neap covariance in summer;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w:t>
      </w:r>
      <w:r>
        <w:t xml:space="preserve"> </w:t>
      </w:r>
      <w:r>
        <w:t xml:space="preserve">funding acquisition, M.K. All authors have read and agreed to the published</w:t>
      </w:r>
      <w:r>
        <w:t xml:space="preserve"> </w:t>
      </w:r>
      <w:r>
        <w:t xml:space="preserve">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2026-06-16T06:29:11Z</dcterms:created>
  <dcterms:modified xsi:type="dcterms:W3CDTF">2026-06-16T06:29:11Z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