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Override PartName="/word/media/rId29.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Gauge-Free Predictive Model for the Tidal-Sampling Bias of Sun-Synchronous Satellites, Validated on Macrotidal Tidal Flats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Journal of Marine Science and Engineering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Landsat-8/9 and Sentinel-2 acquisitions at five tidal flats against hourly tide gauges. Sun-synchronous satellites sample only 60–80 % of the astronomical tidal envelope,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reproduced from the global FES2022b model alone (</w:t>
      </w:r>
      <m:oMath>
        <m:sSup>
          <m:e>
            <m:r>
              <m:t>R</m:t>
            </m:r>
          </m:e>
          <m:sup>
            <m:r>
              <m:t>2</m:t>
            </m:r>
          </m:sup>
        </m:sSup>
        <m:r>
          <m:rPr>
            <m:sty m:val="p"/>
          </m:rPr>
          <m:t>=</m:t>
        </m:r>
        <m:r>
          <m:t>0.983</m:t>
        </m:r>
      </m:oMath>
      <w:r>
        <w:t xml:space="preserve">), enabling a gauge-free correction — though the global model under-estimates the bias magnitude on resonant macrotidal coasts. The bias yields an elevation-domain RMSE of 0.36–1.09 m and unsampled intertidal bands up to 2.5 km wide; because all optical missions cluster near 10:30 local solar time, only phase-orthogonal radar (at a different local solar time)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p>
      <w:pPr>
        <w:pStyle w:val="BodyText"/>
      </w:pPr>
      <w:r>
        <w:rPr>
          <w:b/>
          <w:bCs/>
        </w:rPr>
        <w:t xml:space="preserve">Keywords:</w:t>
      </w:r>
      <w:r>
        <w:t xml:space="preserve"> </w:t>
      </w:r>
      <w:r>
        <w:t xml:space="preserve">tidal flat; intertidal DEM; waterline method; tidal aliasing; sun-synchronous orbit; amphidromic system</w:t>
      </w:r>
    </w:p>
    <w:bookmarkStart w:id="14" w:name="introduction"/>
    <w:p>
      <w:pPr>
        <w:pStyle w:val="Heading2"/>
      </w:pPr>
      <w:r>
        <w:t xml:space="preserve">1. Introduction</w:t>
      </w:r>
    </w:p>
    <w:bookmarkStart w:id="9"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9"/>
    <w:bookmarkStart w:id="10"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0"/>
    <w:bookmarkStart w:id="11" w:name="X11bde4e8259b88479e4da3f21efa0d3065be653"/>
    <w:p>
      <w:pPr>
        <w:pStyle w:val="Heading3"/>
      </w:pPr>
      <w:r>
        <w:t xml:space="preserve">1.3 Tidal aliasing: recognised qualitatively, not yet predictable</w:t>
      </w:r>
    </w:p>
    <w:p>
      <w:pPr>
        <w:pStyle w:val="FirstParagraph"/>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 incommensurate with the diurnal cycle: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1"/>
        </w:numPr>
      </w:pPr>
      <w:r>
        <w:rPr>
          <w:b/>
          <w:bCs/>
        </w:rPr>
        <w:t xml:space="preserve">Is the bias systematic and predictable, or noisy and idiosyncratic?</w:t>
      </w:r>
    </w:p>
    <w:p>
      <w:pPr>
        <w:pStyle w:val="Compact"/>
        <w:numPr>
          <w:ilvl w:val="0"/>
          <w:numId w:val="1001"/>
        </w:numPr>
      </w:pPr>
      <w:r>
        <w:rPr>
          <w:b/>
          <w:bCs/>
        </w:rPr>
        <w:t xml:space="preserve">How does the bias vary across regional amphidromic phase gradients?</w:t>
      </w:r>
    </w:p>
    <w:p>
      <w:pPr>
        <w:pStyle w:val="Compact"/>
        <w:numPr>
          <w:ilvl w:val="0"/>
          <w:numId w:val="1001"/>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west coast</w:t>
            </w:r>
          </w:p>
        </w:tc>
        <w:tc>
          <w:tcPr/>
          <w:p>
            <w:pPr>
              <w:pStyle w:val="Compact"/>
            </w:pPr>
            <w:r>
              <w:t xml:space="preserve">Landsat-5 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northwest coast</w:t>
            </w:r>
          </w:p>
        </w:tc>
        <w:tc>
          <w:tcPr/>
          <w:p>
            <w:pPr>
              <w:pStyle w:val="Compact"/>
            </w:pPr>
            <w:r>
              <w:t xml:space="preserve">TanDEM-X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northwest coast</w:t>
            </w:r>
          </w:p>
        </w:tc>
        <w:tc>
          <w:tcPr/>
          <w:p>
            <w:pPr>
              <w:pStyle w:val="Compact"/>
            </w:pPr>
            <w:r>
              <w:t xml:space="preserve">TanDEM-X (InSAR)</w:t>
            </w:r>
          </w:p>
        </w:tc>
        <w:tc>
          <w:tcPr/>
          <w:p>
            <w:pPr>
              <w:pStyle w:val="Compact"/>
            </w:pPr>
            <w:r>
              <w:t xml:space="preserve">InSAR phase</w:t>
            </w:r>
          </w:p>
        </w:tc>
        <w:tc>
          <w:tcPr/>
          <w:p>
            <w:pPr>
              <w:pStyle w:val="Compact"/>
            </w:pPr>
            <w:r>
              <w:t xml:space="preserve">Operational 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northwest coast</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w:t>
            </w:r>
          </w:p>
        </w:tc>
        <w:tc>
          <w:tcPr/>
          <w:p>
            <w:pPr>
              <w:pStyle w:val="Compact"/>
            </w:pPr>
            <w:r>
              <w:t xml:space="preserve">Taean Peninsula, west coast</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versus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Western + southern coasts (5 sites)</w:t>
            </w:r>
          </w:p>
        </w:tc>
        <w:tc>
          <w:tcPr/>
          <w:p>
            <w:pPr>
              <w:pStyle w:val="Compact"/>
            </w:pPr>
            <w:r>
              <w:rPr>
                <w:b/>
                <w:bCs/>
              </w:rPr>
              <w:t xml:space="preserve">L8/9 + S2 (metadata; 5,082 scenes, 2020–2024)</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distinguished by addressing the optical-waterline sampling bias analytically and</w:t>
      </w:r>
      <w:r>
        <w:t xml:space="preserve"> </w:t>
      </w:r>
      <w:r>
        <w:rPr>
          <w:i/>
          <w:iCs/>
        </w:rPr>
        <w:t xml:space="preserve">a priori</w:t>
      </w:r>
      <w:r>
        <w:t xml:space="preserve">; prior Korean works map a single-site DEM, or treat the bias empirically or in the altimetry (sea-level) domain.</w:t>
      </w:r>
    </w:p>
    <w:bookmarkEnd w:id="11"/>
    <w:bookmarkStart w:id="12"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2"/>
    <w:bookmarkStart w:id="13" w:name="contribution"/>
    <w:p>
      <w:pPr>
        <w:pStyle w:val="Heading3"/>
      </w:pPr>
      <w:r>
        <w:t xml:space="preserve">1.5 Contribution</w:t>
      </w:r>
    </w:p>
    <w:p>
      <w:pPr>
        <w:pStyle w:val="FirstParagraph"/>
      </w:pPr>
      <w:r>
        <w:t xml:space="preserve">Where the satellite tidal-sampling bias has so far been treated only diagnostically or empirically</w:t>
      </w:r>
      <w:r>
        <w:t xml:space="preserve"> </w:t>
      </w:r>
      <w:r>
        <w:t xml:space="preserve">[1,7–9,12,19,23–26]</w:t>
      </w:r>
      <w:r>
        <w:t xml:space="preserve">, this paper makes it</w:t>
      </w:r>
      <w:r>
        <w:t xml:space="preserve"> </w:t>
      </w:r>
      <w:r>
        <w:rPr>
          <w:i/>
          <w:iCs/>
        </w:rPr>
        <w:t xml:space="preserve">predictable</w:t>
      </w:r>
      <w:r>
        <w:t xml:space="preserve">: we derive and validate a closed-form, gauge-free model that turns a recognised sampling artefact into an</w:t>
      </w:r>
      <w:r>
        <w:t xml:space="preserve"> </w:t>
      </w:r>
      <w:r>
        <w:rPr>
          <w:i/>
          <w:iCs/>
        </w:rPr>
        <w:t xml:space="preserve">a priori</w:t>
      </w:r>
      <w:r>
        <w:t xml:space="preserve"> </w:t>
      </w:r>
      <w:r>
        <w:t xml:space="preserve">correction. Specifically, we present an end-to-end analysis that:</w:t>
      </w:r>
    </w:p>
    <w:p>
      <w:pPr>
        <w:numPr>
          <w:ilvl w:val="0"/>
          <w:numId w:val="1002"/>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2"/>
        </w:numPr>
      </w:pPr>
      <w:r>
        <w:t xml:space="preserve">shows that the model explains 98 % of the cross-site, cross-sensor variance and generalises to held-out sites with a root-mean-square error (RMSE) of 0.16 m, and that the slope excess (</w:t>
      </w:r>
      <m:oMath>
        <m:r>
          <m:t>β</m:t>
        </m:r>
        <m:r>
          <m:rPr>
            <m:sty m:val="p"/>
          </m:rPr>
          <m:t>=</m:t>
        </m:r>
        <m:r>
          <m:t>1.78</m:t>
        </m:r>
        <m:r>
          <m:rPr>
            <m:sty m:val="p"/>
          </m:rPr>
          <m:t>≠</m:t>
        </m:r>
        <m:r>
          <m:t>1</m:t>
        </m:r>
      </m:oMath>
      <w:r>
        <w:t xml:space="preserve">) quantitatively decomposes 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2"/>
        </w:numPr>
      </w:pPr>
      <w:r>
        <w:t xml:space="preserve">provides a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2"/>
        </w:numPr>
      </w:pPr>
      <w:r>
        <w:t xml:space="preserve">translates the tide-height bias into elevation-domain DEM errors via quantile mapping, yielding quantitative estimates of permanently unsampled intertidal bands (up to 2.5 km wide) and a physically grounded account of why empirically observed multi-sensor data-collection-window optima saturate at intermediate timescales (Section 5.3; Conclusions 4–6);</w:t>
      </w:r>
    </w:p>
    <w:p>
      <w:pPr>
        <w:numPr>
          <w:ilvl w:val="0"/>
          <w:numId w:val="1002"/>
        </w:numPr>
      </w:pPr>
      <w:r>
        <w:t xml:space="preserve">reproduces the fit from a global ocean tide model alone (FES2022b:</w:t>
      </w:r>
      <w:r>
        <w:t xml:space="preserve"> </w:t>
      </w:r>
      <m:oMath>
        <m:sSup>
          <m:e>
            <m:r>
              <m:t>R</m:t>
            </m:r>
          </m:e>
          <m:sup>
            <m:r>
              <m:t>2</m:t>
            </m:r>
          </m:sup>
        </m:sSup>
        <m:r>
          <m:rPr>
            <m:sty m:val="p"/>
          </m:rPr>
          <m:t>=</m:t>
        </m:r>
        <m:r>
          <m:t>0.983</m:t>
        </m:r>
      </m:oMath>
      <w:r>
        <w:t xml:space="preserve"> </w:t>
      </w:r>
      <w:r>
        <w:t xml:space="preserve">in a self-consistency check that supplies both the overpass-time tides and the comparison reference), indicating that the</w:t>
      </w:r>
      <w:r>
        <w:t xml:space="preserve"> </w:t>
      </w:r>
      <w:r>
        <w:rPr>
          <w:i/>
          <w:iCs/>
        </w:rPr>
        <w:t xml:space="preserve">a priori</w:t>
      </w:r>
      <w:r>
        <w:t xml:space="preserve"> </w:t>
      </w:r>
      <w:r>
        <w:t xml:space="preserve">correction can be computed without local tide-gauge data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 Although the validation is Korean, the model itself is site-independent: because every operational optical Earth-observation mission shares the same near-10:30 sun-synchronous overpass, the predicted bias and its gauge-free correction are expected to transfer to other macrotidal coasts (Section 4.8).</w:t>
      </w:r>
    </w:p>
    <w:p>
      <w:r>
        <w:pict>
          <v:rect style="width:0;height:1.5pt" o:hralign="center" o:hrstd="t" o:hr="t"/>
        </w:pict>
      </w:r>
    </w:p>
    <w:bookmarkEnd w:id="13"/>
    <w:bookmarkEnd w:id="14"/>
    <w:bookmarkStart w:id="21" w:name="study-area-and-data"/>
    <w:p>
      <w:pPr>
        <w:pStyle w:val="Heading2"/>
      </w:pPr>
      <w:r>
        <w:t xml:space="preserve">2. Study area and data</w:t>
      </w:r>
    </w:p>
    <w:bookmarkStart w:id="18" w:name="sites"/>
    <w:p>
      <w:pPr>
        <w:pStyle w:val="Heading3"/>
      </w:pPr>
      <w:r>
        <w:t xml:space="preserve">2.1 Sites</w:t>
      </w:r>
    </w:p>
    <w:p>
      <w:pPr>
        <w:pStyle w:val="FirstParagraph"/>
      </w:pPr>
      <w:r>
        <w:t xml:space="preserve">Five tidal flats along the western and southern Korean coast were chosen to span the full range of local tidal amplitudes and regional phase offsets (Figure 1; Table 2):</w:t>
      </w:r>
    </w:p>
    <w:p>
      <w:pPr>
        <w:pStyle w:val="Compact"/>
        <w:numPr>
          <w:ilvl w:val="0"/>
          <w:numId w:val="1003"/>
        </w:numPr>
      </w:pPr>
      <w:r>
        <w:rPr>
          <w:b/>
          <w:bCs/>
        </w:rPr>
        <w:t xml:space="preserve">Ganghwa-do</w:t>
      </w:r>
      <w:r>
        <w:t xml:space="preserve"> </w:t>
      </w:r>
      <w:r>
        <w:t xml:space="preserve">(mean spring range, 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3"/>
        </w:numPr>
      </w:pPr>
      <w:r>
        <w:rPr>
          <w:b/>
          <w:bCs/>
        </w:rPr>
        <w:t xml:space="preserve">Garorim Bay</w:t>
      </w:r>
      <w:r>
        <w:t xml:space="preserve"> </w:t>
      </w:r>
      <w:r>
        <w:t xml:space="preserve">(MSR</w:t>
      </w:r>
      <w:r>
        <w:t xml:space="preserve"> </w:t>
      </w:r>
      <m:oMath>
        <m:r>
          <m:rPr>
            <m:sty m:val="p"/>
          </m:rPr>
          <m:t>≈</m:t>
        </m:r>
      </m:oMath>
      <w:r>
        <w:t xml:space="preserve"> </w:t>
      </w:r>
      <w:r>
        <w:t xml:space="preserve">6 m): semi-enclosed bay fringed with tidal flats.</w:t>
      </w:r>
    </w:p>
    <w:p>
      <w:pPr>
        <w:pStyle w:val="Compact"/>
        <w:numPr>
          <w:ilvl w:val="0"/>
          <w:numId w:val="1003"/>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3"/>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3"/>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6" name="Picture"/>
            <a:graphic>
              <a:graphicData uri="http://schemas.openxmlformats.org/drawingml/2006/picture">
                <pic:pic>
                  <pic:nvPicPr>
                    <pic:cNvPr descr="figures/fig1_study_area.png" id="17" name="Picture"/>
                    <pic:cNvPicPr>
                      <a:picLocks noChangeArrowheads="1" noChangeAspect="1"/>
                    </pic:cNvPicPr>
                  </pic:nvPicPr>
                  <pic:blipFill>
                    <a:blip r:embed="rId15"/>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sign-reversing sampling bias. Inset: regional context.</w:t>
      </w:r>
    </w:p>
    <w:bookmarkEnd w:id="18"/>
    <w:bookmarkStart w:id="19"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19"/>
    <w:bookmarkStart w:id="20"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 metadata 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Hourly records (n)</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0"/>
    <w:bookmarkEnd w:id="21"/>
    <w:bookmarkStart w:id="28" w:name="materials-and-methods"/>
    <w:p>
      <w:pPr>
        <w:pStyle w:val="Heading2"/>
      </w:pPr>
      <w:r>
        <w:t xml:space="preserve">3. Materials and Methods</w:t>
      </w:r>
    </w:p>
    <w:bookmarkStart w:id="22"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4"/>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4"/>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4"/>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4"/>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4"/>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2"/>
    <w:bookmarkStart w:id="23"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5"/>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5"/>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5"/>
        </w:numPr>
      </w:pPr>
      <w:r>
        <w:t xml:space="preserve">Circular mean phase</w:t>
      </w:r>
      <w:r>
        <w:t xml:space="preserve"> </w:t>
      </w:r>
      <m:oMath>
        <m:acc>
          <m:accPr>
            <m:chr m:val="‾"/>
          </m:accPr>
          <m:e>
            <m:r>
              <m:t>θ</m:t>
            </m:r>
          </m:e>
        </m:acc>
      </m:oMath>
      <w:r>
        <w:t xml:space="preserve"> </w:t>
      </w:r>
      <w:r>
        <w:t xml:space="preserve">and circular standard deviation.</w:t>
      </w:r>
    </w:p>
    <w:bookmarkEnd w:id="23"/>
    <w:bookmarkStart w:id="24"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We fit</w:t>
      </w:r>
      <w:r>
        <w:t xml:space="preserve"> </w:t>
      </w:r>
      <m:oMath>
        <m:r>
          <m:t>β</m:t>
        </m:r>
      </m:oMath>
      <w:r>
        <w:t xml:space="preserve"> </w:t>
      </w:r>
      <w:r>
        <w:t xml:space="preserve">by ordinary least squares (OLS) on the 15 (site, sensor) pairs.</w:t>
      </w:r>
    </w:p>
    <w:bookmarkEnd w:id="24"/>
    <w:bookmarkStart w:id="25"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6"/>
        </w:numPr>
      </w:pPr>
      <w:r>
        <w:rPr>
          <w:b/>
          <w:bCs/>
        </w:rPr>
        <w:t xml:space="preserve">Annual</w:t>
      </w:r>
      <w:r>
        <w:t xml:space="preserve">: 5 fits, one per calendar year 2020–2024.</w:t>
      </w:r>
    </w:p>
    <w:p>
      <w:pPr>
        <w:pStyle w:val="Compact"/>
        <w:numPr>
          <w:ilvl w:val="0"/>
          <w:numId w:val="1006"/>
        </w:numPr>
      </w:pPr>
      <w:r>
        <w:rPr>
          <w:b/>
          <w:bCs/>
        </w:rPr>
        <w:t xml:space="preserve">Seasonal</w:t>
      </w:r>
      <w:r>
        <w:t xml:space="preserve">: 4 fits, one per DJF / MAM / JJA / SON.</w:t>
      </w:r>
    </w:p>
    <w:p>
      <w:pPr>
        <w:pStyle w:val="Compact"/>
        <w:numPr>
          <w:ilvl w:val="0"/>
          <w:numId w:val="1006"/>
        </w:numPr>
      </w:pPr>
      <w:r>
        <w:rPr>
          <w:b/>
          <w:bCs/>
        </w:rPr>
        <w:t xml:space="preserve">Sensor</w:t>
      </w:r>
      <w:r>
        <w:t xml:space="preserve">: 3 fits, one per L8 / L9 / S2.</w:t>
      </w:r>
    </w:p>
    <w:p>
      <w:pPr>
        <w:pStyle w:val="Compact"/>
        <w:numPr>
          <w:ilvl w:val="0"/>
          <w:numId w:val="1006"/>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5"/>
    <w:bookmarkStart w:id="26"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7"/>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7"/>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7"/>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 never 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6"/>
    <w:bookmarkStart w:id="27"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Because FES2022b supplies both the overpass-time tides and the comparison reference, this variant is an internal self-consistency check on a globally available model (the same model on both sides of the regression) rather than a test against independent ground truth; the only ground-truth comparison is FES-predicted versus KHOA-observed bias (Section 4.7), which matches in sign but under-estimates magnitude.</w:t>
      </w:r>
    </w:p>
    <w:p>
      <w:r>
        <w:pict>
          <v:rect style="width:0;height:1.5pt" o:hralign="center" o:hrstd="t" o:hr="t"/>
        </w:pict>
      </w:r>
    </w:p>
    <w:bookmarkEnd w:id="27"/>
    <w:bookmarkEnd w:id="28"/>
    <w:bookmarkStart w:id="58" w:name="results"/>
    <w:p>
      <w:pPr>
        <w:pStyle w:val="Heading2"/>
      </w:pPr>
      <w:r>
        <w:t xml:space="preserve">4. Results</w:t>
      </w:r>
    </w:p>
    <w:bookmarkStart w:id="35" w:name="X0c82a796cdb2af17ce808e01947aeebaf21ac06"/>
    <w:p>
      <w:pPr>
        <w:pStyle w:val="Heading3"/>
      </w:pPr>
      <w:r>
        <w:t xml:space="preserve">4.1 Cross-site tidal sampling distributions reveal a sign-reversing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 non-uniform relative to the reference. At the western sites (Ganghwa, Garorim, Gomso, Hampyeong), satellite samples are over-represented in the lower half of the elevation range and empty above 6–7 m KHOA datum (approximately the top 20 % of the histogram). At Suncheon Bay, the pattern is opposite: satellites over-sample the upper half of the range and miss the lowest 0.3–1 m. Figure S1 (CDF panels) reinforces the same finding in cumulative form.</w:t>
      </w:r>
    </w:p>
    <w:p>
      <w:pPr>
        <w:pStyle w:val="BodyText"/>
      </w:pPr>
      <w:r>
        <w:drawing>
          <wp:inline>
            <wp:extent cx="4907280" cy="2295340"/>
            <wp:effectExtent b="0" l="0" r="0" t="0"/>
            <wp:docPr descr="" title="" id="30" name="Picture"/>
            <a:graphic>
              <a:graphicData uri="http://schemas.openxmlformats.org/drawingml/2006/picture">
                <pic:pic>
                  <pic:nvPicPr>
                    <pic:cNvPr descr="figures/fig2_distribution_grid.png" id="31" name="Picture"/>
                    <pic:cNvPicPr>
                      <a:picLocks noChangeArrowheads="1" noChangeAspect="1"/>
                    </pic:cNvPicPr>
                  </pic:nvPicPr>
                  <pic:blipFill>
                    <a:blip r:embed="rId29"/>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versus the 5-year KHOA reference (grey filled). Each panel is a site; colours mark sensors (L8 = orange, L9 = red, S2 = purple). The mirror-image pattern between Suncheon Bay (under-samples low tide) and the four western sites (under-sample high tide) is the visual signature of the sign-reversing bias quantified throughout Section 4.</w:t>
      </w:r>
    </w:p>
    <w:p>
      <w:pPr>
        <w:pStyle w:val="BodyText"/>
      </w:pPr>
      <w:r>
        <w:t xml:space="preserve">Quantitatively, the aliasing metrics (Section 3.1) confirm the sign reversal (Figure 3, Table 3). The four western sites all exhibit a high-tide offset of 21–28 % and a low offset near 0 %; Suncheon Bay alone shows a low-tide offset of 26–36 % with a high-tide offset of 0–5 %. Mean tide-height bias is −0.5 to −1.2 m at the western sites and +0.3 m at Suncheon Bay, a change of sign across the regional amphidromic gradient.</w:t>
      </w:r>
    </w:p>
    <w:p>
      <w:pPr>
        <w:pStyle w:val="BodyText"/>
      </w:pPr>
      <w:r>
        <w:drawing>
          <wp:inline>
            <wp:extent cx="5067300" cy="1379962"/>
            <wp:effectExtent b="0" l="0" r="0" t="0"/>
            <wp:docPr descr="" title="" id="33" name="Picture"/>
            <a:graphic>
              <a:graphicData uri="http://schemas.openxmlformats.org/drawingml/2006/picture">
                <pic:pic>
                  <pic:nvPicPr>
                    <pic:cNvPr descr="figures/fig3_bipolar_bias.png" id="34" name="Picture"/>
                    <pic:cNvPicPr>
                      <a:picLocks noChangeArrowheads="1" noChangeAspect="1"/>
                    </pic:cNvPicPr>
                  </pic:nvPicPr>
                  <pic:blipFill>
                    <a:blip r:embed="rId32"/>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offset</w:t>
            </w:r>
          </w:p>
        </w:tc>
        <w:tc>
          <w:tcPr/>
          <w:p>
            <w:pPr>
              <w:pStyle w:val="Compact"/>
            </w:pPr>
            <w:r>
              <w:rPr>
                <w:b/>
                <w:bCs/>
              </w:rPr>
              <w:t xml:space="preserve">Low offset</w:t>
            </w:r>
          </w:p>
        </w:tc>
        <w:tc>
          <w:tcPr/>
          <w:p>
            <w:pPr>
              <w:pStyle w:val="Compact"/>
            </w:pPr>
            <w:r>
              <w:rPr>
                <w:b/>
                <w:bCs/>
              </w:rPr>
              <w:t xml:space="preserve">Mean bias (m)</w:t>
            </w:r>
          </w:p>
        </w:tc>
      </w:tr>
      <w:tr>
        <w:tc>
          <w:tcPr/>
          <w:p>
            <w:pPr>
              <w:pStyle w:val="Compact"/>
            </w:pP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t xml:space="preserve">0.00</w:t>
            </w:r>
          </w:p>
        </w:tc>
        <w:tc>
          <w:tcPr/>
          <w:p>
            <w:pPr>
              <w:pStyle w:val="Compact"/>
            </w:pPr>
            <w:r>
              <w:t xml:space="preserve">0.27</w:t>
            </w:r>
          </w:p>
        </w:tc>
        <w:tc>
          <w:tcPr/>
          <w:p>
            <w:pPr>
              <w:pStyle w:val="Compact"/>
            </w:pPr>
            <w:r>
              <w:t xml:space="preserve">+0.29</w:t>
            </w:r>
          </w:p>
        </w:tc>
      </w:tr>
      <w:tr>
        <w:tc>
          <w:tcPr/>
          <w:p>
            <w:pPr>
              <w:pStyle w:val="Compact"/>
            </w:pP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t xml:space="preserve">0.36</w:t>
            </w:r>
          </w:p>
        </w:tc>
        <w:tc>
          <w:tcPr/>
          <w:p>
            <w:pPr>
              <w:pStyle w:val="Compact"/>
            </w:pPr>
            <w:r>
              <w:t xml:space="preserve">+0.39</w:t>
            </w:r>
          </w:p>
        </w:tc>
      </w:tr>
      <w:tr>
        <w:tc>
          <w:tcPr/>
          <w:p>
            <w:pPr>
              <w:pStyle w:val="Compact"/>
            </w:pP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Spread, high-tide offset and low-tide offset are dimensionless fractions of the reference tidal range (Section 3.1); n = cloud-screened scenes. Suncheon Bay differs in sign and structure from the western sites.</w:t>
      </w:r>
    </w:p>
    <w:bookmarkEnd w:id="35"/>
    <w:bookmarkStart w:id="39" w:name="X5b1504dccfbd75990b7869113c8d293452ee5ab"/>
    <w:p>
      <w:pPr>
        <w:pStyle w:val="Heading3"/>
      </w:pPr>
      <w:r>
        <w:t xml:space="preserve">4.2 The sign-reversing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the per-site tide-height-versus-phase scatter underlying this sign pattern is shown in Figure S5.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 only because the regional amphidromic system shifts the HW-LW timing.</w:t>
      </w:r>
    </w:p>
    <w:p>
      <w:pPr>
        <w:pStyle w:val="BodyText"/>
      </w:pPr>
      <w:r>
        <w:drawing>
          <wp:inline>
            <wp:extent cx="4800600" cy="1194106"/>
            <wp:effectExtent b="0" l="0" r="0" t="0"/>
            <wp:docPr descr="" title="" id="37" name="Picture"/>
            <a:graphic>
              <a:graphicData uri="http://schemas.openxmlformats.org/drawingml/2006/picture">
                <pic:pic>
                  <pic:nvPicPr>
                    <pic:cNvPr descr="figures/fig4_phase_polar.png" id="38" name="Picture"/>
                    <pic:cNvPicPr>
                      <a:picLocks noChangeArrowheads="1" noChangeAspect="1"/>
                    </pic:cNvPicPr>
                  </pic:nvPicPr>
                  <pic:blipFill>
                    <a:blip r:embed="rId36"/>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w:t>
      </w:r>
      <w:r>
        <w:t xml:space="preserve"> </w:t>
      </w:r>
      <m:oMath>
        <m:sSup>
          <m:e>
            <m:r>
              <m:t>180</m:t>
            </m:r>
          </m:e>
          <m:sup>
            <m:r>
              <m:rPr>
                <m:sty m:val="p"/>
              </m:rPr>
              <m:t>∘</m:t>
            </m:r>
          </m:sup>
        </m:sSup>
      </m:oMath>
      <w:r>
        <w:t xml:space="preserve"> </w:t>
      </w:r>
      <w:r>
        <w:t xml:space="preserve">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39"/>
    <w:bookmarkStart w:id="43"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&lt;</m:t>
          </m:r>
          <m:r>
            <m:t>0.001</m:t>
          </m:r>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t xml:space="preserve">Because the three sensors at each site share the same tide, gauge, and overpass window, the 15 (site, sensor) points are not fully independent; the effective sample size is the five sites. Aggregating to site means gives</w:t>
      </w:r>
      <w:r>
        <w:t xml:space="preserve"> </w:t>
      </w:r>
      <m:oMath>
        <m:r>
          <m:t>β</m:t>
        </m:r>
        <m:r>
          <m:rPr>
            <m:sty m:val="p"/>
          </m:rPr>
          <m:t>=</m:t>
        </m:r>
        <m:r>
          <m:t>1.83</m:t>
        </m:r>
      </m:oMath>
      <w:r>
        <w:t xml:space="preserve"> </w:t>
      </w:r>
      <w:r>
        <w:t xml:space="preserve">(</w:t>
      </w:r>
      <m:oMath>
        <m:sSup>
          <m:e>
            <m:r>
              <m:t>R</m:t>
            </m:r>
          </m:e>
          <m:sup>
            <m:r>
              <m:t>2</m:t>
            </m:r>
          </m:sup>
        </m:sSup>
        <m:r>
          <m:rPr>
            <m:sty m:val="p"/>
          </m:rPr>
          <m:t>=</m:t>
        </m:r>
        <m:r>
          <m:t>0.996</m:t>
        </m:r>
      </m:oMath>
      <w:r>
        <w:t xml:space="preserve">,</w:t>
      </w:r>
      <w:r>
        <w:t xml:space="preserve"> </w:t>
      </w:r>
      <m:oMath>
        <m:r>
          <m:t>p</m:t>
        </m:r>
        <m:r>
          <m:rPr>
            <m:sty m:val="p"/>
          </m:rPr>
          <m:t>≈</m:t>
        </m:r>
        <m:r>
          <m:t>1</m:t>
        </m:r>
        <m:r>
          <m:rPr>
            <m:sty m:val="p"/>
          </m:rPr>
          <m:t>×</m:t>
        </m:r>
        <m:sSup>
          <m:e>
            <m:r>
              <m:t>10</m:t>
            </m:r>
          </m:e>
          <m:sup>
            <m:r>
              <m:rPr>
                <m:sty m:val="p"/>
              </m:rPr>
              <m:t>−</m:t>
            </m:r>
            <m:r>
              <m:t>4</m:t>
            </m:r>
          </m:sup>
        </m:sSup>
      </m:oMath>
      <w:r>
        <w:t xml:space="preserve">,</w:t>
      </w:r>
      <w:r>
        <w:t xml:space="preserve"> </w:t>
      </w:r>
      <m:oMath>
        <m:r>
          <m:t>n</m:t>
        </m:r>
        <m:r>
          <m:rPr>
            <m:sty m:val="p"/>
          </m:rPr>
          <m:t>=</m:t>
        </m:r>
        <m:r>
          <m:t>5</m:t>
        </m:r>
      </m:oMath>
      <w:r>
        <w:t xml:space="preserve">), statistically indistinguishable from the pooled estimate, so we take the site-mean fit as the primary inference and read the pooled</w:t>
      </w:r>
      <w:r>
        <w:t xml:space="preserve"> </w:t>
      </w:r>
      <m:oMath>
        <m:r>
          <m:t>p</m:t>
        </m:r>
      </m:oMath>
      <w:r>
        <w:t xml:space="preserve">-value as anti-conservative; the leave-one-site-out test of Section 4.4 is the corresponding honest generalisation metric. Part of the high</w:t>
      </w:r>
      <w:r>
        <w:t xml:space="preserve"> </w:t>
      </w:r>
      <m:oMath>
        <m:sSup>
          <m:e>
            <m:r>
              <m:t>R</m:t>
            </m:r>
          </m:e>
          <m:sup>
            <m:r>
              <m:t>2</m:t>
            </m:r>
          </m:sup>
        </m:sSup>
      </m:oMath>
      <w:r>
        <w:t xml:space="preserve"> </w:t>
      </w:r>
      <w:r>
        <w:t xml:space="preserve">is structural, because the predictor</w:t>
      </w:r>
      <w:r>
        <w:t xml:space="preserve"> </w:t>
      </w:r>
      <m:oMath>
        <m:r>
          <m:t>A</m:t>
        </m:r>
        <m:r>
          <m:rPr>
            <m:sty m:val="p"/>
          </m:rPr>
          <m:t>⟨</m:t>
        </m:r>
        <m:r>
          <m:rPr>
            <m:sty m:val="p"/>
          </m:rPr>
          <m:t>cos</m:t>
        </m:r>
        <m:r>
          <m:t>θ</m:t>
        </m:r>
        <m:r>
          <m:rPr>
            <m:sty m:val="p"/>
          </m:rPr>
          <m:t>⟩</m:t>
        </m:r>
      </m:oMath>
      <w:r>
        <w:t xml:space="preserve"> </w:t>
      </w:r>
      <w:r>
        <w:t xml:space="preserve">is the first-order reconstruction of the same sampled tides that generate the bias; the non-circular evidence is therefore that the sign of</w:t>
      </w:r>
      <w:r>
        <w:t xml:space="preserve"> </w:t>
      </w:r>
      <m:oMath>
        <m:r>
          <m:rPr>
            <m:sty m:val="p"/>
          </m:rPr>
          <m:t>⟨</m:t>
        </m:r>
        <m:r>
          <m:rPr>
            <m:sty m:val="p"/>
          </m:rPr>
          <m:t>cos</m:t>
        </m:r>
        <m:r>
          <m:t>θ</m:t>
        </m:r>
        <m:r>
          <m:rPr>
            <m:sty m:val="p"/>
          </m:rPr>
          <m:t>⟩</m:t>
        </m:r>
      </m:oMath>
      <w:r>
        <w:t xml:space="preserve"> </w:t>
      </w:r>
      <w:r>
        <w:t xml:space="preserve">alone separates the negative-bias western sites from positive-bias Suncheon (corr</w:t>
      </w:r>
      <m:oMath>
        <m:r>
          <m:rPr>
            <m:sty m:val="p"/>
          </m:rPr>
          <m:t>(</m:t>
        </m:r>
        <m:r>
          <m:rPr>
            <m:sty m:val="p"/>
          </m:rPr>
          <m:t>⟨</m:t>
        </m:r>
        <m:r>
          <m:rPr>
            <m:sty m:val="p"/>
          </m:rPr>
          <m:t>cos</m:t>
        </m:r>
        <m:r>
          <m:t>θ</m:t>
        </m:r>
        <m:r>
          <m:rPr>
            <m:sty m:val="p"/>
          </m:rPr>
          <m:t>⟩</m:t>
        </m:r>
        <m:r>
          <m:rPr>
            <m:sty m:val="p"/>
          </m:rPr>
          <m:t>,</m:t>
        </m:r>
        <m:r>
          <m:rPr>
            <m:nor/>
            <m:sty m:val="p"/>
          </m:rPr>
          <m:t>bias</m:t>
        </m:r>
        <m:r>
          <m:rPr>
            <m:sty m:val="p"/>
          </m:rPr>
          <m:t>)</m:t>
        </m:r>
        <m:r>
          <m:rPr>
            <m:sty m:val="p"/>
          </m:rPr>
          <m:t>=</m:t>
        </m:r>
        <m:r>
          <m:t>0.94</m:t>
        </m:r>
      </m:oMath>
      <w:r>
        <w:t xml:space="preserve"> </w:t>
      </w:r>
      <w:r>
        <w:t xml:space="preserve">across the 15 points) together with the Suncheon sign reversal, and that the western-coast-only subset still yields</w:t>
      </w:r>
      <w:r>
        <w:t xml:space="preserve"> </w:t>
      </w:r>
      <m:oMath>
        <m:r>
          <m:t>β</m:t>
        </m:r>
        <m:r>
          <m:rPr>
            <m:sty m:val="p"/>
          </m:rPr>
          <m:t>=</m:t>
        </m:r>
        <m:r>
          <m:t>1.39</m:t>
        </m:r>
      </m:oMath>
      <w:r>
        <w:t xml:space="preserve"> </w:t>
      </w:r>
      <w:r>
        <w:t xml:space="preserve">(</w:t>
      </w:r>
      <m:oMath>
        <m:sSup>
          <m:e>
            <m:r>
              <m:t>R</m:t>
            </m:r>
          </m:e>
          <m:sup>
            <m:r>
              <m:t>2</m:t>
            </m:r>
          </m:sup>
        </m:sSup>
        <m:r>
          <m:rPr>
            <m:sty m:val="p"/>
          </m:rPr>
          <m:t>=</m:t>
        </m:r>
        <m:r>
          <m:t>0.91</m:t>
        </m:r>
      </m:oMath>
      <w:r>
        <w:t xml:space="preserve">).</w:t>
      </w:r>
    </w:p>
    <w:p>
      <w:pPr>
        <w:pStyle w:val="BodyText"/>
      </w:pPr>
      <w:r>
        <w:drawing>
          <wp:inline>
            <wp:extent cx="4267200" cy="2998985"/>
            <wp:effectExtent b="0" l="0" r="0" t="0"/>
            <wp:docPr descr="" title="" id="41" name="Picture"/>
            <a:graphic>
              <a:graphicData uri="http://schemas.openxmlformats.org/drawingml/2006/picture">
                <pic:pic>
                  <pic:nvPicPr>
                    <pic:cNvPr descr="figures/fig5_phase_bias_regression.png" id="42" name="Picture"/>
                    <pic:cNvPicPr>
                      <a:picLocks noChangeArrowheads="1" noChangeAspect="1"/>
                    </pic:cNvPicPr>
                  </pic:nvPicPr>
                  <pic:blipFill>
                    <a:blip r:embed="rId40"/>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(part of this</w:t>
      </w:r>
      <w:r>
        <w:t xml:space="preserve"> </w:t>
      </w:r>
      <m:oMath>
        <m:sSup>
          <m:e>
            <m:r>
              <m:t>R</m:t>
            </m:r>
          </m:e>
          <m:sup>
            <m:r>
              <m:t>2</m:t>
            </m:r>
          </m:sup>
        </m:sSup>
      </m:oMath>
      <w:r>
        <w:t xml:space="preserve"> </w:t>
      </w:r>
      <w:r>
        <w:t xml:space="preserve">is structural — the predictor reconstructs the sampled tides; see Section 4.3); the slope</w:t>
      </w:r>
      <w:r>
        <w:t xml:space="preserve"> </w:t>
      </w:r>
      <m:oMath>
        <m:r>
          <m:t>β</m:t>
        </m:r>
        <m:r>
          <m:rPr>
            <m:sty m:val="p"/>
          </m:rPr>
          <m:t>&gt;</m:t>
        </m:r>
        <m:r>
          <m:t>1</m:t>
        </m:r>
      </m:oMath>
      <w:r>
        <w:t xml:space="preserve"> </w:t>
      </w:r>
      <w:r>
        <w:t xml:space="preserve">is attributable to spring–neap covariance (Section 5.1).</w:t>
      </w:r>
    </w:p>
    <w:bookmarkEnd w:id="43"/>
    <w:bookmarkStart w:id="47"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8"/>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8"/>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the lowest and the only season below the leading-order value of 1 (</w:t>
      </w:r>
      <m:oMath>
        <m:r>
          <m:t>β</m:t>
        </m:r>
      </m:oMath>
      <w:r>
        <w:t xml:space="preserve"> </w:t>
      </w:r>
      <w:r>
        <w:t xml:space="preserve">= 0.81), consistent with weaker spring–neap covariance in summer; MAM has the highest</w:t>
      </w:r>
      <w:r>
        <w:t xml:space="preserve"> </w:t>
      </w:r>
      <m:oMath>
        <m:sSup>
          <m:e>
            <m:r>
              <m:t>R</m:t>
            </m:r>
          </m:e>
          <m:sup>
            <m:r>
              <m:t>2</m:t>
            </m:r>
          </m:sup>
        </m:sSup>
      </m:oMath>
      <w:r>
        <w:t xml:space="preserve"> </w:t>
      </w:r>
      <w:r>
        <w:t xml:space="preserve">(0.98).</w:t>
      </w:r>
    </w:p>
    <w:p>
      <w:pPr>
        <w:pStyle w:val="Compact"/>
        <w:numPr>
          <w:ilvl w:val="0"/>
          <w:numId w:val="1008"/>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8"/>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 not 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a mean absolute error (MAE) of 0.12 m. The sign of the predicted bias is correct in 14 of the 15 held-out cases; the single exception is Suncheon L8 (predicted</w:t>
      </w:r>
      <w:r>
        <w:t xml:space="preserve"> </w:t>
      </w:r>
      <m:oMath>
        <m:r>
          <m:rPr>
            <m:sty m:val="p"/>
          </m:rPr>
          <m:t>−</m:t>
        </m:r>
        <m:r>
          <m:t>0.02</m:t>
        </m:r>
      </m:oMath>
      <w:r>
        <w:t xml:space="preserve"> </w:t>
      </w:r>
      <w:r>
        <w:t xml:space="preserve">m versus observed</w:t>
      </w:r>
      <w:r>
        <w:t xml:space="preserve"> </w:t>
      </w:r>
      <m:oMath>
        <m:r>
          <m:rPr>
            <m:sty m:val="p"/>
          </m:rPr>
          <m:t>+</m:t>
        </m:r>
        <m:r>
          <m:t>0.29</m:t>
        </m:r>
      </m:oMath>
      <w:r>
        <w:t xml:space="preserve"> </w:t>
      </w:r>
      <w:r>
        <w:t xml:space="preserve">m), the smallest-magnitude reversed point, where the western-trained intercept dominates. The sign is recovered for the other two Suncheon sensors despite the site’s absence from the training set.</w:t>
      </w:r>
    </w:p>
    <w:p>
      <w:pPr>
        <w:pStyle w:val="BodyText"/>
      </w:pPr>
      <w:r>
        <w:drawing>
          <wp:inline>
            <wp:extent cx="4267200" cy="2762779"/>
            <wp:effectExtent b="0" l="0" r="0" t="0"/>
            <wp:docPr descr="" title="" id="45" name="Picture"/>
            <a:graphic>
              <a:graphicData uri="http://schemas.openxmlformats.org/drawingml/2006/picture">
                <pic:pic>
                  <pic:nvPicPr>
                    <pic:cNvPr descr="figures/fig7_loo_validation.png" id="46" name="Picture"/>
                    <pic:cNvPicPr>
                      <a:picLocks noChangeArrowheads="1" noChangeAspect="1"/>
                    </pic:cNvPicPr>
                  </pic:nvPicPr>
                  <pic:blipFill>
                    <a:blip r:embed="rId44"/>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14 of 15 held-out points (the exception is the smallest-magnitude Suncheon L8 point); the sign-reversed Suncheon Bay is recovered for two of its three sensors despite its absence from the training set, showing the formula generalises beyond the training sites.</w:t>
      </w:r>
    </w:p>
    <w:bookmarkEnd w:id="47"/>
    <w:bookmarkStart w:id="54"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 never sampled by satellites and so form irrecoverable truncation bands (Figure 7a). On the four western sites, truncation is at the top of the intertidal range, with vertical extent 1.36–2.02 m. At Suncheon Bay it is at the bottom, with extent 0.99 m.</w:t>
      </w:r>
    </w:p>
    <w:p>
      <w:pPr>
        <w:pStyle w:val="BodyText"/>
      </w:pPr>
      <w:r>
        <w:t xml:space="preserve">Converting to horizontal contour displacement on a planar tidal flat with assumed site-specific slopes (Section 3.5), the upper-tide truncation translates into roughly 1.1 km (Garorim) to 2.5 km (Ganghwa) of horizontally missing tidal-flat width on the western coast (Figure 7b; schematic cross-sections in Figure S7). At Suncheon Bay the lower-band truncation corresponds to approximately 0.5 km of missing width. The vertical DEM RMSE of 0.36–1.09 m translates into a horizontal RMSE of roughly 0.2 km (Suncheon) to 1.4 km (Ganghwa). These horizontal figures scale inversely with the assumed slope and are quoted to one to two significant figures accordingly.</w:t>
      </w:r>
    </w:p>
    <w:p>
      <w:pPr>
        <w:pStyle w:val="BodyText"/>
      </w:pPr>
      <w:r>
        <w:drawing>
          <wp:inline>
            <wp:extent cx="4533900" cy="2334534"/>
            <wp:effectExtent b="0" l="0" r="0" t="0"/>
            <wp:docPr descr="" title="" id="49" name="Picture"/>
            <a:graphic>
              <a:graphicData uri="http://schemas.openxmlformats.org/drawingml/2006/picture">
                <pic:pic>
                  <pic:nvPicPr>
                    <pic:cNvPr descr="figures/fig9_truncation_bands.png" id="50" name="Picture"/>
                    <pic:cNvPicPr>
                      <a:picLocks noChangeArrowheads="1" noChangeAspect="1"/>
                    </pic:cNvPicPr>
                  </pic:nvPicPr>
                  <pic:blipFill>
                    <a:blip r:embed="rId48"/>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2" name="Picture"/>
            <a:graphic>
              <a:graphicData uri="http://schemas.openxmlformats.org/drawingml/2006/picture">
                <pic:pic>
                  <pic:nvPicPr>
                    <pic:cNvPr descr="figures/fig10_horizontal_error.png" id="53" name="Picture"/>
                    <pic:cNvPicPr>
                      <a:picLocks noChangeArrowheads="1" noChangeAspect="1"/>
                    </pic:cNvPicPr>
                  </pic:nvPicPr>
                  <pic:blipFill>
                    <a:blip r:embed="rId51"/>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versus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(roughly 1.4 km).</w:t>
      </w:r>
    </w:p>
    <w:bookmarkEnd w:id="54"/>
    <w:bookmarkStart w:id="55"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versus</w:t>
      </w:r>
      <w:r>
        <w:t xml:space="preserve"> </w:t>
      </w:r>
      <m:oMath>
        <m:r>
          <m:rPr>
            <m:sty m:val="p"/>
          </m:rPr>
          <m:t>−</m:t>
        </m:r>
        <m:r>
          <m:t>1.13</m:t>
        </m:r>
      </m:oMath>
      <w:r>
        <w:t xml:space="preserve"> </w:t>
      </w:r>
      <w:r>
        <w:t xml:space="preserve">m). At Garorim Bay the comparison is more pronounced (a 12.8-fold increase in S2 scenes over L8), and the bias drops by only one third (</w:t>
      </w:r>
      <m:oMath>
        <m:r>
          <m:rPr>
            <m:sty m:val="p"/>
          </m:rPr>
          <m:t>−</m:t>
        </m:r>
        <m:r>
          <m:t>0.80</m:t>
        </m:r>
      </m:oMath>
      <w:r>
        <w:t xml:space="preserve"> </w:t>
      </w:r>
      <w:r>
        <w:t xml:space="preserve">m versus</w:t>
      </w:r>
      <w:r>
        <w:t xml:space="preserve">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 correcting the systematic mean shift is not.</w:t>
      </w:r>
    </w:p>
    <w:bookmarkEnd w:id="55"/>
    <w:bookmarkStart w:id="56" w:name="Xd60ea9a7fef294f880c0af49b1fbb3f4a6dcc08"/>
    <w:p>
      <w:pPr>
        <w:pStyle w:val="Heading3"/>
      </w:pPr>
      <w:r>
        <w:t xml:space="preserve">4.7 Robustness to amplitude definition and reference choice</w:t>
      </w:r>
    </w:p>
    <w:p>
      <w:pPr>
        <w:pStyle w:val="FirstParagraph"/>
      </w:pPr>
      <w:r>
        <w:t xml:space="preserve">We test the robustness of the primary</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09"/>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09"/>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09"/>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09"/>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because FES2022b supplies both sides of the regression, it is an internal self-consistency check on a globally available model rather than a test against independent ground truth.</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0.16–0.17 m (a–c) and 0.11 m (d), and the bias sign is predicted correctly at 14 of 15 held-out points under the gauge-referenced variants (a–c) and at all 15 under the FES2022b variant (d), whose near-zero intercept recovers the small Suncheon L8 reversal.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versus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56"/>
    <w:bookmarkStart w:id="57"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an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highest-amplitude coast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 which macrotidal coasts and waterline-DEM products are most exposed to the sampling bias.</w:t>
      </w:r>
    </w:p>
    <w:p>
      <w:r>
        <w:pict>
          <v:rect style="width:0;height:1.5pt" o:hralign="center" o:hrstd="t" o:hr="t"/>
        </w:pict>
      </w:r>
    </w:p>
    <w:bookmarkEnd w:id="57"/>
    <w:bookmarkEnd w:id="58"/>
    <w:bookmarkStart w:id="64" w:name="discussion"/>
    <w:p>
      <w:pPr>
        <w:pStyle w:val="Heading2"/>
      </w:pPr>
      <w:r>
        <w:t xml:space="preserve">5. Discussion</w:t>
      </w:r>
    </w:p>
    <w:bookmarkStart w:id="59"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 more negative 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(see the Supplementary Material)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semidiurnal regime with moderate diurnal inequality (form factor</w:t>
      </w:r>
      <w:r>
        <w:t xml:space="preserve"> </w:t>
      </w:r>
      <m:oMath>
        <m:r>
          <m:t>F</m:t>
        </m:r>
        <m:r>
          <m:rPr>
            <m:sty m:val="p"/>
          </m:rPr>
          <m:t>≈</m:t>
        </m:r>
        <m:r>
          <m:t>0.17</m:t>
        </m:r>
      </m:oMath>
      <w:r>
        <w:t xml:space="preserve">–</w:t>
      </w:r>
      <m:oMath>
        <m:r>
          <m:t>0.22</m:t>
        </m:r>
      </m:oMath>
      <w:r>
        <w:t xml:space="preserve">), in which the two daily high waters are slightly unequal.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59"/>
    <w:bookmarkStart w:id="60" w:name="X4367d5c74f443468a398c94e1c4e06b60442d43"/>
    <w:p>
      <w:pPr>
        <w:pStyle w:val="Heading3"/>
      </w:pPr>
      <w:r>
        <w:t xml:space="preserve">5.2 The sign-reversing bias: a regional amphidromic phenomenon</w:t>
      </w:r>
    </w:p>
    <w:p>
      <w:pPr>
        <w:pStyle w:val="FirstParagraph"/>
      </w:pPr>
      <w:r>
        <w:t xml:space="preserve">A central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Compact"/>
        <w:numPr>
          <w:ilvl w:val="0"/>
          <w:numId w:val="1010"/>
        </w:numPr>
      </w:pPr>
      <w:r>
        <w:rPr>
          <w:b/>
          <w:bCs/>
        </w:rPr>
        <w:t xml:space="preserve">Western sites (Incheon-phased)</w:t>
      </w:r>
      <w:r>
        <w:t xml:space="preserve">: the overpass falls near low water (phase</w:t>
      </w:r>
      <w:r>
        <w:t xml:space="preserve"> </w:t>
      </w:r>
      <m:oMath>
        <m:r>
          <m:rPr>
            <m:sty m:val="p"/>
          </m:rPr>
          <m:t>≈</m:t>
        </m:r>
        <m:r>
          <m:t>235</m:t>
        </m:r>
        <m:r>
          <m:rPr>
            <m:sty m:val="p"/>
          </m:rPr>
          <m:t>°</m:t>
        </m:r>
      </m:oMath>
      <w:r>
        <w:t xml:space="preserve"> </w:t>
      </w:r>
      <w:r>
        <w:t xml:space="preserve">in our HW-to-HW convention, i.e. just past LW on the early flood)</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0"/>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The present analysis provides an explicit quantitative demonstration in the</w:t>
      </w:r>
      <w:r>
        <w:t xml:space="preserve"> </w:t>
      </w:r>
      <w:r>
        <w:rPr>
          <w:i/>
          <w:iCs/>
        </w:rPr>
        <w:t xml:space="preserve">spatial</w:t>
      </w:r>
      <w:r>
        <w:t xml:space="preserve"> </w:t>
      </w:r>
      <w:r>
        <w:t xml:space="preserve">domain — i.e. that for an instantaneously-sampling optical waterline workflow the sign of the bias reverses across the regional amphidromic structure, independently of the satellite or the local tidal range alone. We return to candidate analogous regions in Section 5.5.</w:t>
      </w:r>
    </w:p>
    <w:bookmarkEnd w:id="60"/>
    <w:bookmarkStart w:id="61"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cross-checked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a first-principles explanation consistent with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 does not 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0.21</m:t>
        </m:r>
      </m:oMath>
      <w:r>
        <w:t xml:space="preserve">, the trajectory does not settle to within 10 % of that asymptote until roughly 760 days, and its value at the Lee et al. optimum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0.33</m:t>
        </m:r>
      </m:oMath>
      <w:r>
        <w:t xml:space="preserve"> </w:t>
      </w:r>
      <w:r>
        <w:t xml:space="preserve">— i.e., at five months the sampled-phase vector still sits well above its sun-synchronous floor rather than at it. Because this is a single cumulative trajectory, the point value at 152 days carries substantial sampling noise, so we treat it as a plausibility argument for the existence of an intermediate-timescale plateau, not as a precise prediction of its level.</w:t>
      </w:r>
    </w:p>
    <w:p>
      <w:pPr>
        <w:pStyle w:val="BodyText"/>
      </w:pPr>
      <w:r>
        <w:t xml:space="preserve">The 5-month optimum is therefore not 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 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1"/>
    <w:bookmarkStart w:id="62"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(roughly 1.1–2.5 km truncation widths) assume a uniform planar slope per site and scale inversely with that slope, which is why they are reported to one to two significant figures.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versus KHOA-derived 2.83 m). The FES2022b sensitivity test of Section 4.7(d) therefore confirms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2"/>
    <w:bookmarkStart w:id="63" w:name="generality"/>
    <w:p>
      <w:pPr>
        <w:pStyle w:val="Heading3"/>
      </w:pPr>
      <w:r>
        <w:t xml:space="preserve">5.5 Generality</w:t>
      </w:r>
    </w:p>
    <w:p>
      <w:pPr>
        <w:pStyle w:val="FirstParagraph"/>
      </w:pPr>
      <w:r>
        <w:t xml:space="preserve">The analytical model (Eq. (1)) is not specific to Korea: it depends only on the local tidal amplitude and on the satellite overpass phase. Wherever both quantities can be evaluated (global tide model + satellite ephemeris), the same first-order bias correction applies. The sign-reversing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63"/>
    <w:bookmarkEnd w:id="64"/>
    <w:bookmarkStart w:id="65"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1"/>
        </w:numPr>
      </w:pPr>
      <w:r>
        <w:t xml:space="preserve">Over the macrotidal Korean coast (2020–2024, 5,082 cloud-screened Landsat-8/9 + Sentinel-2 scenes from five tidal flats), sun-synchronous optical satellites sample only 60–80 % of the local astronomical tidal envelope.</w:t>
      </w:r>
    </w:p>
    <w:p>
      <w:pPr>
        <w:numPr>
          <w:ilvl w:val="0"/>
          <w:numId w:val="1011"/>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r>
          <m:t>0.001</m:t>
        </m:r>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14 of 15 held-out cases (the sole miss is the smallest-magnitude Suncheon L8 point).</w:t>
      </w:r>
    </w:p>
    <w:p>
      <w:pPr>
        <w:pStyle w:val="FirstParagraph"/>
      </w:pPr>
      <w:r>
        <w:rPr>
          <w:i/>
          <w:iCs/>
        </w:rPr>
        <w:t xml:space="preserve">In answer to question 2 (how does the bias vary along regional amphidromic gradients?):</w:t>
      </w:r>
    </w:p>
    <w:p>
      <w:pPr>
        <w:pStyle w:val="Compact"/>
        <w:numPr>
          <w:ilvl w:val="0"/>
          <w:numId w:val="1012"/>
        </w:numPr>
      </w:pPr>
      <w:r>
        <w:t xml:space="preserve">The mean tide-height bias is sign-reversing:</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3"/>
        </w:numPr>
      </w:pPr>
      <w:r>
        <w:t xml:space="preserve">Translated into elevation-domain DEM errors via quantile mapping, the bias amounts to an elevation-domain RMSE of 0.36–1.09 m (an upper-bound estimate of the systematic vertical-error contribution to a waterline DEM built from the same scenes; not a per-pixel DEM validation against ground truth), equivalent to roughly 0.2–1.4 km of horizontal contour displacement on planar tidal flats (slope-dependent, hence one to two significant figures). Permanently irrecoverable truncation bands occupy 0.99–2.02 m of vertical range, or up to 2.5 km of intertidal width at Ganghwa-do.</w:t>
      </w:r>
    </w:p>
    <w:p>
      <w:pPr>
        <w:numPr>
          <w:ilvl w:val="0"/>
          <w:numId w:val="1013"/>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3"/>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4"/>
        </w:numPr>
      </w:pPr>
      <w:r>
        <w:t xml:space="preserve">The bias model and its predictive sign are reproducible from a global ocean tide model alone (a FES2022b self-consistency check — the same model supplying both the overpass-time tides and the reference — yields</w:t>
      </w:r>
      <w:r>
        <w:t xml:space="preserve"> </w:t>
      </w:r>
      <m:oMath>
        <m:sSup>
          <m:e>
            <m:r>
              <m:t>R</m:t>
            </m:r>
          </m:e>
          <m:sup>
            <m:r>
              <m:t>2</m:t>
            </m:r>
          </m:sup>
        </m:sSup>
        <m:r>
          <m:rPr>
            <m:sty m:val="p"/>
          </m:rPr>
          <m:t>=</m:t>
        </m:r>
        <m:r>
          <m:t>0.983</m:t>
        </m:r>
      </m:oMath>
      <w:r>
        <w:t xml:space="preserve">, leave-one-site-out RMSE = 0.11 m, and recovers the bias sign at all 15 sites). The only test against independent ground truth, FES-predicted versus KHOA-observed bias, matches in sign but under-estimates the magnitude by roughly 2–3× on these resonant macrotidal coasts, so the global-model correction is best read as a conservative, sign-correct lower bound. The</w:t>
      </w:r>
      <w:r>
        <w:t xml:space="preserve"> </w:t>
      </w:r>
      <w:r>
        <w:rPr>
          <w:i/>
          <w:iCs/>
        </w:rPr>
        <w:t xml:space="preserve">a priori</w:t>
      </w:r>
      <w:r>
        <w:t xml:space="preserve"> </w:t>
      </w:r>
      <w:r>
        <w:t xml:space="preserve">correction can therefore be computed without local tide-gauge data — a prerequisite for large-scale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5"/>
    <w:bookmarkStart w:id="66"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6"/>
    <w:bookmarkStart w:id="67"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w:t>
      </w:r>
      <w:r>
        <w:t xml:space="preserve"> </w:t>
      </w:r>
      <w:r>
        <w:t xml:space="preserve">funding acquisition, M.K. All authors have read and agreed to the published</w:t>
      </w:r>
      <w:r>
        <w:t xml:space="preserve"> </w:t>
      </w:r>
      <w:r>
        <w:t xml:space="preserve">version of the manuscript.</w:t>
      </w:r>
    </w:p>
    <w:bookmarkEnd w:id="67"/>
    <w:bookmarkStart w:id="68"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8"/>
    <w:bookmarkStart w:id="69" w:name="institutional-review-board-statement"/>
    <w:p>
      <w:pPr>
        <w:pStyle w:val="Heading2"/>
      </w:pPr>
      <w:r>
        <w:t xml:space="preserve">Institutional Review Board Statement</w:t>
      </w:r>
    </w:p>
    <w:p>
      <w:pPr>
        <w:pStyle w:val="FirstParagraph"/>
      </w:pPr>
      <w:r>
        <w:t xml:space="preserve">Not applicable.</w:t>
      </w:r>
    </w:p>
    <w:bookmarkEnd w:id="69"/>
    <w:bookmarkStart w:id="70" w:name="informed-consent-statement"/>
    <w:p>
      <w:pPr>
        <w:pStyle w:val="Heading2"/>
      </w:pPr>
      <w:r>
        <w:t xml:space="preserve">Informed Consent Statement</w:t>
      </w:r>
    </w:p>
    <w:p>
      <w:pPr>
        <w:pStyle w:val="FirstParagraph"/>
      </w:pPr>
      <w:r>
        <w:t xml:space="preserve">Not applicable.</w:t>
      </w:r>
    </w:p>
    <w:bookmarkEnd w:id="70"/>
    <w:bookmarkStart w:id="71"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derived</w:t>
      </w:r>
      <w:r>
        <w:t xml:space="preserve"> </w:t>
      </w:r>
      <w:r>
        <w:t xml:space="preserve">tables, analytical pipeline, and figure-generation scripts are openly</w:t>
      </w:r>
      <w:r>
        <w:t xml:space="preserve"> </w:t>
      </w:r>
      <w:r>
        <w:t xml:space="preserve">available in Zenodo at https://doi.org/10.5281/zenodo.20797099.</w:t>
      </w:r>
    </w:p>
    <w:bookmarkEnd w:id="71"/>
    <w:bookmarkStart w:id="72"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pyfes, Cartopy, UTide, and eo-tides for open-source tooling.</w:t>
      </w:r>
    </w:p>
    <w:bookmarkEnd w:id="73"/>
    <w:bookmarkStart w:id="74"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4"/>
    <w:bookmarkStart w:id="140" w:name="references"/>
    <w:p>
      <w:pPr>
        <w:pStyle w:val="Heading2"/>
      </w:pPr>
      <w:r>
        <w:t xml:space="preserve">References</w:t>
      </w:r>
    </w:p>
    <w:bookmarkStart w:id="139" w:name="refs"/>
    <w:bookmarkStart w:id="76"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5">
        <w:r>
          <w:rPr>
            <w:rStyle w:val="Hyperlink"/>
          </w:rPr>
          <w:t xml:space="preserve">10.1038/s41586-018-0805-8</w:t>
        </w:r>
      </w:hyperlink>
      <w:r>
        <w:t xml:space="preserve">.</w:t>
      </w:r>
    </w:p>
    <w:bookmarkEnd w:id="76"/>
    <w:bookmarkStart w:id="78"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7">
        <w:r>
          <w:rPr>
            <w:rStyle w:val="Hyperlink"/>
          </w:rPr>
          <w:t xml:space="preserve">10.1126/science.1132294</w:t>
        </w:r>
      </w:hyperlink>
      <w:r>
        <w:t xml:space="preserve">.</w:t>
      </w:r>
    </w:p>
    <w:bookmarkEnd w:id="78"/>
    <w:bookmarkStart w:id="80"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79">
        <w:r>
          <w:rPr>
            <w:rStyle w:val="Hyperlink"/>
          </w:rPr>
          <w:t xml:space="preserve">10.1029/2021GL096813</w:t>
        </w:r>
      </w:hyperlink>
      <w:r>
        <w:t xml:space="preserve">.</w:t>
      </w:r>
    </w:p>
    <w:bookmarkEnd w:id="80"/>
    <w:bookmarkStart w:id="82"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1">
        <w:r>
          <w:rPr>
            <w:rStyle w:val="Hyperlink"/>
          </w:rPr>
          <w:t xml:space="preserve">10.1029/95GL03168</w:t>
        </w:r>
      </w:hyperlink>
      <w:r>
        <w:t xml:space="preserve">.</w:t>
      </w:r>
    </w:p>
    <w:bookmarkEnd w:id="82"/>
    <w:bookmarkStart w:id="84"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3">
        <w:r>
          <w:rPr>
            <w:rStyle w:val="Hyperlink"/>
          </w:rPr>
          <w:t xml:space="preserve">10.1109/TGRS.2009.2031843</w:t>
        </w:r>
      </w:hyperlink>
      <w:r>
        <w:t xml:space="preserve">.</w:t>
      </w:r>
    </w:p>
    <w:bookmarkEnd w:id="84"/>
    <w:bookmarkStart w:id="86"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5">
        <w:r>
          <w:rPr>
            <w:rStyle w:val="Hyperlink"/>
          </w:rPr>
          <w:t xml:space="preserve">10.3390/rs4113417</w:t>
        </w:r>
      </w:hyperlink>
      <w:r>
        <w:t xml:space="preserve">.</w:t>
      </w:r>
    </w:p>
    <w:bookmarkEnd w:id="86"/>
    <w:bookmarkStart w:id="88"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7">
        <w:r>
          <w:rPr>
            <w:rStyle w:val="Hyperlink"/>
          </w:rPr>
          <w:t xml:space="preserve">10.1016/j.rse.2017.04.009</w:t>
        </w:r>
      </w:hyperlink>
      <w:r>
        <w:t xml:space="preserve">.</w:t>
      </w:r>
    </w:p>
    <w:bookmarkEnd w:id="88"/>
    <w:bookmarkStart w:id="90"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89">
        <w:r>
          <w:rPr>
            <w:rStyle w:val="Hyperlink"/>
          </w:rPr>
          <w:t xml:space="preserve">10.1016/j.ecss.2019.03.006</w:t>
        </w:r>
      </w:hyperlink>
      <w:r>
        <w:t xml:space="preserve">.</w:t>
      </w:r>
    </w:p>
    <w:bookmarkEnd w:id="90"/>
    <w:bookmarkStart w:id="92"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1">
        <w:r>
          <w:rPr>
            <w:rStyle w:val="Hyperlink"/>
          </w:rPr>
          <w:t xml:space="preserve">10.3390/rs11242984</w:t>
        </w:r>
      </w:hyperlink>
      <w:r>
        <w:t xml:space="preserve">.</w:t>
      </w:r>
    </w:p>
    <w:bookmarkEnd w:id="92"/>
    <w:bookmarkStart w:id="94"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3">
        <w:r>
          <w:rPr>
            <w:rStyle w:val="Hyperlink"/>
          </w:rPr>
          <w:t xml:space="preserve">10.1016/j.isprsjprs.2017.07.008</w:t>
        </w:r>
      </w:hyperlink>
      <w:r>
        <w:t xml:space="preserve">.</w:t>
      </w:r>
    </w:p>
    <w:bookmarkEnd w:id="94"/>
    <w:bookmarkStart w:id="96"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5">
        <w:r>
          <w:rPr>
            <w:rStyle w:val="Hyperlink"/>
          </w:rPr>
          <w:t xml:space="preserve">10.3390/rs11242888</w:t>
        </w:r>
      </w:hyperlink>
      <w:r>
        <w:t xml:space="preserve">.</w:t>
      </w:r>
    </w:p>
    <w:bookmarkEnd w:id="96"/>
    <w:bookmarkStart w:id="98"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7">
        <w:r>
          <w:rPr>
            <w:rStyle w:val="Hyperlink"/>
          </w:rPr>
          <w:t xml:space="preserve">10.3390/rs11192212</w:t>
        </w:r>
      </w:hyperlink>
      <w:r>
        <w:t xml:space="preserve">.</w:t>
      </w:r>
    </w:p>
    <w:bookmarkEnd w:id="98"/>
    <w:bookmarkStart w:id="100"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99">
        <w:r>
          <w:rPr>
            <w:rStyle w:val="Hyperlink"/>
          </w:rPr>
          <w:t xml:space="preserve">10.3390/ijgi9020068</w:t>
        </w:r>
      </w:hyperlink>
      <w:r>
        <w:t xml:space="preserve">.</w:t>
      </w:r>
    </w:p>
    <w:bookmarkEnd w:id="100"/>
    <w:bookmarkStart w:id="102"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1">
        <w:r>
          <w:rPr>
            <w:rStyle w:val="Hyperlink"/>
          </w:rPr>
          <w:t xml:space="preserve">10.1029/2021GL096007</w:t>
        </w:r>
      </w:hyperlink>
      <w:r>
        <w:t xml:space="preserve">.</w:t>
      </w:r>
    </w:p>
    <w:bookmarkEnd w:id="102"/>
    <w:bookmarkStart w:id="104"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3">
        <w:r>
          <w:rPr>
            <w:rStyle w:val="Hyperlink"/>
          </w:rPr>
          <w:t xml:space="preserve">10.1080/17538947.2025.2554313</w:t>
        </w:r>
      </w:hyperlink>
      <w:r>
        <w:t xml:space="preserve">.</w:t>
      </w:r>
    </w:p>
    <w:bookmarkEnd w:id="104"/>
    <w:bookmarkStart w:id="106"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5">
        <w:r>
          <w:rPr>
            <w:rStyle w:val="Hyperlink"/>
          </w:rPr>
          <w:t xml:space="preserve">10.21105/joss.07786</w:t>
        </w:r>
      </w:hyperlink>
      <w:r>
        <w:t xml:space="preserve">.</w:t>
      </w:r>
    </w:p>
    <w:bookmarkEnd w:id="106"/>
    <w:bookmarkStart w:id="108"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7">
        <w:r>
          <w:rPr>
            <w:rStyle w:val="Hyperlink"/>
          </w:rPr>
          <w:t xml:space="preserve">10.1016/j.rsase.2024.101425</w:t>
        </w:r>
      </w:hyperlink>
      <w:r>
        <w:t xml:space="preserve">.</w:t>
      </w:r>
    </w:p>
    <w:bookmarkEnd w:id="108"/>
    <w:bookmarkStart w:id="110"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09">
        <w:r>
          <w:rPr>
            <w:rStyle w:val="Hyperlink"/>
          </w:rPr>
          <w:t xml:space="preserve">10.3389/fmars.2022.810549</w:t>
        </w:r>
      </w:hyperlink>
      <w:r>
        <w:t xml:space="preserve">.</w:t>
      </w:r>
    </w:p>
    <w:bookmarkEnd w:id="110"/>
    <w:bookmarkStart w:id="112"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1">
        <w:r>
          <w:rPr>
            <w:rStyle w:val="Hyperlink"/>
          </w:rPr>
          <w:t xml:space="preserve">10.1016/j.ecss.2025.109235</w:t>
        </w:r>
      </w:hyperlink>
      <w:r>
        <w:t xml:space="preserve">.</w:t>
      </w:r>
    </w:p>
    <w:bookmarkEnd w:id="112"/>
    <w:bookmarkStart w:id="114"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3">
        <w:r>
          <w:rPr>
            <w:rStyle w:val="Hyperlink"/>
          </w:rPr>
          <w:t xml:space="preserve">10.1016/j.ocecoaman.2014.07.008</w:t>
        </w:r>
      </w:hyperlink>
      <w:r>
        <w:t xml:space="preserve">.</w:t>
      </w:r>
    </w:p>
    <w:bookmarkEnd w:id="114"/>
    <w:bookmarkStart w:id="116"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5">
        <w:r>
          <w:rPr>
            <w:rStyle w:val="Hyperlink"/>
          </w:rPr>
          <w:t xml:space="preserve">10.1890/130260</w:t>
        </w:r>
      </w:hyperlink>
      <w:r>
        <w:t xml:space="preserve">.</w:t>
      </w:r>
    </w:p>
    <w:bookmarkEnd w:id="116"/>
    <w:bookmarkStart w:id="118"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7">
        <w:r>
          <w:rPr>
            <w:rStyle w:val="Hyperlink"/>
          </w:rPr>
          <w:t xml:space="preserve">10.1002/2013JC009788</w:t>
        </w:r>
      </w:hyperlink>
      <w:r>
        <w:t xml:space="preserve">.</w:t>
      </w:r>
    </w:p>
    <w:bookmarkEnd w:id="118"/>
    <w:bookmarkStart w:id="120"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19">
        <w:r>
          <w:rPr>
            <w:rStyle w:val="Hyperlink"/>
          </w:rPr>
          <w:t xml:space="preserve">10.1016/S0034-4257(02)00059-7</w:t>
        </w:r>
      </w:hyperlink>
      <w:r>
        <w:t xml:space="preserve">.</w:t>
      </w:r>
    </w:p>
    <w:bookmarkEnd w:id="120"/>
    <w:bookmarkStart w:id="122"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1">
        <w:r>
          <w:rPr>
            <w:rStyle w:val="Hyperlink"/>
          </w:rPr>
          <w:t xml:space="preserve">10.1016/j.ecss.2008.01.020</w:t>
        </w:r>
      </w:hyperlink>
      <w:r>
        <w:t xml:space="preserve">.</w:t>
      </w:r>
    </w:p>
    <w:bookmarkEnd w:id="122"/>
    <w:bookmarkStart w:id="124"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3">
        <w:r>
          <w:rPr>
            <w:rStyle w:val="Hyperlink"/>
          </w:rPr>
          <w:t xml:space="preserve">10.1109/JSTARS.2017.2697383</w:t>
        </w:r>
      </w:hyperlink>
      <w:r>
        <w:t xml:space="preserve">.</w:t>
      </w:r>
    </w:p>
    <w:bookmarkEnd w:id="124"/>
    <w:bookmarkStart w:id="126"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5">
        <w:r>
          <w:rPr>
            <w:rStyle w:val="Hyperlink"/>
          </w:rPr>
          <w:t xml:space="preserve">10.22761/DJ2022.4.1.004</w:t>
        </w:r>
      </w:hyperlink>
      <w:r>
        <w:t xml:space="preserve">.</w:t>
      </w:r>
    </w:p>
    <w:bookmarkEnd w:id="126"/>
    <w:bookmarkStart w:id="128"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7">
        <w:r>
          <w:rPr>
            <w:rStyle w:val="Hyperlink"/>
          </w:rPr>
          <w:t xml:space="preserve">10.1016/j.rse.2017.06.031</w:t>
        </w:r>
      </w:hyperlink>
      <w:r>
        <w:t xml:space="preserve">.</w:t>
      </w:r>
    </w:p>
    <w:bookmarkEnd w:id="128"/>
    <w:bookmarkStart w:id="130"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29">
        <w:r>
          <w:rPr>
            <w:rStyle w:val="Hyperlink"/>
          </w:rPr>
          <w:t xml:space="preserve">10.1016/j.rse.2011.11.026</w:t>
        </w:r>
      </w:hyperlink>
      <w:r>
        <w:t xml:space="preserve">.</w:t>
      </w:r>
    </w:p>
    <w:bookmarkEnd w:id="130"/>
    <w:bookmarkStart w:id="132" w:name="ref-codiga_2011_utide"/>
    <w:p>
      <w:pPr>
        <w:pStyle w:val="Bibliography"/>
      </w:pPr>
      <w:r>
        <w:t xml:space="preserve">29.</w:t>
      </w:r>
      <w:r>
        <w:t xml:space="preserve"> </w:t>
      </w:r>
      <w:r>
        <w:t xml:space="preserve">	</w:t>
      </w:r>
      <w:r>
        <w:t xml:space="preserve">Codiga, D.L.</w:t>
      </w:r>
      <w:r>
        <w:t xml:space="preserve"> </w:t>
      </w:r>
      <w:hyperlink r:id="rId131">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2"/>
    <w:bookmarkStart w:id="134"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3">
        <w:r>
          <w:rPr>
            <w:rStyle w:val="Hyperlink"/>
          </w:rPr>
          <w:t xml:space="preserve">10.5194/os-17-615-2021</w:t>
        </w:r>
      </w:hyperlink>
      <w:r>
        <w:t xml:space="preserve">.</w:t>
      </w:r>
    </w:p>
    <w:bookmarkEnd w:id="134"/>
    <w:bookmarkStart w:id="136"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5">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6"/>
    <w:bookmarkStart w:id="138"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7">
        <w:r>
          <w:rPr>
            <w:rStyle w:val="Hyperlink"/>
          </w:rPr>
          <w:t xml:space="preserve">10.1175/1520-0426(2002)019&lt;0183:EIMOBO&gt;2.0.CO;2</w:t>
        </w:r>
      </w:hyperlink>
      <w:r>
        <w:t xml:space="preserve">.</w:t>
      </w:r>
    </w:p>
    <w:bookmarkEnd w:id="138"/>
    <w:bookmarkEnd w:id="139"/>
    <w:bookmarkEnd w:id="140"/>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131" Target="ftp://www.po.gso.uri.edu/pub/downloads/codiga/pubs/2011Codiga-UTide-Report.pdf" TargetMode="External" /><Relationship Type="http://schemas.openxmlformats.org/officeDocument/2006/relationships/hyperlink" Id="rId117" Target="https://doi.org/10.1002/2013JC009788" TargetMode="External" /><Relationship Type="http://schemas.openxmlformats.org/officeDocument/2006/relationships/hyperlink" Id="rId119" Target="https://doi.org/10.1016/S0034-4257(02)00059-7" TargetMode="External" /><Relationship Type="http://schemas.openxmlformats.org/officeDocument/2006/relationships/hyperlink" Id="rId121" Target="https://doi.org/10.1016/j.ecss.2008.01.020" TargetMode="External" /><Relationship Type="http://schemas.openxmlformats.org/officeDocument/2006/relationships/hyperlink" Id="rId89" Target="https://doi.org/10.1016/j.ecss.2019.03.006" TargetMode="External" /><Relationship Type="http://schemas.openxmlformats.org/officeDocument/2006/relationships/hyperlink" Id="rId111" Target="https://doi.org/10.1016/j.ecss.2025.109235" TargetMode="External" /><Relationship Type="http://schemas.openxmlformats.org/officeDocument/2006/relationships/hyperlink" Id="rId93" Target="https://doi.org/10.1016/j.isprsjprs.2017.07.008" TargetMode="External" /><Relationship Type="http://schemas.openxmlformats.org/officeDocument/2006/relationships/hyperlink" Id="rId113" Target="https://doi.org/10.1016/j.ocecoaman.2014.07.008" TargetMode="External" /><Relationship Type="http://schemas.openxmlformats.org/officeDocument/2006/relationships/hyperlink" Id="rId107" Target="https://doi.org/10.1016/j.rsase.2024.101425" TargetMode="External" /><Relationship Type="http://schemas.openxmlformats.org/officeDocument/2006/relationships/hyperlink" Id="rId129" Target="https://doi.org/10.1016/j.rse.2011.11.026" TargetMode="External" /><Relationship Type="http://schemas.openxmlformats.org/officeDocument/2006/relationships/hyperlink" Id="rId87" Target="https://doi.org/10.1016/j.rse.2017.04.009" TargetMode="External" /><Relationship Type="http://schemas.openxmlformats.org/officeDocument/2006/relationships/hyperlink" Id="rId127" Target="https://doi.org/10.1016/j.rse.2017.06.031" TargetMode="External" /><Relationship Type="http://schemas.openxmlformats.org/officeDocument/2006/relationships/hyperlink" Id="rId101" Target="https://doi.org/10.1029/2021GL096007" TargetMode="External" /><Relationship Type="http://schemas.openxmlformats.org/officeDocument/2006/relationships/hyperlink" Id="rId79" Target="https://doi.org/10.1029/2021GL096813" TargetMode="External" /><Relationship Type="http://schemas.openxmlformats.org/officeDocument/2006/relationships/hyperlink" Id="rId81" Target="https://doi.org/10.1029/95GL03168" TargetMode="External" /><Relationship Type="http://schemas.openxmlformats.org/officeDocument/2006/relationships/hyperlink" Id="rId75" Target="https://doi.org/10.1038/s41586-018-0805-8" TargetMode="External" /><Relationship Type="http://schemas.openxmlformats.org/officeDocument/2006/relationships/hyperlink" Id="rId103" Target="https://doi.org/10.1080/17538947.2025.2554313" TargetMode="External" /><Relationship Type="http://schemas.openxmlformats.org/officeDocument/2006/relationships/hyperlink" Id="rId123" Target="https://doi.org/10.1109/JSTARS.2017.2697383" TargetMode="External" /><Relationship Type="http://schemas.openxmlformats.org/officeDocument/2006/relationships/hyperlink" Id="rId83" Target="https://doi.org/10.1109/TGRS.2009.2031843" TargetMode="External" /><Relationship Type="http://schemas.openxmlformats.org/officeDocument/2006/relationships/hyperlink" Id="rId77" Target="https://doi.org/10.1126/science.1132294" TargetMode="External" /><Relationship Type="http://schemas.openxmlformats.org/officeDocument/2006/relationships/hyperlink" Id="rId137" Target="https://doi.org/10.1175/1520-0426(2002)019&lt;0183:EIMOBO&gt;2.0.CO;2" TargetMode="External" /><Relationship Type="http://schemas.openxmlformats.org/officeDocument/2006/relationships/hyperlink" Id="rId115" Target="https://doi.org/10.1890/130260" TargetMode="External" /><Relationship Type="http://schemas.openxmlformats.org/officeDocument/2006/relationships/hyperlink" Id="rId105" Target="https://doi.org/10.21105/joss.07786" TargetMode="External" /><Relationship Type="http://schemas.openxmlformats.org/officeDocument/2006/relationships/hyperlink" Id="rId125" Target="https://doi.org/10.22761/DJ2022.4.1.004" TargetMode="External" /><Relationship Type="http://schemas.openxmlformats.org/officeDocument/2006/relationships/hyperlink" Id="rId109" Target="https://doi.org/10.3389/fmars.2022.810549" TargetMode="External" /><Relationship Type="http://schemas.openxmlformats.org/officeDocument/2006/relationships/hyperlink" Id="rId99" Target="https://doi.org/10.3390/ijgi9020068" TargetMode="External" /><Relationship Type="http://schemas.openxmlformats.org/officeDocument/2006/relationships/hyperlink" Id="rId97" Target="https://doi.org/10.3390/rs11192212" TargetMode="External" /><Relationship Type="http://schemas.openxmlformats.org/officeDocument/2006/relationships/hyperlink" Id="rId95" Target="https://doi.org/10.3390/rs11242888" TargetMode="External" /><Relationship Type="http://schemas.openxmlformats.org/officeDocument/2006/relationships/hyperlink" Id="rId91" Target="https://doi.org/10.3390/rs11242984" TargetMode="External" /><Relationship Type="http://schemas.openxmlformats.org/officeDocument/2006/relationships/hyperlink" Id="rId85" Target="https://doi.org/10.3390/rs4113417" TargetMode="External" /><Relationship Type="http://schemas.openxmlformats.org/officeDocument/2006/relationships/hyperlink" Id="rId133" Target="https://doi.org/10.5194/os-17-615-2021" TargetMode="External" /><Relationship Type="http://schemas.openxmlformats.org/officeDocument/2006/relationships/hyperlink" Id="rId135"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1" Target="ftp://www.po.gso.uri.edu/pub/downloads/codiga/pubs/2011Codiga-UTide-Report.pdf" TargetMode="External" /><Relationship Type="http://schemas.openxmlformats.org/officeDocument/2006/relationships/hyperlink" Id="rId117" Target="https://doi.org/10.1002/2013JC009788" TargetMode="External" /><Relationship Type="http://schemas.openxmlformats.org/officeDocument/2006/relationships/hyperlink" Id="rId119" Target="https://doi.org/10.1016/S0034-4257(02)00059-7" TargetMode="External" /><Relationship Type="http://schemas.openxmlformats.org/officeDocument/2006/relationships/hyperlink" Id="rId121" Target="https://doi.org/10.1016/j.ecss.2008.01.020" TargetMode="External" /><Relationship Type="http://schemas.openxmlformats.org/officeDocument/2006/relationships/hyperlink" Id="rId89" Target="https://doi.org/10.1016/j.ecss.2019.03.006" TargetMode="External" /><Relationship Type="http://schemas.openxmlformats.org/officeDocument/2006/relationships/hyperlink" Id="rId111" Target="https://doi.org/10.1016/j.ecss.2025.109235" TargetMode="External" /><Relationship Type="http://schemas.openxmlformats.org/officeDocument/2006/relationships/hyperlink" Id="rId93" Target="https://doi.org/10.1016/j.isprsjprs.2017.07.008" TargetMode="External" /><Relationship Type="http://schemas.openxmlformats.org/officeDocument/2006/relationships/hyperlink" Id="rId113" Target="https://doi.org/10.1016/j.ocecoaman.2014.07.008" TargetMode="External" /><Relationship Type="http://schemas.openxmlformats.org/officeDocument/2006/relationships/hyperlink" Id="rId107" Target="https://doi.org/10.1016/j.rsase.2024.101425" TargetMode="External" /><Relationship Type="http://schemas.openxmlformats.org/officeDocument/2006/relationships/hyperlink" Id="rId129" Target="https://doi.org/10.1016/j.rse.2011.11.026" TargetMode="External" /><Relationship Type="http://schemas.openxmlformats.org/officeDocument/2006/relationships/hyperlink" Id="rId87" Target="https://doi.org/10.1016/j.rse.2017.04.009" TargetMode="External" /><Relationship Type="http://schemas.openxmlformats.org/officeDocument/2006/relationships/hyperlink" Id="rId127" Target="https://doi.org/10.1016/j.rse.2017.06.031" TargetMode="External" /><Relationship Type="http://schemas.openxmlformats.org/officeDocument/2006/relationships/hyperlink" Id="rId101" Target="https://doi.org/10.1029/2021GL096007" TargetMode="External" /><Relationship Type="http://schemas.openxmlformats.org/officeDocument/2006/relationships/hyperlink" Id="rId79" Target="https://doi.org/10.1029/2021GL096813" TargetMode="External" /><Relationship Type="http://schemas.openxmlformats.org/officeDocument/2006/relationships/hyperlink" Id="rId81" Target="https://doi.org/10.1029/95GL03168" TargetMode="External" /><Relationship Type="http://schemas.openxmlformats.org/officeDocument/2006/relationships/hyperlink" Id="rId75" Target="https://doi.org/10.1038/s41586-018-0805-8" TargetMode="External" /><Relationship Type="http://schemas.openxmlformats.org/officeDocument/2006/relationships/hyperlink" Id="rId103" Target="https://doi.org/10.1080/17538947.2025.2554313" TargetMode="External" /><Relationship Type="http://schemas.openxmlformats.org/officeDocument/2006/relationships/hyperlink" Id="rId123" Target="https://doi.org/10.1109/JSTARS.2017.2697383" TargetMode="External" /><Relationship Type="http://schemas.openxmlformats.org/officeDocument/2006/relationships/hyperlink" Id="rId83" Target="https://doi.org/10.1109/TGRS.2009.2031843" TargetMode="External" /><Relationship Type="http://schemas.openxmlformats.org/officeDocument/2006/relationships/hyperlink" Id="rId77" Target="https://doi.org/10.1126/science.1132294" TargetMode="External" /><Relationship Type="http://schemas.openxmlformats.org/officeDocument/2006/relationships/hyperlink" Id="rId137" Target="https://doi.org/10.1175/1520-0426(2002)019&lt;0183:EIMOBO&gt;2.0.CO;2" TargetMode="External" /><Relationship Type="http://schemas.openxmlformats.org/officeDocument/2006/relationships/hyperlink" Id="rId115" Target="https://doi.org/10.1890/130260" TargetMode="External" /><Relationship Type="http://schemas.openxmlformats.org/officeDocument/2006/relationships/hyperlink" Id="rId105" Target="https://doi.org/10.21105/joss.07786" TargetMode="External" /><Relationship Type="http://schemas.openxmlformats.org/officeDocument/2006/relationships/hyperlink" Id="rId125" Target="https://doi.org/10.22761/DJ2022.4.1.004" TargetMode="External" /><Relationship Type="http://schemas.openxmlformats.org/officeDocument/2006/relationships/hyperlink" Id="rId109" Target="https://doi.org/10.3389/fmars.2022.810549" TargetMode="External" /><Relationship Type="http://schemas.openxmlformats.org/officeDocument/2006/relationships/hyperlink" Id="rId99" Target="https://doi.org/10.3390/ijgi9020068" TargetMode="External" /><Relationship Type="http://schemas.openxmlformats.org/officeDocument/2006/relationships/hyperlink" Id="rId97" Target="https://doi.org/10.3390/rs11192212" TargetMode="External" /><Relationship Type="http://schemas.openxmlformats.org/officeDocument/2006/relationships/hyperlink" Id="rId95" Target="https://doi.org/10.3390/rs11242888" TargetMode="External" /><Relationship Type="http://schemas.openxmlformats.org/officeDocument/2006/relationships/hyperlink" Id="rId91" Target="https://doi.org/10.3390/rs11242984" TargetMode="External" /><Relationship Type="http://schemas.openxmlformats.org/officeDocument/2006/relationships/hyperlink" Id="rId85" Target="https://doi.org/10.3390/rs4113417" TargetMode="External" /><Relationship Type="http://schemas.openxmlformats.org/officeDocument/2006/relationships/hyperlink" Id="rId133" Target="https://doi.org/10.5194/os-17-615-2021" TargetMode="External" /><Relationship Type="http://schemas.openxmlformats.org/officeDocument/2006/relationships/hyperlink" Id="rId135"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Gauge-Free Predictive Model for the Tidal-Sampling Bias of Sun-Synchronous Satellites, Validated on Macrotidal Tidal Flats</dc:title>
  <dc:creator>Taeyoon Song1,2, Mirinae Kim2</dc:creator>
  <cp:keywords/>
  <dcterms:created xsi:type="dcterms:W3CDTF">2026-06-22T12:43:53Z</dcterms:created>
  <dcterms:modified xsi:type="dcterms:W3CDTF">2026-06-22T12:43:53Z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Landsat-8/9 and Sentinel-2 acquisitions at five tidal flats against hourly tide gauges. Sun-synchronous satellites sample only 60–80 % of the astronomical tidal envelope, missing one extremity. The resulting mean bias has opposite signs on the macrotidal west coast (low-tide bias) and the southern amphidromic coast (high-tide bias). A single slope \beta = 1.78 reproduces the bias across five sites and three sensors (R^{2} = 0.98) and is reproduced from the global FES2022b model alone (R^{2} = 0.983), enabling a gauge-free correction — though the global model under-estimates the bias magnitude on resonant macrotidal coasts. The bias yields an elevation-domain RMSE of 0.36–1.09 m and unsampled intertidal bands up to 2.5 km wide; because all optical missions cluster near 10:30 local solar time, only phase-orthogonal radar (at a different local solar time)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Journal of Marine Science and Engineering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