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6.png" ContentType="image/png"/>
  <Override PartName="/word/media/rId30.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 tidal-sampling bias of sun-synchronous satellites from overpass phase: theory and validation on macrotidal coasts</w:t>
      </w:r>
    </w:p>
    <w:p>
      <w:pPr>
        <w:pStyle w:val="Author"/>
      </w:pPr>
      <w:r>
        <w:t xml:space="preserve">[Author name TBD]</w:t>
      </w:r>
      <w:r>
        <w:rPr>
          <w:vertAlign w:val="superscript"/>
        </w:rPr>
        <w:t xml:space="preserve">1</w:t>
      </w:r>
    </w:p>
    <w:p>
      <w:pPr>
        <w:pStyle w:val="Date"/>
      </w:pPr>
      <w:r>
        <w:t xml:space="preserve">First draft v0.1 — 2026-05-21 · Target journal:</w:t>
      </w:r>
      <w:r>
        <w:t xml:space="preserve"> </w:t>
      </w:r>
      <w:r>
        <w:rPr>
          <w:i/>
          <w:iCs/>
        </w:rPr>
        <w:t xml:space="preserve">Remote Sensing of Environment</w:t>
      </w:r>
      <w:r>
        <w:t xml:space="preserve"> </w:t>
      </w:r>
      <w:r>
        <w:t xml:space="preserve">· ~6,900 words (incl. References)</w:t>
      </w:r>
    </w:p>
    <w:p>
      <w:pPr>
        <w:pStyle w:val="AbstractTitle"/>
      </w:pPr>
      <w:r>
        <w:t xml:space="preserve">Abstract</w:t>
      </w:r>
    </w:p>
    <w:p>
      <w:pPr>
        <w:pStyle w:val="Abstract"/>
      </w:pPr>
      <w:r>
        <w:t xml:space="preserve">The waterline method for mapping intertidal Digital Elevation Models (DEMs) from optical satellite imagery assumes that satellite scenes sample the local tidal cycle without systematic bias. We derive a closed-form, first-order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is the mean cosine of the satellite-overpass tide phase, and we validate it over the macrotidal Korean coast using 5,082 cloud-screened Landsat-8/9 and Sentinel-2 acquisitions (2020–2024) at five tidal flats (Ganghwa-do, Garorim Bay, Gomso Bay, Hampyeong Bay, Suncheon Bay) coupled with hourly tide-gauge observations of the Korea Hydrographic and Oceanographic Agency (KHOA). Sun-synchronous satellites sample only 70–80 % of the local astronomical tidal envelope, systematically missing one extremity. The resulting mean bias has</w:t>
      </w:r>
      <w:r>
        <w:t xml:space="preserve"> </w:t>
      </w:r>
      <w:r>
        <w:rPr>
          <w:i/>
          <w:iCs/>
        </w:rPr>
        <w:t xml:space="preserve">opposite signs</w:t>
      </w:r>
      <w:r>
        <w:t xml:space="preserve"> </w:t>
      </w:r>
      <w:r>
        <w:t xml:space="preserve">on the macrotidal west coast (low-tide bias, −0.5 to −1.2 m) and on the south coast (high-tide bias, +0.3 m), reflecting the regional amphidromic (i.e., tidal-phase-rotation) offset — to our knowledge the first quantitative demonstration of a spatially sign-reversed satellite tide-sampling bias in the optical-waterline literature.</w:t>
      </w:r>
    </w:p>
    <w:p>
      <w:pPr>
        <w:pStyle w:val="Abstract"/>
      </w:pPr>
      <w:r>
        <w:t xml:space="preserve">A bootstrap slope</w:t>
      </w:r>
      <w:r>
        <w:t xml:space="preserve"> </w:t>
      </w:r>
      <m:oMath>
        <m:r>
          <m:t>β</m:t>
        </m:r>
        <m:r>
          <m:rPr>
            <m:sty m:val="p"/>
          </m:rPr>
          <m:t>=</m:t>
        </m:r>
        <m:r>
          <m:t>1.78</m:t>
        </m:r>
      </m:oMath>
      <w:r>
        <w:t xml:space="preserve"> </w:t>
      </w:r>
      <w:r>
        <w:t xml:space="preserve">(95 % CI 1.44–1.91) reproduces the bias across 5 sites and 3 sensors with</w:t>
      </w:r>
      <w:r>
        <w:t xml:space="preserve"> </w:t>
      </w:r>
      <m:oMath>
        <m:sSup>
          <m:e>
            <m:r>
              <m:t>R</m:t>
            </m:r>
          </m:e>
          <m:sup>
            <m:r>
              <m:t>2</m:t>
            </m:r>
          </m:sup>
        </m:sSup>
        <m:r>
          <m:rPr>
            <m:sty m:val="p"/>
          </m:rPr>
          <m:t>=</m:t>
        </m:r>
        <m:r>
          <m:t>0.98</m:t>
        </m:r>
      </m:oMath>
      <w:r>
        <w:t xml:space="preserve"> </w:t>
      </w:r>
      <w:r>
        <w:t xml:space="preserve">and is stable across years, seasons, and sensors (leave-one-site-out Pearson</w:t>
      </w:r>
      <w:r>
        <w:t xml:space="preserve"> </w:t>
      </w:r>
      <m:oMath>
        <m:r>
          <m:t>r</m:t>
        </m:r>
        <m:r>
          <m:rPr>
            <m:sty m:val="p"/>
          </m:rPr>
          <m:t>=</m:t>
        </m:r>
        <m:r>
          <m:t>0.97</m:t>
        </m:r>
      </m:oMath>
      <w:r>
        <w:t xml:space="preserve">, RMSE = 0.16 m, correct sign at 15/15 held-out points), the departure</w:t>
      </w:r>
      <w:r>
        <w:t xml:space="preserve"> </w:t>
      </w:r>
      <m:oMath>
        <m:r>
          <m:t>β</m:t>
        </m:r>
        <m:r>
          <m:rPr>
            <m:sty m:val="p"/>
          </m:rPr>
          <m:t>&gt;</m:t>
        </m:r>
        <m:r>
          <m:t>1</m:t>
        </m:r>
      </m:oMath>
      <w:r>
        <w:t xml:space="preserve"> </w:t>
      </w:r>
      <w:r>
        <w:t xml:space="preserve">itself decomposing analytically into a spring–neap × overpass-phase covariance term that is a physical diagnostic rather than a model deficiency. Replacing the local tide-gauge reference with the global FES2022b astronomical-tide model reproduces the fit (</w:t>
      </w:r>
      <m:oMath>
        <m:r>
          <m:t>β</m:t>
        </m:r>
        <m:r>
          <m:rPr>
            <m:sty m:val="p"/>
          </m:rPr>
          <m:t>=</m:t>
        </m:r>
        <m:r>
          <m:t>1.70</m:t>
        </m:r>
      </m:oMath>
      <w:r>
        <w:t xml:space="preserve">,</w:t>
      </w:r>
      <w:r>
        <w:t xml:space="preserve"> </w:t>
      </w:r>
      <m:oMath>
        <m:sSup>
          <m:e>
            <m:r>
              <m:t>R</m:t>
            </m:r>
          </m:e>
          <m:sup>
            <m:r>
              <m:t>2</m:t>
            </m:r>
          </m:sup>
        </m:sSup>
        <m:r>
          <m:rPr>
            <m:sty m:val="p"/>
          </m:rPr>
          <m:t>=</m:t>
        </m:r>
        <m:r>
          <m:t>0.983</m:t>
        </m:r>
      </m:oMath>
      <w:r>
        <w:t xml:space="preserve">, LOO RMSE = 0.11 m) and the bias sign at every site, demonstrating that the correction is feasible without any local gauge data. Quantile mapping translates the tide-height bias into an elevation-domain RMSE of 0.36–1.09 m and into horizontal contour errors of 179–1,359 m on planar tidal flats, with permanently unsampled intertidal bands up to 2.5 km wide on the macrotidal west coast. Because all current sun-synchronous optical missions cluster near 10:30 local solar time, increasing optical revisit frequency cannot remove the bias; only radar overpasses at a substantially different local solar time (e.g., Sentinel-1 SAR at 06:00 / 18:00 LST, hereafter termed</w:t>
      </w:r>
      <w:r>
        <w:t xml:space="preserve"> </w:t>
      </w:r>
      <w:r>
        <w:rPr>
          <w:i/>
          <w:iCs/>
        </w:rPr>
        <w:t xml:space="preserve">phase-orthogonal</w:t>
      </w:r>
      <w:r>
        <w:t xml:space="preserve">) can close the gap. The closed-form model provides an</w:t>
      </w:r>
      <w:r>
        <w:t xml:space="preserve"> </w:t>
      </w:r>
      <w:r>
        <w:rPr>
          <w:i/>
          <w:iCs/>
        </w:rPr>
        <w:t xml:space="preserve">a priori</w:t>
      </w:r>
      <w:r>
        <w:t xml:space="preserve"> </w:t>
      </w:r>
      <w:r>
        <w:t xml:space="preserve">bias-correction tool requiring only satellite ephemeris and a global tide model, and predicts that the optimal multi-sensor data-collection window is regime-dependent — longer on the macrotidal west coast than in the southern amphidromic regime.</w:t>
      </w:r>
    </w:p>
    <w:p>
      <w:pPr>
        <w:pStyle w:val="Abstract"/>
      </w:pPr>
      <w:r>
        <w:rPr>
          <w:i/>
          <w:iCs/>
        </w:rPr>
        <w:t xml:space="preserve">Keywords</w:t>
      </w:r>
      <w:r>
        <w:t xml:space="preserve">: tidal flat; intertidal DEM; waterline method; tidal aliasing; sun-synchronous orbit; amphidromic system</w:t>
      </w:r>
    </w:p>
    <w:bookmarkStart w:id="9" w:name="highlights"/>
    <w:p>
      <w:pPr>
        <w:pStyle w:val="Heading2"/>
      </w:pPr>
      <w:r>
        <w:t xml:space="preserve">Highlights</w:t>
      </w:r>
    </w:p>
    <w:p>
      <w:pPr>
        <w:pStyle w:val="Compac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Compact"/>
        <w:numPr>
          <w:ilvl w:val="0"/>
          <w:numId w:val="1001"/>
        </w:numPr>
      </w:pPr>
      <w:r>
        <w:t xml:space="preserve">Bipolar tide-bias sign reverses across the Korean amphidromic phase gradient</w:t>
      </w:r>
    </w:p>
    <w:p>
      <w:pPr>
        <w:pStyle w:val="Compact"/>
        <w:numPr>
          <w:ilvl w:val="0"/>
          <w:numId w:val="1001"/>
        </w:numPr>
      </w:pPr>
      <m:oMath>
        <m:r>
          <m:t>β</m:t>
        </m:r>
        <m:r>
          <m:rPr>
            <m:sty m:val="p"/>
          </m:rPr>
          <m:t>&gt;</m:t>
        </m:r>
        <m:r>
          <m:t>1</m:t>
        </m:r>
      </m:oMath>
      <w:r>
        <w:t xml:space="preserve"> </w:t>
      </w:r>
      <w:r>
        <w:t xml:space="preserve">decomposes into a spring–neap × overpass-phase covariance diagnostic</w:t>
      </w:r>
    </w:p>
    <w:p>
      <w:pPr>
        <w:pStyle w:val="Compact"/>
        <w:numPr>
          <w:ilvl w:val="0"/>
          <w:numId w:val="1001"/>
        </w:numPr>
      </w:pPr>
      <w:r>
        <w:t xml:space="preserve">FES2022b global model reproduces the fit; no local tide-gauge data required</w:t>
      </w:r>
    </w:p>
    <w:p>
      <w:pPr>
        <w:pStyle w:val="Compact"/>
        <w:numPr>
          <w:ilvl w:val="0"/>
          <w:numId w:val="1001"/>
        </w:numPr>
      </w:pPr>
      <w:r>
        <w:t xml:space="preserve">Yields 0.4–1.1 m DEM error and up to 2.5 km of permanently unsampled flats</w:t>
      </w:r>
    </w:p>
    <w:p>
      <w:r>
        <w:pict>
          <v:rect style="width:0;height:1.5pt" o:hralign="center" o:hrstd="t" o:hr="t"/>
        </w:pict>
      </w:r>
    </w:p>
    <w:bookmarkEnd w:id="9"/>
    <w:bookmarkStart w:id="15" w:name="introduction"/>
    <w:p>
      <w:pPr>
        <w:pStyle w:val="Heading2"/>
      </w:pPr>
      <w:r>
        <w:t xml:space="preserve">1. Introduction</w:t>
      </w:r>
    </w:p>
    <w:bookmarkStart w:id="10" w:name="Xd1a01b4ce11f7729bcfcb51ec49e659ad6c316f"/>
    <w:p>
      <w:pPr>
        <w:pStyle w:val="Heading3"/>
      </w:pPr>
      <w:r>
        <w:t xml:space="preserve">1.1 Tidal flats and the need for vertical reference</w:t>
      </w:r>
    </w:p>
    <w:p>
      <w:pPr>
        <w:pStyle w:val="FirstParagraph"/>
      </w:pPr>
      <w:r>
        <w:t xml:space="preserve">Tidal flats are among the largest, most biologically productive, and economically important coastal ecosystems on Earth (Murray et al., 2019; Worm et al., 2006).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Body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 (Xu et al., 2022).</w:t>
      </w:r>
    </w:p>
    <w:bookmarkEnd w:id="10"/>
    <w:bookmarkStart w:id="11" w:name="the-waterline-method"/>
    <w:p>
      <w:pPr>
        <w:pStyle w:val="Heading3"/>
      </w:pPr>
      <w:r>
        <w:t xml:space="preserve">1.2 The waterline method</w:t>
      </w:r>
    </w:p>
    <w:p>
      <w:pPr>
        <w:pStyle w:val="FirstParagraph"/>
      </w:pPr>
      <w:r>
        <w:t xml:space="preserve">The most widely used satellite-based alternative is the</w:t>
      </w:r>
      <w:r>
        <w:t xml:space="preserve"> </w:t>
      </w:r>
      <w:r>
        <w:rPr>
          <w:b/>
          <w:bCs/>
        </w:rPr>
        <w:t xml:space="preserve">waterline method</w:t>
      </w:r>
      <w:r>
        <w:t xml:space="preserve"> </w:t>
      </w:r>
      <w:r>
        <w:t xml:space="preserve">(Mason et al., 1995; Heygster et al., 2010; Murray et al., 2012).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 (Sagar et al., 2017; Bishop-Taylor et al., 2019a) and a growing global literature (Liu et al., 2015; Tseng et al., 2017; Khan et al., 2019; Salameh et al., 2019; Wang et al., 2020). A complementary line of work derives intertidal elevation more directly, combining ICESat-2 laser altimetry with optical or SAR waterlines to anchor the vertical reference (Zhang et al., 2022; Xin et al., 2025).</w:t>
      </w:r>
    </w:p>
    <w:p>
      <w:pPr>
        <w:pStyle w:val="Body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11"/>
    <w:bookmarkStart w:id="12" w:name="Xccf7598b0bf19529ddaa3cdc4203c6150a8dcfb"/>
    <w:p>
      <w:pPr>
        <w:pStyle w:val="Heading3"/>
      </w:pPr>
      <w:r>
        <w:t xml:space="preserve">1.3 Tidal aliasing: a recognised problem, incompletely quantified</w:t>
      </w:r>
    </w:p>
    <w:p>
      <w:pPr>
        <w:pStyle w:val="FirstParagraph"/>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 (2019b) documented the resulting</w:t>
      </w:r>
      <w:r>
        <w:t xml:space="preserve"> </w:t>
      </w:r>
      <w:r>
        <w:rPr>
          <w:i/>
          <w:iCs/>
        </w:rPr>
        <w:t xml:space="preserve">tidal aliasing</w:t>
      </w:r>
      <w:r>
        <w:t xml:space="preserve"> </w:t>
      </w:r>
      <w:r>
        <w:t xml:space="preserve">for the Digital Earth Australia Intertidal product, showing that satellite-sampled tide-height distributions exhibit a non-zero mean bias and a truncated range relative to the underlying tidal cycle; the open-source eo-tides package (Bishop-Taylor et al., 2025) has since made the diagnostic accessible at global scale. Sent et al. (2025) 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BodyText"/>
      </w:pPr>
      <w:r>
        <w:t xml:space="preserve">In the Korean context, the</w:t>
      </w:r>
      <w:r>
        <w:t xml:space="preserve"> </w:t>
      </w:r>
      <w:r>
        <w:rPr>
          <w:i/>
          <w:iCs/>
        </w:rPr>
        <w:t xml:space="preserve">altimetry-domain</w:t>
      </w:r>
      <w:r>
        <w:t xml:space="preserve"> </w:t>
      </w:r>
      <w:r>
        <w:t xml:space="preserve">analogue of this phenomenon was reported by Lee, K. et al. (2022),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Body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 (Lee, J. et al., 2025).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BodyText"/>
      </w:pPr>
      <w:r>
        <w:t xml:space="preserve">Three open questions remain:</w:t>
      </w:r>
    </w:p>
    <w:p>
      <w:pPr>
        <w:pStyle w:val="Compact"/>
        <w:numPr>
          <w:ilvl w:val="0"/>
          <w:numId w:val="1002"/>
        </w:numPr>
      </w:pPr>
      <w:r>
        <w:rPr>
          <w:b/>
          <w:bCs/>
        </w:rPr>
        <w:t xml:space="preserve">Is the bias systematic and predictable, or noisy and idiosyncratic?</w:t>
      </w:r>
    </w:p>
    <w:p>
      <w:pPr>
        <w:pStyle w:val="Compact"/>
        <w:numPr>
          <w:ilvl w:val="0"/>
          <w:numId w:val="1002"/>
        </w:numPr>
      </w:pPr>
      <w:r>
        <w:rPr>
          <w:b/>
          <w:bCs/>
        </w:rPr>
        <w:t xml:space="preserve">How does the bias vary across regional amphidromic phase gradients?</w:t>
      </w:r>
    </w:p>
    <w:p>
      <w:pPr>
        <w:pStyle w:val="Compact"/>
        <w:numPr>
          <w:ilvl w:val="0"/>
          <w:numId w:val="1002"/>
        </w:numPr>
      </w:pPr>
      <w:r>
        <w:rPr>
          <w:b/>
          <w:bCs/>
        </w:rPr>
        <w:t xml:space="preserve">What is the practical translation of the tide-height bias into the DEM elevation domain, and at what scale does it matter?</w:t>
      </w:r>
    </w:p>
    <w:p>
      <w:pPr>
        <w:pStyle w:val="FirstParagraph"/>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Study</w:t>
            </w:r>
          </w:p>
        </w:tc>
        <w:tc>
          <w:tcPr/>
          <w:p>
            <w:pPr>
              <w:pStyle w:val="Compact"/>
            </w:pPr>
            <w:r>
              <w:rPr>
                <w:b/>
                <w:bCs/>
              </w:rPr>
              <w:t xml:space="preserve">Region</w:t>
            </w:r>
          </w:p>
        </w:tc>
        <w:tc>
          <w:tcPr/>
          <w:p>
            <w:pPr>
              <w:pStyle w:val="Compact"/>
            </w:pPr>
            <w:r>
              <w:rPr>
                <w:b/>
                <w:bCs/>
              </w:rPr>
              <w:t xml:space="preserve">Sensors</w:t>
            </w:r>
          </w:p>
        </w:tc>
        <w:tc>
          <w:tcPr/>
          <w:p>
            <w:pPr>
              <w:pStyle w:val="Compact"/>
            </w:pPr>
            <w:r>
              <w:rPr>
                <w:b/>
                <w:bCs/>
              </w:rPr>
              <w:t xml:space="preserve">Method</w:t>
            </w:r>
          </w:p>
        </w:tc>
        <w:tc>
          <w:tcPr/>
          <w:p>
            <w:pPr>
              <w:pStyle w:val="Compact"/>
            </w:pPr>
            <w:r>
              <w:rPr>
                <w:b/>
                <w:bCs/>
              </w:rPr>
              <w:t xml:space="preserve">Output</w:t>
            </w:r>
          </w:p>
        </w:tc>
        <w:tc>
          <w:tcPr/>
          <w:p>
            <w:pPr>
              <w:pStyle w:val="Compact"/>
            </w:pPr>
            <w:r>
              <w:rPr>
                <w:b/>
                <w:bCs/>
              </w:rPr>
              <w:t xml:space="preserve">Treatment of sampling bias</w:t>
            </w:r>
          </w:p>
        </w:tc>
      </w:tr>
      <w:tr>
        <w:tc>
          <w:tcPr/>
          <w:p>
            <w:pPr>
              <w:pStyle w:val="Compact"/>
            </w:pPr>
            <w:r>
              <w:t xml:space="preserve">Ryu et al. (2002)</w:t>
            </w:r>
          </w:p>
        </w:tc>
        <w:tc>
          <w:tcPr/>
          <w:p>
            <w:pPr>
              <w:pStyle w:val="Compact"/>
            </w:pPr>
            <w:r>
              <w:t xml:space="preserve">Gomso Bay (W)</w:t>
            </w:r>
          </w:p>
        </w:tc>
        <w:tc>
          <w:tcPr/>
          <w:p>
            <w:pPr>
              <w:pStyle w:val="Compact"/>
            </w:pPr>
            <w:r>
              <w:t xml:space="preserve">Landsat-TM</w:t>
            </w:r>
          </w:p>
        </w:tc>
        <w:tc>
          <w:tcPr/>
          <w:p>
            <w:pPr>
              <w:pStyle w:val="Compact"/>
            </w:pPr>
            <w:r>
              <w:t xml:space="preserve">Single-scene waterline</w:t>
            </w:r>
          </w:p>
        </w:tc>
        <w:tc>
          <w:tcPr/>
          <w:p>
            <w:pPr>
              <w:pStyle w:val="Compact"/>
            </w:pPr>
            <w:r>
              <w:t xml:space="preserve">Tidal-flat contour, one epoch</w:t>
            </w:r>
          </w:p>
        </w:tc>
        <w:tc>
          <w:tcPr/>
          <w:p>
            <w:pPr>
              <w:pStyle w:val="Compact"/>
            </w:pPr>
            <w:r>
              <w:t xml:space="preserve">Not addressed</w:t>
            </w:r>
          </w:p>
        </w:tc>
      </w:tr>
      <w:tr>
        <w:tc>
          <w:tcPr/>
          <w:p>
            <w:pPr>
              <w:pStyle w:val="Compact"/>
            </w:pPr>
            <w:r>
              <w:t xml:space="preserve">Lee &amp; Ryu (2017)</w:t>
            </w:r>
          </w:p>
        </w:tc>
        <w:tc>
          <w:tcPr/>
          <w:p>
            <w:pPr>
              <w:pStyle w:val="Compact"/>
            </w:pPr>
            <w:r>
              <w:t xml:space="preserve">Ganghwa-do (NW)</w:t>
            </w:r>
          </w:p>
        </w:tc>
        <w:tc>
          <w:tcPr/>
          <w:p>
            <w:pPr>
              <w:pStyle w:val="Compact"/>
            </w:pPr>
            <w:r>
              <w:t xml:space="preserve">TanDEM-X (SAR InSAR)</w:t>
            </w:r>
          </w:p>
        </w:tc>
        <w:tc>
          <w:tcPr/>
          <w:p>
            <w:pPr>
              <w:pStyle w:val="Compact"/>
            </w:pPr>
            <w:r>
              <w:t xml:space="preserve">Phase-based DEM</w:t>
            </w:r>
          </w:p>
        </w:tc>
        <w:tc>
          <w:tcPr/>
          <w:p>
            <w:pPr>
              <w:pStyle w:val="Compact"/>
            </w:pPr>
            <w:r>
              <w:t xml:space="preserve">DEM, single mission</w:t>
            </w:r>
          </w:p>
        </w:tc>
        <w:tc>
          <w:tcPr/>
          <w:p>
            <w:pPr>
              <w:pStyle w:val="Compact"/>
            </w:pPr>
            <w:r>
              <w:t xml:space="preserve">Sensor-specific only</w:t>
            </w:r>
          </w:p>
        </w:tc>
      </w:tr>
      <w:tr>
        <w:tc>
          <w:tcPr/>
          <w:p>
            <w:pPr>
              <w:pStyle w:val="Compact"/>
            </w:pPr>
            <w:r>
              <w:t xml:space="preserve">Yun et al. (2022)</w:t>
            </w:r>
          </w:p>
        </w:tc>
        <w:tc>
          <w:tcPr/>
          <w:p>
            <w:pPr>
              <w:pStyle w:val="Compact"/>
            </w:pPr>
            <w:r>
              <w:t xml:space="preserve">Ganghwa-do (NW)</w:t>
            </w:r>
          </w:p>
        </w:tc>
        <w:tc>
          <w:tcPr/>
          <w:p>
            <w:pPr>
              <w:pStyle w:val="Compact"/>
            </w:pPr>
            <w:r>
              <w:t xml:space="preserve">TanDEM-X</w:t>
            </w:r>
          </w:p>
        </w:tc>
        <w:tc>
          <w:tcPr/>
          <w:p>
            <w:pPr>
              <w:pStyle w:val="Compact"/>
            </w:pPr>
            <w:r>
              <w:t xml:space="preserve">InSAR phase, public service</w:t>
            </w:r>
          </w:p>
        </w:tc>
        <w:tc>
          <w:tcPr/>
          <w:p>
            <w:pPr>
              <w:pStyle w:val="Compact"/>
            </w:pPr>
            <w:r>
              <w:t xml:space="preserve">High-resolution DEM product</w:t>
            </w:r>
          </w:p>
        </w:tc>
        <w:tc>
          <w:tcPr/>
          <w:p>
            <w:pPr>
              <w:pStyle w:val="Compact"/>
            </w:pPr>
            <w:r>
              <w:t xml:space="preserve">Not addressed</w:t>
            </w:r>
          </w:p>
        </w:tc>
      </w:tr>
      <w:tr>
        <w:tc>
          <w:tcPr/>
          <w:p>
            <w:pPr>
              <w:pStyle w:val="Compact"/>
            </w:pPr>
            <w:r>
              <w:t xml:space="preserve">Lee, K. et al. (2022)</w:t>
            </w:r>
          </w:p>
        </w:tc>
        <w:tc>
          <w:tcPr/>
          <w:p>
            <w:pPr>
              <w:pStyle w:val="Compact"/>
            </w:pPr>
            <w:r>
              <w:t xml:space="preserve">Incheon, regional</w:t>
            </w:r>
          </w:p>
        </w:tc>
        <w:tc>
          <w:tcPr/>
          <w:p>
            <w:pPr>
              <w:pStyle w:val="Compact"/>
            </w:pPr>
            <w:r>
              <w:t xml:space="preserve">Multi-mission altimetry (T/P–Jason, Cryosat)</w:t>
            </w:r>
          </w:p>
        </w:tc>
        <w:tc>
          <w:tcPr/>
          <w:p>
            <w:pPr>
              <w:pStyle w:val="Compact"/>
            </w:pPr>
            <w:r>
              <w:t xml:space="preserve">Multi-mission tide-corrected trend</w:t>
            </w:r>
          </w:p>
        </w:tc>
        <w:tc>
          <w:tcPr/>
          <w:p>
            <w:pPr>
              <w:pStyle w:val="Compact"/>
            </w:pPr>
            <w:r>
              <w:t xml:space="preserve">Sea-level-rise rate</w:t>
            </w:r>
          </w:p>
        </w:tc>
        <w:tc>
          <w:tcPr/>
          <w:p>
            <w:pPr>
              <w:pStyle w:val="Compact"/>
            </w:pPr>
            <w:r>
              <w:rPr>
                <w:i/>
                <w:iCs/>
              </w:rPr>
              <w:t xml:space="preserve">Temporal</w:t>
            </w:r>
            <w:r>
              <w:t xml:space="preserve"> </w:t>
            </w:r>
            <w:r>
              <w:t xml:space="preserve">sampling-phase bias (altimetry domain)</w:t>
            </w:r>
          </w:p>
        </w:tc>
      </w:tr>
      <w:tr>
        <w:tc>
          <w:tcPr/>
          <w:p>
            <w:pPr>
              <w:pStyle w:val="Compact"/>
            </w:pPr>
            <w:r>
              <w:t xml:space="preserve">Lee, J. et al. (2025, ECSS)</w:t>
            </w:r>
          </w:p>
        </w:tc>
        <w:tc>
          <w:tcPr/>
          <w:p>
            <w:pPr>
              <w:pStyle w:val="Compact"/>
            </w:pPr>
            <w:r>
              <w:t xml:space="preserve">Taean Peninsula (W)</w:t>
            </w:r>
          </w:p>
        </w:tc>
        <w:tc>
          <w:tcPr/>
          <w:p>
            <w:pPr>
              <w:pStyle w:val="Compact"/>
            </w:pPr>
            <w:r>
              <w:t xml:space="preserve">L8/9 + S2A/B + S1A</w:t>
            </w:r>
          </w:p>
        </w:tc>
        <w:tc>
          <w:tcPr/>
          <w:p>
            <w:pPr>
              <w:pStyle w:val="Compact"/>
            </w:pPr>
            <w:r>
              <w:t xml:space="preserve">Multi-sensor waterline fusion</w:t>
            </w:r>
          </w:p>
        </w:tc>
        <w:tc>
          <w:tcPr/>
          <w:p>
            <w:pPr>
              <w:pStyle w:val="Compact"/>
            </w:pPr>
            <w:r>
              <w:t xml:space="preserve">DEM, 5-month window optimum vs UAV-LiDAR (MAE 25.6 cm)</w:t>
            </w:r>
          </w:p>
        </w:tc>
        <w:tc>
          <w:tcPr/>
          <w:p>
            <w:pPr>
              <w:pStyle w:val="Compact"/>
            </w:pPr>
            <w:r>
              <w:rPr>
                <w:i/>
                <w:iCs/>
              </w:rPr>
              <w:t xml:space="preserve">Empirically</w:t>
            </w:r>
            <w:r>
              <w:t xml:space="preserve"> </w:t>
            </w:r>
            <w:r>
              <w:t xml:space="preserve">optimised (fuse optical + SAR)</w:t>
            </w:r>
          </w:p>
        </w:tc>
      </w:tr>
      <w:tr>
        <w:tc>
          <w:tcPr/>
          <w:p>
            <w:pPr>
              <w:pStyle w:val="Compact"/>
            </w:pPr>
            <w:r>
              <w:rPr>
                <w:b/>
                <w:bCs/>
              </w:rPr>
              <w:t xml:space="preserve">This study</w:t>
            </w:r>
          </w:p>
        </w:tc>
        <w:tc>
          <w:tcPr/>
          <w:p>
            <w:pPr>
              <w:pStyle w:val="Compact"/>
            </w:pPr>
            <w:r>
              <w:rPr>
                <w:b/>
                <w:bCs/>
              </w:rPr>
              <w:t xml:space="preserve">W + S coasts, 5 sites (2020–2024)</w:t>
            </w:r>
          </w:p>
        </w:tc>
        <w:tc>
          <w:tcPr/>
          <w:p>
            <w:pPr>
              <w:pStyle w:val="Compact"/>
            </w:pPr>
            <w:r>
              <w:rPr>
                <w:b/>
                <w:bCs/>
              </w:rPr>
              <w:t xml:space="preserve">L8/9 + S2 (metadata; 5,082 scenes)</w:t>
            </w:r>
          </w:p>
        </w:tc>
        <w:tc>
          <w:tcPr/>
          <w:p>
            <w:pPr>
              <w:pStyle w:val="Compac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A priori</w:t>
            </w:r>
            <w:r>
              <w:rPr>
                <w:b/>
                <w:bCs/>
              </w:rPr>
              <w:t xml:space="preserve"> </w:t>
            </w:r>
            <w:r>
              <w:rPr>
                <w:b/>
                <w:bCs/>
              </w:rPr>
              <w:t xml:space="preserve">bias-correction model + DEM error budget</w:t>
            </w:r>
          </w:p>
        </w:tc>
        <w:tc>
          <w:tcPr/>
          <w:p>
            <w:pPr>
              <w:pStyle w:val="Compac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Body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12"/>
    <w:bookmarkStart w:id="13" w:name="the-korean-macrotidal-context"/>
    <w:p>
      <w:pPr>
        <w:pStyle w:val="Heading3"/>
      </w:pPr>
      <w:r>
        <w:t xml:space="preserve">1.4 The Korean macrotidal context</w:t>
      </w:r>
    </w:p>
    <w:p>
      <w:pPr>
        <w:pStyle w:val="FirstParagraph"/>
      </w:pPr>
      <w:r>
        <w:t xml:space="preserve">The Korean western coast hosts approximately 2,500 km</w:t>
      </w:r>
      <m:oMath>
        <m:sSup>
          <m:e>
            <m:r>
              <m:t>​</m:t>
            </m:r>
          </m:e>
          <m:sup>
            <m:r>
              <m:t>2</m:t>
            </m:r>
          </m:sup>
        </m:sSup>
      </m:oMath>
      <w:r>
        <w:t xml:space="preserve"> </w:t>
      </w:r>
      <w:r>
        <w:t xml:space="preserve">of intertidal flats — among the largest in East Asia (Koh and Khim, 2014; Murray et al., 2014) —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 (Choi et al., 2014).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13"/>
    <w:bookmarkStart w:id="14" w:name="contribution"/>
    <w:p>
      <w:pPr>
        <w:pStyle w:val="Heading3"/>
      </w:pPr>
      <w:r>
        <w:t xml:space="preserve">1.5 Contribution</w:t>
      </w:r>
    </w:p>
    <w:p>
      <w:pPr>
        <w:pStyle w:val="FirstParagraph"/>
      </w:pPr>
      <w:r>
        <w:t xml:space="preserve">This paper is positioned as a</w:t>
      </w:r>
      <w:r>
        <w:t xml:space="preserve"> </w:t>
      </w:r>
      <w:r>
        <w:rPr>
          <w:i/>
          <w:iCs/>
        </w:rPr>
        <w:t xml:space="preserve">theoretical companion</w:t>
      </w:r>
      <w:r>
        <w:t xml:space="preserve"> </w:t>
      </w:r>
      <w:r>
        <w:t xml:space="preserve">to the empirical waterline-optimisation literature (Bishop-Taylor et al., 2019a, b; Sagar et al., 2017; Murray et al., 2019; Salameh et al., 2019; Ryu et al., 2002, 2008; Lee and Ryu, 2017; Yun et al., 2022; Lee, J. et al., 2025).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 (2022) (Conclusion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FirstParagraph"/>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14"/>
    <w:bookmarkEnd w:id="15"/>
    <w:bookmarkStart w:id="22" w:name="study-area-and-data"/>
    <w:p>
      <w:pPr>
        <w:pStyle w:val="Heading2"/>
      </w:pPr>
      <w:r>
        <w:t xml:space="preserve">2. Study area and data</w:t>
      </w:r>
    </w:p>
    <w:bookmarkStart w:id="19" w:name="sites"/>
    <w:p>
      <w:pPr>
        <w:pStyle w:val="Heading3"/>
      </w:pPr>
      <w:r>
        <w:t xml:space="preserve">2.1 Sites</w:t>
      </w:r>
    </w:p>
    <w:p>
      <w:pPr>
        <w:pStyle w:val="FirstParagraph"/>
      </w:pPr>
      <w:r>
        <w:t xml:space="preserve">Five tidal flats spanning the entire western and southern Korean coast were chosen to span the full range of local tidal amplitudes and regional phase offsets (Figure 1; Table 2):</w:t>
      </w:r>
    </w:p>
    <w:p>
      <w:pPr>
        <w:pStyle w:val="Compac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Compac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Compac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Compac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Compac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FirstParagraph"/>
      </w:pPr>
      <w:r>
        <w:t xml:space="preserve">Each site is matched with the nearest principal tide-gauge of the Korea Hydrographic and Oceanographic Agency (KHOA; Figure 1, triangles).</w:t>
      </w:r>
    </w:p>
    <w:p>
      <w:pPr>
        <w:pStyle w:val="BodyText"/>
      </w:pPr>
      <w:r>
        <w:t xml:space="preserve">Garorim Bay lies approximately 30 km north of the Taean Peninsula sub-region addressed by recent multi-sensor west-coast DEM studies (Lee, J. et al., 2025) 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BodyText"/>
      </w:pPr>
      <w:r>
        <w:drawing>
          <wp:inline>
            <wp:extent cx="4800600" cy="4237613"/>
            <wp:effectExtent b="0" l="0" r="0" t="0"/>
            <wp:docPr descr="" title="" id="17" name="Picture"/>
            <a:graphic>
              <a:graphicData uri="http://schemas.openxmlformats.org/drawingml/2006/picture">
                <pic:pic>
                  <pic:nvPicPr>
                    <pic:cNvPr descr="figures/fig1_study_area.png" id="18" name="Picture"/>
                    <pic:cNvPicPr>
                      <a:picLocks noChangeArrowheads="1" noChangeAspect="1"/>
                    </pic:cNvPicPr>
                  </pic:nvPicPr>
                  <pic:blipFill>
                    <a:blip r:embed="rId16"/>
                    <a:stretch>
                      <a:fillRect/>
                    </a:stretch>
                  </pic:blipFill>
                  <pic:spPr bwMode="auto">
                    <a:xfrm>
                      <a:off x="0" y="0"/>
                      <a:ext cx="4800600" cy="423761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19"/>
    <w:bookmarkStart w:id="20" w:name="tide-gauge-reference-khoa-open-api"/>
    <w:p>
      <w:pPr>
        <w:pStyle w:val="Heading3"/>
      </w:pPr>
      <w:r>
        <w:t xml:space="preserve">2.2 Tide-gauge reference: KHOA Open API</w:t>
      </w:r>
    </w:p>
    <w:p>
      <w:pPr>
        <w:pStyle w:val="FirstParagraph"/>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20"/>
    <w:bookmarkStart w:id="21" w:name="satellite-metadata-google-earth-engine"/>
    <w:p>
      <w:pPr>
        <w:pStyle w:val="Heading3"/>
      </w:pPr>
      <w:r>
        <w:t xml:space="preserve">2.3 Satellite metadata: Google Earth Engine</w:t>
      </w:r>
    </w:p>
    <w:p>
      <w:pPr>
        <w:pStyle w:val="FirstParagraph"/>
      </w:pPr>
      <w:r>
        <w:t xml:space="preserve">Per-scene metadata (acquisition time, scene ID, cloud-cover fraction, WRS/MGRS tile) were extracted from Google Earth Engine (Gorelick et al., 2017) 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 Drusch et al., 2012).</w:t>
      </w:r>
    </w:p>
    <w:p>
      <w:pPr>
        <w:pStyle w:val="Body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Site</w:t>
            </w:r>
          </w:p>
        </w:tc>
        <w:tc>
          <w:tcPr/>
          <w:p>
            <w:pPr>
              <w:pStyle w:val="Compact"/>
            </w:pPr>
            <w:r>
              <w:rPr>
                <w:b/>
                <w:bCs/>
              </w:rPr>
              <w:t xml:space="preserve">KHOA gauge</w:t>
            </w:r>
          </w:p>
        </w:tc>
        <w:tc>
          <w:tcPr/>
          <w:p>
            <w:pPr>
              <w:pStyle w:val="Compact"/>
            </w:pPr>
            <w:r>
              <w:rPr>
                <w:b/>
                <w:bCs/>
              </w:rPr>
              <w:t xml:space="preserve">KHOA rows</w:t>
            </w:r>
          </w:p>
        </w:tc>
        <w:tc>
          <w:tcPr/>
          <w:p>
            <w:pPr>
              <w:pStyle w:val="Compact"/>
            </w:pPr>
            <w:r>
              <w:rPr>
                <w:b/>
                <w:bCs/>
              </w:rPr>
              <w:t xml:space="preserve">Sat. scenes (L8 / L9 / S2)</w:t>
            </w:r>
          </w:p>
        </w:tc>
        <w:tc>
          <w:tcPr/>
          <w:p>
            <w:pPr>
              <w:pStyle w:val="Compact"/>
            </w:pPr>
            <w:r>
              <w:rPr>
                <w:b/>
                <w:bCs/>
              </w:rPr>
              <w:t xml:space="preserve">Planar slope (m/km)</w:t>
            </w:r>
          </w:p>
        </w:tc>
      </w:tr>
      <w:tr>
        <w:tc>
          <w:tcPr/>
          <w:p>
            <w:pPr>
              <w:pStyle w:val="Compact"/>
            </w:pPr>
            <w:r>
              <w:t xml:space="preserve">Ganghwa-do</w:t>
            </w:r>
          </w:p>
        </w:tc>
        <w:tc>
          <w:tcPr/>
          <w:p>
            <w:pPr>
              <w:pStyle w:val="Compact"/>
            </w:pPr>
            <w:r>
              <w:t xml:space="preserve">Incheon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Garorim Bay</w:t>
            </w:r>
          </w:p>
        </w:tc>
        <w:tc>
          <w:tcPr/>
          <w:p>
            <w:pPr>
              <w:pStyle w:val="Compact"/>
            </w:pPr>
            <w:r>
              <w:t xml:space="preserve">Anheung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Gomso Bay</w:t>
            </w:r>
          </w:p>
        </w:tc>
        <w:tc>
          <w:tcPr/>
          <w:p>
            <w:pPr>
              <w:pStyle w:val="Compact"/>
            </w:pPr>
            <w:r>
              <w:t xml:space="preserve">Gunsan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Hampyeong Bay</w:t>
            </w:r>
          </w:p>
        </w:tc>
        <w:tc>
          <w:tcPr/>
          <w:p>
            <w:pPr>
              <w:pStyle w:val="Compact"/>
            </w:pPr>
            <w:r>
              <w:t xml:space="preserve">Yeonggwang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Suncheon Bay</w:t>
            </w:r>
          </w:p>
        </w:tc>
        <w:tc>
          <w:tcPr/>
          <w:p>
            <w:pPr>
              <w:pStyle w:val="Compact"/>
            </w:pPr>
            <w:r>
              <w:t xml:space="preserve">Yeosu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BodyText"/>
      </w:pPr>
      <w:r>
        <w:t xml:space="preserve">Tide heights at each satellite acquisition time were obtained by linear interpolation of the hourly KHOA series between bracketing hours.</w:t>
      </w:r>
    </w:p>
    <w:p>
      <w:r>
        <w:pict>
          <v:rect style="width:0;height:1.5pt" o:hralign="center" o:hrstd="t" o:hr="t"/>
        </w:pict>
      </w:r>
    </w:p>
    <w:bookmarkEnd w:id="21"/>
    <w:bookmarkEnd w:id="22"/>
    <w:bookmarkStart w:id="29" w:name="material-and-methods"/>
    <w:p>
      <w:pPr>
        <w:pStyle w:val="Heading2"/>
      </w:pPr>
      <w:r>
        <w:t xml:space="preserve">3. Material and methods</w:t>
      </w:r>
    </w:p>
    <w:bookmarkStart w:id="23" w:name="aliasing-metrics"/>
    <w:p>
      <w:pPr>
        <w:pStyle w:val="Heading3"/>
      </w:pPr>
      <w:r>
        <w:t xml:space="preserve">3.1 Aliasing metrics</w:t>
      </w:r>
    </w:p>
    <w:p>
      <w:pPr>
        <w:pStyle w:val="FirstParagraph"/>
      </w:pPr>
      <w:r>
        <w:t xml:space="preserve">For each (site, sensor) combination, we use the standard set of aliasing metrics introduced for sun-synchronous waterline analysis (Bishop-Taylor et al., 2019b; Bishop-Taylor et al., 2025):</w:t>
      </w:r>
    </w:p>
    <w:p>
      <w:pPr>
        <w:pStyle w:val="Compac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Compac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Compac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Compac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Compac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23"/>
    <w:bookmarkStart w:id="24" w:name="tidal-phase"/>
    <w:p>
      <w:pPr>
        <w:pStyle w:val="Heading3"/>
      </w:pPr>
      <w:r>
        <w:t xml:space="preserve">3.2 Tidal phase</w:t>
      </w:r>
    </w:p>
    <w:p>
      <w:pPr>
        <w:pStyle w:val="FirstParagraph"/>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Compac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24"/>
    <w:bookmarkStart w:id="25" w:name="analytical-bias-model"/>
    <w:p>
      <w:pPr>
        <w:pStyle w:val="Heading3"/>
      </w:pPr>
      <w:r>
        <w:t xml:space="preserve">3.3 Analytical bias model</w:t>
      </w:r>
    </w:p>
    <w:p>
      <w:pPr>
        <w:pStyle w:val="FirstParagraph"/>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Body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FirstParagraph"/>
      </w:pPr>
      <w:r>
        <w:t xml:space="preserve">so that the bias can be written</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Body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FirstParagraph"/>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25"/>
    <w:bookmarkStart w:id="26" w:name="stability-tests"/>
    <w:p>
      <w:pPr>
        <w:pStyle w:val="Heading3"/>
      </w:pPr>
      <w:r>
        <w:t xml:space="preserve">3.4 Stability tests</w:t>
      </w:r>
    </w:p>
    <w:p>
      <w:pPr>
        <w:pStyle w:val="FirstParagraph"/>
      </w:pPr>
      <w:r>
        <w:t xml:space="preserve">We test the temporal/sensor robustness of Eq. (1) by partitioning the data along four axes and re-fitting:</w:t>
      </w:r>
    </w:p>
    <w:p>
      <w:pPr>
        <w:pStyle w:val="Compact"/>
        <w:numPr>
          <w:ilvl w:val="0"/>
          <w:numId w:val="1007"/>
        </w:numPr>
      </w:pPr>
      <w:r>
        <w:rPr>
          <w:b/>
          <w:bCs/>
        </w:rPr>
        <w:t xml:space="preserve">Annual</w:t>
      </w:r>
      <w:r>
        <w:t xml:space="preserve">: 5 fits, one per calendar year 2020–2024.</w:t>
      </w:r>
    </w:p>
    <w:p>
      <w:pPr>
        <w:pStyle w:val="Compact"/>
        <w:numPr>
          <w:ilvl w:val="0"/>
          <w:numId w:val="1007"/>
        </w:numPr>
      </w:pPr>
      <w:r>
        <w:rPr>
          <w:b/>
          <w:bCs/>
        </w:rPr>
        <w:t xml:space="preserve">Seasonal</w:t>
      </w:r>
      <w:r>
        <w:t xml:space="preserve">: 4 fits, one per DJF / MAM / JJA / SON.</w:t>
      </w:r>
    </w:p>
    <w:p>
      <w:pPr>
        <w:pStyle w:val="Compact"/>
        <w:numPr>
          <w:ilvl w:val="0"/>
          <w:numId w:val="1007"/>
        </w:numPr>
      </w:pPr>
      <w:r>
        <w:rPr>
          <w:b/>
          <w:bCs/>
        </w:rPr>
        <w:t xml:space="preserve">Sensor</w:t>
      </w:r>
      <w:r>
        <w:t xml:space="preserve">: 3 fits, one per L8 / L9 / S2.</w:t>
      </w:r>
    </w:p>
    <w:p>
      <w:pPr>
        <w:pStyle w:val="Compact"/>
        <w:numPr>
          <w:ilvl w:val="0"/>
          <w:numId w:val="1007"/>
        </w:numPr>
      </w:pPr>
      <w:r>
        <w:rPr>
          <w:b/>
          <w:bCs/>
        </w:rPr>
        <w:t xml:space="preserve">Leave-one-site-out</w:t>
      </w:r>
      <w:r>
        <w:t xml:space="preserve">: 5 fits, each training on 4 sites (12 points) and predicting the 5th site’s 3 sensors.</w:t>
      </w:r>
    </w:p>
    <w:p>
      <w:pPr>
        <w:pStyle w:val="FirstParagraph"/>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26"/>
    <w:bookmarkStart w:id="27" w:name="conversion-to-elevation-domain-dem-error"/>
    <w:p>
      <w:pPr>
        <w:pStyle w:val="Heading3"/>
      </w:pPr>
      <w:r>
        <w:t xml:space="preserve">3.5 Conversion to elevation-domain DEM error</w:t>
      </w:r>
    </w:p>
    <w:p>
      <w:pPr>
        <w:pStyle w:val="FirstParagraph"/>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Aggregate elevation-domain metrics:</w:t>
      </w:r>
    </w:p>
    <w:p>
      <w:pPr>
        <w:pStyle w:val="Compac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Compac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FirstParagraph"/>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 (Lee and Ryu, 2017; Yun et al., 2022), Garorim Bay = 1.5 m/km (Lee, J. et al., 2025), Gomso Bay = 1.2 m/km (Ryu et al., 2002, 2008), Hampyeong Bay = 1.5 m/km (assumed comparable to Gomso based on Koh and Khim, 2014),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27"/>
    <w:bookmarkStart w:id="28" w:name="implementation"/>
    <w:p>
      <w:pPr>
        <w:pStyle w:val="Heading3"/>
      </w:pPr>
      <w:r>
        <w:t xml:space="preserve">3.6 Implementation</w:t>
      </w:r>
    </w:p>
    <w:p>
      <w:pPr>
        <w:pStyle w:val="FirstParagraph"/>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 Codiga, 2011),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(Lyard et al., 2021;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28"/>
    <w:bookmarkEnd w:id="29"/>
    <w:bookmarkStart w:id="58" w:name="results"/>
    <w:p>
      <w:pPr>
        <w:pStyle w:val="Heading2"/>
      </w:pPr>
      <w:r>
        <w:t xml:space="preserve">4. Results</w:t>
      </w:r>
    </w:p>
    <w:bookmarkStart w:id="36" w:name="Xd8b9a8778374a11dda8b58c10124160665a15be"/>
    <w:p>
      <w:pPr>
        <w:pStyle w:val="Heading3"/>
      </w:pPr>
      <w:r>
        <w:t xml:space="preserve">4.1 Cross-site tidal sampling distributions reveal a bipolar bias</w:t>
      </w:r>
    </w:p>
    <w:p>
      <w:pPr>
        <w:pStyle w:val="FirstParagraph"/>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BodyText"/>
      </w:pPr>
      <w:r>
        <w:drawing>
          <wp:inline>
            <wp:extent cx="4907280" cy="2295340"/>
            <wp:effectExtent b="0" l="0" r="0" t="0"/>
            <wp:docPr descr="" title="" id="31" name="Picture"/>
            <a:graphic>
              <a:graphicData uri="http://schemas.openxmlformats.org/drawingml/2006/picture">
                <pic:pic>
                  <pic:nvPicPr>
                    <pic:cNvPr descr="figures/fig2_distribution_grid.png" id="32" name="Picture"/>
                    <pic:cNvPicPr>
                      <a:picLocks noChangeArrowheads="1" noChangeAspect="1"/>
                    </pic:cNvPicPr>
                  </pic:nvPicPr>
                  <pic:blipFill>
                    <a:blip r:embed="rId30"/>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Body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BodyText"/>
      </w:pPr>
      <w:r>
        <w:drawing>
          <wp:inline>
            <wp:extent cx="5067300" cy="1379962"/>
            <wp:effectExtent b="0" l="0" r="0" t="0"/>
            <wp:docPr descr="" title="" id="34" name="Picture"/>
            <a:graphic>
              <a:graphicData uri="http://schemas.openxmlformats.org/drawingml/2006/picture">
                <pic:pic>
                  <pic:nvPicPr>
                    <pic:cNvPr descr="figures/fig3_bipolar_bias.png" id="35" name="Picture"/>
                    <pic:cNvPicPr>
                      <a:picLocks noChangeArrowheads="1" noChangeAspect="1"/>
                    </pic:cNvPicPr>
                  </pic:nvPicPr>
                  <pic:blipFill>
                    <a:blip r:embed="rId33"/>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Site</w:t>
            </w:r>
          </w:p>
        </w:tc>
        <w:tc>
          <w:tcPr/>
          <w:p>
            <w:pPr>
              <w:pStyle w:val="Compact"/>
            </w:pPr>
            <w:r>
              <w:rPr>
                <w:b/>
                <w:bCs/>
              </w:rPr>
              <w:t xml:space="preserve">Sensor</w:t>
            </w:r>
          </w:p>
        </w:tc>
        <w:tc>
          <w:tcPr/>
          <w:p>
            <w:pPr>
              <w:pStyle w:val="Compact"/>
            </w:pPr>
            <w:r>
              <w:rPr>
                <w:b/>
                <w:bCs/>
              </w:rPr>
              <w:t xml:space="preserve">n</w:t>
            </w:r>
          </w:p>
        </w:tc>
        <w:tc>
          <w:tcPr/>
          <w:p>
            <w:pPr>
              <w:pStyle w:val="Compact"/>
            </w:pPr>
            <w:r>
              <w:rPr>
                <w:b/>
                <w:bCs/>
              </w:rPr>
              <w:t xml:space="preserve">Spread</w:t>
            </w:r>
          </w:p>
        </w:tc>
        <w:tc>
          <w:tcPr/>
          <w:p>
            <w:pPr>
              <w:pStyle w:val="Compact"/>
            </w:pPr>
            <w:r>
              <w:rPr>
                <w:b/>
                <w:bCs/>
              </w:rPr>
              <w:t xml:space="preserve">High off.</w:t>
            </w:r>
          </w:p>
        </w:tc>
        <w:tc>
          <w:tcPr/>
          <w:p>
            <w:pPr>
              <w:pStyle w:val="Compact"/>
            </w:pPr>
            <w:r>
              <w:rPr>
                <w:b/>
                <w:bCs/>
              </w:rPr>
              <w:t xml:space="preserve">Low off.</w:t>
            </w:r>
          </w:p>
        </w:tc>
        <w:tc>
          <w:tcPr/>
          <w:p>
            <w:pPr>
              <w:pStyle w:val="Compact"/>
            </w:pPr>
            <w:r>
              <w:rPr>
                <w:b/>
                <w:bCs/>
              </w:rPr>
              <w:t xml:space="preserve">Mean bias (m)</w:t>
            </w:r>
          </w:p>
        </w:tc>
      </w:tr>
      <w:tr>
        <w:tc>
          <w:tcPr/>
          <w:p>
            <w:pPr>
              <w:pStyle w:val="Compact"/>
            </w:pPr>
            <w:r>
              <w:t xml:space="preserve">Ganghwa</w:t>
            </w: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r>
              <w:t xml:space="preserve">Ganghwa</w:t>
            </w: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r>
              <w:t xml:space="preserve">Ganghwa</w:t>
            </w: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Garorim</w:t>
            </w: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r>
              <w:t xml:space="preserve">Garorim</w:t>
            </w: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r>
              <w:t xml:space="preserve">Garorim</w:t>
            </w: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Gomso</w:t>
            </w: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r>
              <w:t xml:space="preserve">Gomso</w:t>
            </w: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r>
              <w:t xml:space="preserve">Gomso</w:t>
            </w: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Hampyeong</w:t>
            </w: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r>
              <w:t xml:space="preserve">Hampyeong</w:t>
            </w: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r>
              <w:t xml:space="preserve">Hampyeong</w:t>
            </w: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rPr>
                <w:b/>
                <w:bCs/>
              </w:rPr>
              <w:t xml:space="preserve">Suncheon</w:t>
            </w: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rPr>
                <w:b/>
                <w:bCs/>
              </w:rPr>
              <w:t xml:space="preserve">0.00</w:t>
            </w:r>
          </w:p>
        </w:tc>
        <w:tc>
          <w:tcPr/>
          <w:p>
            <w:pPr>
              <w:pStyle w:val="Compact"/>
            </w:pPr>
            <w:r>
              <w:rPr>
                <w:b/>
                <w:bCs/>
              </w:rPr>
              <w:t xml:space="preserve">0.27</w:t>
            </w:r>
          </w:p>
        </w:tc>
        <w:tc>
          <w:tcPr/>
          <w:p>
            <w:pPr>
              <w:pStyle w:val="Compact"/>
            </w:pPr>
            <w:r>
              <w:t xml:space="preserve">+0.29</w:t>
            </w:r>
          </w:p>
        </w:tc>
      </w:tr>
      <w:tr>
        <w:tc>
          <w:tcPr/>
          <w:p>
            <w:pPr>
              <w:pStyle w:val="Compact"/>
            </w:pPr>
            <w:r>
              <w:rPr>
                <w:b/>
                <w:bCs/>
              </w:rPr>
              <w:t xml:space="preserve">Suncheon</w:t>
            </w: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rPr>
                <w:b/>
                <w:bCs/>
              </w:rPr>
              <w:t xml:space="preserve">0.36</w:t>
            </w:r>
          </w:p>
        </w:tc>
        <w:tc>
          <w:tcPr/>
          <w:p>
            <w:pPr>
              <w:pStyle w:val="Compact"/>
            </w:pPr>
            <w:r>
              <w:t xml:space="preserve">+0.39</w:t>
            </w:r>
          </w:p>
        </w:tc>
      </w:tr>
      <w:tr>
        <w:tc>
          <w:tcPr/>
          <w:p>
            <w:pPr>
              <w:pStyle w:val="Compact"/>
            </w:pPr>
            <w:r>
              <w:rPr>
                <w:b/>
                <w:bCs/>
              </w:rPr>
              <w:t xml:space="preserve">Suncheon</w:t>
            </w: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rPr>
                <w:b/>
                <w:bCs/>
              </w:rPr>
              <w:t xml:space="preserve">0.26</w:t>
            </w:r>
          </w:p>
        </w:tc>
        <w:tc>
          <w:tcPr/>
          <w:p>
            <w:pPr>
              <w:pStyle w:val="Compact"/>
            </w:pPr>
            <w:r>
              <w:t xml:space="preserve">+0.31</w:t>
            </w:r>
          </w:p>
        </w:tc>
      </w:tr>
    </w:tbl>
    <w:p>
      <w:pPr>
        <w:pStyle w:val="Body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36"/>
    <w:bookmarkStart w:id="40" w:name="X3ee678bc59ea253c8fafb243613123884b7c4f0"/>
    <w:p>
      <w:pPr>
        <w:pStyle w:val="Heading3"/>
      </w:pPr>
      <w:r>
        <w:t xml:space="preserve">4.2 The bipolar bias is set by the satellite-overpass tide phase</w:t>
      </w:r>
    </w:p>
    <w:p>
      <w:pPr>
        <w:pStyle w:val="FirstParagraph"/>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BodyText"/>
      </w:pPr>
      <w:r>
        <w:drawing>
          <wp:inline>
            <wp:extent cx="4800600" cy="1194106"/>
            <wp:effectExtent b="0" l="0" r="0" t="0"/>
            <wp:docPr descr="" title="" id="38" name="Picture"/>
            <a:graphic>
              <a:graphicData uri="http://schemas.openxmlformats.org/drawingml/2006/picture">
                <pic:pic>
                  <pic:nvPicPr>
                    <pic:cNvPr descr="figures/fig4_phase_polar.png" id="39" name="Picture"/>
                    <pic:cNvPicPr>
                      <a:picLocks noChangeArrowheads="1" noChangeAspect="1"/>
                    </pic:cNvPicPr>
                  </pic:nvPicPr>
                  <pic:blipFill>
                    <a:blip r:embed="rId37"/>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40"/>
    <w:bookmarkStart w:id="44" w:name="Xcc2f68dab410ac36b6326f93548c150cdb5684f"/>
    <w:p>
      <w:pPr>
        <w:pStyle w:val="Heading3"/>
      </w:pPr>
      <w:r>
        <w:t xml:space="preserve">4.3 A one-parameter model predicts mean bias with</w:t>
      </w:r>
      <w:r>
        <w:t xml:space="preserve"> </w:t>
      </w:r>
      <m:oMath>
        <m:sSup>
          <m:e>
            <m:r>
              <m:t>R</m:t>
            </m:r>
          </m:e>
          <m:sup>
            <m:r>
              <m:t>2</m:t>
            </m:r>
          </m:sup>
        </m:sSup>
        <m:r>
          <m:rPr>
            <m:sty m:val="p"/>
          </m:rPr>
          <m:t>=</m:t>
        </m:r>
        <m:r>
          <m:t>0.98</m:t>
        </m:r>
      </m:oMath>
    </w:p>
    <w:p>
      <w:pPr>
        <w:pStyle w:val="FirstParagraph"/>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FirstParagraph"/>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BodyText"/>
      </w:pPr>
      <w:r>
        <w:drawing>
          <wp:inline>
            <wp:extent cx="4267200" cy="2998985"/>
            <wp:effectExtent b="0" l="0" r="0" t="0"/>
            <wp:docPr descr="" title="" id="42" name="Picture"/>
            <a:graphic>
              <a:graphicData uri="http://schemas.openxmlformats.org/drawingml/2006/picture">
                <pic:pic>
                  <pic:nvPicPr>
                    <pic:cNvPr descr="figures/fig5_phase_bias_regression.png" id="43" name="Picture"/>
                    <pic:cNvPicPr>
                      <a:picLocks noChangeArrowheads="1" noChangeAspect="1"/>
                    </pic:cNvPicPr>
                  </pic:nvPicPr>
                  <pic:blipFill>
                    <a:blip r:embed="rId41"/>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44"/>
    <w:bookmarkStart w:id="48" w:name="X8c32df7daa4eaf72051c418d75c7852f50cc6de"/>
    <w:p>
      <w:pPr>
        <w:pStyle w:val="Heading3"/>
      </w:pPr>
      <w:r>
        <w:t xml:space="preserve">4.4 The regression is stable across years, seasons, sensors, and held-out sites</w:t>
      </w:r>
    </w:p>
    <w:p>
      <w:pPr>
        <w:pStyle w:val="FirstParagraph"/>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Compac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Compac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Compac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Compac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Body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BodyText"/>
      </w:pPr>
      <w:r>
        <w:drawing>
          <wp:inline>
            <wp:extent cx="4267200" cy="2762779"/>
            <wp:effectExtent b="0" l="0" r="0" t="0"/>
            <wp:docPr descr="" title="" id="46" name="Picture"/>
            <a:graphic>
              <a:graphicData uri="http://schemas.openxmlformats.org/drawingml/2006/picture">
                <pic:pic>
                  <pic:nvPicPr>
                    <pic:cNvPr descr="figures/fig7_loo_validation.png" id="47" name="Picture"/>
                    <pic:cNvPicPr>
                      <a:picLocks noChangeArrowheads="1" noChangeAspect="1"/>
                    </pic:cNvPicPr>
                  </pic:nvPicPr>
                  <pic:blipFill>
                    <a:blip r:embed="rId45"/>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48"/>
    <w:bookmarkStart w:id="55" w:name="X762854f1876cf1bc528f5e29ed811008e297ca9"/>
    <w:p>
      <w:pPr>
        <w:pStyle w:val="Heading3"/>
      </w:pPr>
      <w:r>
        <w:t xml:space="preserve">4.5 Tide-height bias translates into 0.36–1.09 m elevation-domain RMSE</w:t>
      </w:r>
    </w:p>
    <w:p>
      <w:pPr>
        <w:pStyle w:val="FirstParagraph"/>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 Lee, J. et al., 2025),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Body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Body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BodyText"/>
      </w:pPr>
      <w:r>
        <w:drawing>
          <wp:inline>
            <wp:extent cx="4533900" cy="2334534"/>
            <wp:effectExtent b="0" l="0" r="0" t="0"/>
            <wp:docPr descr="" title="" id="50" name="Picture"/>
            <a:graphic>
              <a:graphicData uri="http://schemas.openxmlformats.org/drawingml/2006/picture">
                <pic:pic>
                  <pic:nvPicPr>
                    <pic:cNvPr descr="figures/fig9_truncation_bands.png" id="51" name="Picture"/>
                    <pic:cNvPicPr>
                      <a:picLocks noChangeArrowheads="1" noChangeAspect="1"/>
                    </pic:cNvPicPr>
                  </pic:nvPicPr>
                  <pic:blipFill>
                    <a:blip r:embed="rId49"/>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3" name="Picture"/>
            <a:graphic>
              <a:graphicData uri="http://schemas.openxmlformats.org/drawingml/2006/picture">
                <pic:pic>
                  <pic:nvPicPr>
                    <pic:cNvPr descr="figures/fig10_horizontal_error.png" id="54" name="Picture"/>
                    <pic:cNvPicPr>
                      <a:picLocks noChangeArrowheads="1" noChangeAspect="1"/>
                    </pic:cNvPicPr>
                  </pic:nvPicPr>
                  <pic:blipFill>
                    <a:blip r:embed="rId52"/>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55"/>
    <w:bookmarkStart w:id="56" w:name="X33a5b86cae240fcf534e92406ea2e8f54b59f85"/>
    <w:p>
      <w:pPr>
        <w:pStyle w:val="Heading3"/>
      </w:pPr>
      <w:r>
        <w:t xml:space="preserve">4.6 Increasing optical revisit frequency does not remove the bias</w:t>
      </w:r>
    </w:p>
    <w:p>
      <w:pPr>
        <w:pStyle w:val="FirstParagraph"/>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56"/>
    <w:bookmarkStart w:id="57" w:name="Xd60ea9a7fef294f880c0af49b1fbb3f4a6dcc08"/>
    <w:p>
      <w:pPr>
        <w:pStyle w:val="Heading3"/>
      </w:pPr>
      <w:r>
        <w:t xml:space="preserve">4.7 Robustness to amplitude definition and reference choice</w:t>
      </w:r>
    </w:p>
    <w:p>
      <w:pPr>
        <w:pStyle w:val="FirstParagraph"/>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 (Codiga, 2011),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FirstParagraph"/>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 (Choi et al., 2014).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Body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Body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p>
      <w:r>
        <w:pict>
          <v:rect style="width:0;height:1.5pt" o:hralign="center" o:hrstd="t" o:hr="t"/>
        </w:pict>
      </w:r>
    </w:p>
    <w:bookmarkEnd w:id="57"/>
    <w:bookmarkEnd w:id="58"/>
    <w:bookmarkStart w:id="64" w:name="discussion"/>
    <w:p>
      <w:pPr>
        <w:pStyle w:val="Heading2"/>
      </w:pPr>
      <w:r>
        <w:t xml:space="preserve">5. Discussion</w:t>
      </w:r>
    </w:p>
    <w:bookmarkStart w:id="59" w:name="physical-interpretation-of-beta-1"/>
    <w:p>
      <w:pPr>
        <w:pStyle w:val="Heading3"/>
      </w:pPr>
      <w:r>
        <w:t xml:space="preserve">5.1 Physical interpretation of</w:t>
      </w:r>
      <w:r>
        <w:t xml:space="preserve"> </w:t>
      </w:r>
      <m:oMath>
        <m:r>
          <m:t>β</m:t>
        </m:r>
        <m:r>
          <m:rPr>
            <m:sty m:val="p"/>
          </m:rPr>
          <m:t>&gt;</m:t>
        </m:r>
        <m:r>
          <m:t>1</m:t>
        </m:r>
      </m:oMath>
    </w:p>
    <w:p>
      <w:pPr>
        <w:pStyle w:val="FirstParagraph"/>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Body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Body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Body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 Codiga, 2011)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59"/>
    <w:bookmarkStart w:id="60" w:name="Xec88b37862774c60052025a13adec28305d013b"/>
    <w:p>
      <w:pPr>
        <w:pStyle w:val="Heading3"/>
      </w:pPr>
      <w:r>
        <w:t xml:space="preserve">5.2 The bipolar bias: a regional amphidromic phenomenon</w:t>
      </w:r>
    </w:p>
    <w:p>
      <w:pPr>
        <w:pStyle w:val="FirstParagraph"/>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 Choi et al., 2014).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Compac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Compac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FirstParagraph"/>
      </w:pPr>
      <w:r>
        <w:t xml:space="preserve">Lee, K. et al. (2022) 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60"/>
    <w:bookmarkStart w:id="61" w:name="Xd632fd15f88e8dd631807cd8eccd112decf7571"/>
    <w:p>
      <w:pPr>
        <w:pStyle w:val="Heading3"/>
      </w:pPr>
      <w:r>
        <w:t xml:space="preserve">5.3 Implications for waterline DEM literature</w:t>
      </w:r>
    </w:p>
    <w:p>
      <w:pPr>
        <w:pStyle w:val="FirstParagraph"/>
      </w:pPr>
      <w:r>
        <w:t xml:space="preserve">Three implications follow.</w:t>
      </w:r>
    </w:p>
    <w:p>
      <w:pPr>
        <w:pStyle w:val="Body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 (Carrère et al., 2022; Lyard et al., 2021), as validated in Section 4.7(d), or TPXO (Egbert and Erofeeva, 2002).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Body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 (Xu et al., 2022; Xin et al., 2025), albeit only along sparse, discontinuous ground tracks.</w:t>
      </w:r>
    </w:p>
    <w:p>
      <w:pPr>
        <w:pStyle w:val="Body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BodyText"/>
      </w:pPr>
      <w:r>
        <w:t xml:space="preserve">This phase-orthogonality argument supplies the missing first-principles explanation for an empirical observation reported independently by Lee, J. et al. (2025) 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Body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 (2025); their 27.9 cm to 25.6 cm (8 %) optical-to-fusion reduction is consistent with their SAR sub-population on a 5-month window still being partially correlated with the optical phase.</w:t>
      </w:r>
    </w:p>
    <w:p>
      <w:pPr>
        <w:pStyle w:val="Body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61"/>
    <w:bookmarkStart w:id="62" w:name="limitations"/>
    <w:p>
      <w:pPr>
        <w:pStyle w:val="Heading3"/>
      </w:pPr>
      <w:r>
        <w:t xml:space="preserve">5.4 Limitations</w:t>
      </w:r>
    </w:p>
    <w:p>
      <w:pPr>
        <w:pStyle w:val="FirstParagraph"/>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Body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Body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Body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Body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62"/>
    <w:bookmarkStart w:id="63" w:name="generality"/>
    <w:p>
      <w:pPr>
        <w:pStyle w:val="Heading3"/>
      </w:pPr>
      <w:r>
        <w:t xml:space="preserve">5.5 Generality</w:t>
      </w:r>
    </w:p>
    <w:p>
      <w:pPr>
        <w:pStyle w:val="FirstParagraph"/>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w:t>
      </w:r>
    </w:p>
    <w:p>
      <w:pPr>
        <w:pStyle w:val="Body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63"/>
    <w:bookmarkEnd w:id="64"/>
    <w:bookmarkStart w:id="65" w:name="conclusions"/>
    <w:p>
      <w:pPr>
        <w:pStyle w:val="Heading2"/>
      </w:pPr>
      <w:r>
        <w:t xml:space="preserve">6. Conclusions</w:t>
      </w:r>
    </w:p>
    <w:p>
      <w:pPr>
        <w:pStyle w:val="FirstParagraph"/>
      </w:pPr>
      <w:r>
        <w:t xml:space="preserve">These results directly answer the three open questions of Section 1.3.</w:t>
      </w:r>
    </w:p>
    <w:p>
      <w:pPr>
        <w:pStyle w:val="Body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FirstParagraph"/>
      </w:pPr>
      <w:r>
        <w:rPr>
          <w:i/>
          <w:iCs/>
        </w:rPr>
        <w:t xml:space="preserve">In answer to question 2 (how does the bias vary along regional amphidromic gradients?):</w:t>
      </w:r>
    </w:p>
    <w:p>
      <w:pPr>
        <w:pStyle w:val="Compac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FirstParagraph"/>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 (Lee, J. et al., 2025).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FirstParagraph"/>
      </w:pPr>
      <w:r>
        <w:rPr>
          <w:i/>
          <w:iCs/>
        </w:rPr>
        <w:t xml:space="preserve">Beyond the three open questions:</w:t>
      </w:r>
    </w:p>
    <w:p>
      <w:pPr>
        <w:pStyle w:val="Compac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w:t>
      </w:r>
    </w:p>
    <w:p>
      <w:pPr>
        <w:pStyle w:val="FirstParagraph"/>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65"/>
    <w:bookmarkStart w:id="66" w:name="data-and-code-availability"/>
    <w:p>
      <w:pPr>
        <w:pStyle w:val="Heading2"/>
      </w:pPr>
      <w:r>
        <w:t xml:space="preserve">Data and code availability</w:t>
      </w:r>
    </w:p>
    <w:p>
      <w:pPr>
        <w:pStyle w:val="FirstParagraph"/>
      </w:pPr>
      <w:r>
        <w:t xml:space="preserve">All raw KHOA tide-gauge data are publicly available through the Korea Open Data Portal (</w:t>
      </w:r>
      <w:r>
        <w:rPr>
          <w:rStyle w:val="VerbatimChar"/>
        </w:rPr>
        <w:t xml:space="preserve">apis.data.go.kr/1192136</w:t>
      </w:r>
      <w:r>
        <w:t xml:space="preserve">). Google Earth Engine scene metadata is reproducible from public collections (LANDSAT/LC08/C02/T1_L2, LANDSAT/LC09/C02/T1_L2, COPERNICUS/S2_HARMONIZED). The full analytical pipeline, derived parquet/CSV tables, and figure-generation scripts will be released on a Zenodo-archived GitHub repository upon acceptance (DOI to be 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66"/>
    <w:bookmarkStart w:id="67" w:name="acknowledgements"/>
    <w:p>
      <w:pPr>
        <w:pStyle w:val="Heading2"/>
      </w:pPr>
      <w:r>
        <w:t xml:space="preserve">Acknowledgements</w:t>
      </w:r>
    </w:p>
    <w:p>
      <w:pPr>
        <w:pStyle w:val="FirstParagraph"/>
      </w:pPr>
      <w:r>
        <w:t xml:space="preserve">The KHOA tide-gauge data are provided under the Korean Open Government License. Earth Engine access was provided by Google for academic use. We thank the developers of pyTMD, Cartopy, UTide, and eo-tides for open-source tooling.</w:t>
      </w:r>
    </w:p>
    <w:bookmarkEnd w:id="67"/>
    <w:bookmarkStart w:id="68"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68"/>
    <w:bookmarkStart w:id="69" w:name="credit-authorship-contribution-statement"/>
    <w:p>
      <w:pPr>
        <w:pStyle w:val="Heading2"/>
      </w:pPr>
      <w:r>
        <w:t xml:space="preserve">CRediT authorship contribution statement</w:t>
      </w:r>
    </w:p>
    <w:p>
      <w:pPr>
        <w:pStyle w:val="FirstParagraph"/>
      </w:pPr>
      <w:r>
        <w:rPr>
          <w:b/>
          <w:bCs/>
        </w:rPr>
        <w:t xml:space="preserve">[Author 1 — full name]</w:t>
      </w:r>
      <w:r>
        <w:t xml:space="preserve">: Conceptualization, Methodology, Software, Formal analysis, Investigation, Data curation, Visualization, Writing – original draft, Writing – review &amp; editing, Project administration.</w:t>
      </w:r>
    </w:p>
    <w:bookmarkEnd w:id="69"/>
    <w:bookmarkStart w:id="70"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70"/>
    <w:bookmarkStart w:id="71" w:name="references"/>
    <w:p>
      <w:pPr>
        <w:pStyle w:val="Heading2"/>
      </w:pPr>
      <w:r>
        <w:t xml:space="preserve">References</w:t>
      </w:r>
    </w:p>
    <w:p>
      <w:pPr>
        <w:pStyle w:val="FirstParagraph"/>
      </w:pPr>
      <w:r>
        <w:t xml:space="preserve">(See</w:t>
      </w:r>
      <w:r>
        <w:t xml:space="preserve"> </w:t>
      </w:r>
      <w:r>
        <w:rPr>
          <w:rStyle w:val="VerbatimChar"/>
        </w:rPr>
        <w:t xml:space="preserve">manuscript/references.bib</w:t>
      </w:r>
      <w:r>
        <w:t xml:space="preserve"> </w:t>
      </w:r>
      <w:r>
        <w:t xml:space="preserve">for BibTeX entries.)</w:t>
      </w:r>
    </w:p>
    <w:p>
      <w:pPr>
        <w:pStyle w:val="Compact"/>
        <w:numPr>
          <w:ilvl w:val="0"/>
          <w:numId w:val="1016"/>
        </w:numPr>
      </w:pPr>
      <w:r>
        <w:t xml:space="preserve">Bishop-Taylor, R., Sagar, S., Lymburner, L., Beaman, R. J., 2019a.</w:t>
      </w:r>
      <w:r>
        <w:t xml:space="preserve"> </w:t>
      </w:r>
      <w:r>
        <w:rPr>
          <w:i/>
          <w:iCs/>
        </w:rPr>
        <w:t xml:space="preserve">Between the tides: Modelling the elevation of Australia’s exposed intertidal zone at continental scale.</w:t>
      </w:r>
      <w:r>
        <w:t xml:space="preserve"> </w:t>
      </w:r>
      <w:r>
        <w:t xml:space="preserve">Estuarine, Coastal and Shelf Science 223, 115–128. doi:10.1016/j.ecss.2019.03.006.</w:t>
      </w:r>
    </w:p>
    <w:p>
      <w:pPr>
        <w:pStyle w:val="Compact"/>
        <w:numPr>
          <w:ilvl w:val="0"/>
          <w:numId w:val="1016"/>
        </w:numPr>
      </w:pPr>
      <w:r>
        <w:t xml:space="preserve">Bishop-Taylor, R., Sagar, S., Lymburner, L., Alam, I., Sixsmith, J., 2019b.</w:t>
      </w:r>
      <w:r>
        <w:t xml:space="preserve"> </w:t>
      </w:r>
      <w:r>
        <w:rPr>
          <w:i/>
          <w:iCs/>
        </w:rPr>
        <w:t xml:space="preserve">Sub-pixel waterline extraction: Characterising accuracy and sensitivity to indices and spectra.</w:t>
      </w:r>
      <w:r>
        <w:t xml:space="preserve"> </w:t>
      </w:r>
      <w:r>
        <w:t xml:space="preserve">Remote Sensing 11, 2984. doi:10.3390/rs11242984.</w:t>
      </w:r>
    </w:p>
    <w:p>
      <w:pPr>
        <w:pStyle w:val="Compact"/>
        <w:numPr>
          <w:ilvl w:val="0"/>
          <w:numId w:val="1016"/>
        </w:numPr>
      </w:pPr>
      <w:r>
        <w:t xml:space="preserve">Bishop-Taylor, R., Phillips, C., Sagar, S., Newey, V., Sutterley, T., 2025.</w:t>
      </w:r>
      <w:r>
        <w:t xml:space="preserve"> </w:t>
      </w:r>
      <w:r>
        <w:rPr>
          <w:i/>
          <w:iCs/>
        </w:rPr>
        <w:t xml:space="preserve">eo-tides: Tide modelling tools for large-scale satellite Earth observation analysis.</w:t>
      </w:r>
      <w:r>
        <w:t xml:space="preserve"> </w:t>
      </w:r>
      <w:r>
        <w:t xml:space="preserve">Journal of Open Source Software 10 (109), 7786. doi:10.21105/joss.07786.</w:t>
      </w:r>
    </w:p>
    <w:p>
      <w:pPr>
        <w:pStyle w:val="Compact"/>
        <w:numPr>
          <w:ilvl w:val="0"/>
          <w:numId w:val="1016"/>
        </w:numPr>
      </w:pPr>
      <w:r>
        <w:t xml:space="preserve">Carrère, L., Lyard, F., Cancet, M., Allain, D., Dabat, M.-L., Fouchet, E., Faugère, Y., Pujol, M.-I., Briol, F., Dibarboure, G., Picot, N., 2022.</w:t>
      </w:r>
      <w:r>
        <w:t xml:space="preserve"> </w:t>
      </w:r>
      <w:r>
        <w:rPr>
          <w:i/>
          <w:iCs/>
        </w:rPr>
        <w:t xml:space="preserve">A new barotropic tide model for global ocean: FES2022.</w:t>
      </w:r>
      <w:r>
        <w:t xml:space="preserve"> </w:t>
      </w:r>
      <w:r>
        <w:t xml:space="preserve">AVISO+ technical note (FES2022 / FES2022b release notes), CNES/CLS. Available via AVISO+ Tides Modelling: https://www.aviso.altimetry.fr/en/data/products/auxiliary-products/global-tide-fes.html.</w:t>
      </w:r>
    </w:p>
    <w:p>
      <w:pPr>
        <w:pStyle w:val="Compact"/>
        <w:numPr>
          <w:ilvl w:val="0"/>
          <w:numId w:val="1016"/>
        </w:numPr>
      </w:pPr>
      <w:r>
        <w:t xml:space="preserve">Choi, B.-J., Hwang, C., Lee, S. H., 2014.</w:t>
      </w:r>
      <w:r>
        <w:t xml:space="preserve"> </w:t>
      </w:r>
      <w:r>
        <w:rPr>
          <w:i/>
          <w:iCs/>
        </w:rPr>
        <w:t xml:space="preserve">Meteotsunami-tide interactions and high-frequency sea level oscillations in the eastern Yellow Sea.</w:t>
      </w:r>
      <w:r>
        <w:t xml:space="preserve"> </w:t>
      </w:r>
      <w:r>
        <w:t xml:space="preserve">Journal of Geophysical Research: Oceans 119, 6725–6742. doi:10.1002/2013JC009788.</w:t>
      </w:r>
    </w:p>
    <w:p>
      <w:pPr>
        <w:pStyle w:val="Compact"/>
        <w:numPr>
          <w:ilvl w:val="0"/>
          <w:numId w:val="1016"/>
        </w:numPr>
      </w:pPr>
      <w:r>
        <w:t xml:space="preserve">Codiga, D. L., 2011.</w:t>
      </w:r>
      <w:r>
        <w:t xml:space="preserve"> </w:t>
      </w:r>
      <w:r>
        <w:rPr>
          <w:i/>
          <w:iCs/>
        </w:rPr>
        <w:t xml:space="preserve">Unified Tidal Analysis and Prediction Using the UTide Matlab Functions.</w:t>
      </w:r>
      <w:r>
        <w:t xml:space="preserve"> </w:t>
      </w:r>
      <w:r>
        <w:t xml:space="preserve">Technical Report 2011-01, Graduate School of Oceanography, University of Rhode Island, Narragansett, Rhode Island. 59 pp.</w:t>
      </w:r>
    </w:p>
    <w:p>
      <w:pPr>
        <w:pStyle w:val="Compact"/>
        <w:numPr>
          <w:ilvl w:val="0"/>
          <w:numId w:val="1016"/>
        </w:numPr>
      </w:pPr>
      <w:r>
        <w:t xml:space="preserve">Drusch, M., Del Bello, U., Carlier, S., Colin, O., Fernandez, V., Gascon, F., Hoersch, B., Isola, C., Laberinti, P., Martimort, P., Meygret, A., Spoto, F., Sy, O., Marchese, F., Bargellini, P., 2012.</w:t>
      </w:r>
      <w:r>
        <w:t xml:space="preserve"> </w:t>
      </w:r>
      <w:r>
        <w:rPr>
          <w:i/>
          <w:iCs/>
        </w:rPr>
        <w:t xml:space="preserve">Sentinel-2: ESA’s optical high-resolution mission for GMES operational services.</w:t>
      </w:r>
      <w:r>
        <w:t xml:space="preserve"> </w:t>
      </w:r>
      <w:r>
        <w:t xml:space="preserve">Remote Sensing of Environment 120, 25–36. doi:10.1016/j.rse.2011.11.026.</w:t>
      </w:r>
    </w:p>
    <w:p>
      <w:pPr>
        <w:pStyle w:val="Compact"/>
        <w:numPr>
          <w:ilvl w:val="0"/>
          <w:numId w:val="1016"/>
        </w:numPr>
      </w:pPr>
      <w:r>
        <w:t xml:space="preserve">Egbert, G. D., Erofeeva, S. Y., 2002.</w:t>
      </w:r>
      <w:r>
        <w:t xml:space="preserve"> </w:t>
      </w:r>
      <w:r>
        <w:rPr>
          <w:i/>
          <w:iCs/>
        </w:rPr>
        <w:t xml:space="preserve">Efficient inverse modeling of barotropic ocean tides.</w:t>
      </w:r>
      <w:r>
        <w:t xml:space="preserve"> </w:t>
      </w:r>
      <w:r>
        <w:t xml:space="preserve">Journal of Atmospheric and Oceanic Technology 19, 183–204. doi:10.1175/1520-0426(2002)019&lt;0183:EIMOBO&gt;2.0.CO;2.</w:t>
      </w:r>
    </w:p>
    <w:p>
      <w:pPr>
        <w:pStyle w:val="Compact"/>
        <w:numPr>
          <w:ilvl w:val="0"/>
          <w:numId w:val="1016"/>
        </w:numPr>
      </w:pPr>
      <w:r>
        <w:t xml:space="preserve">Gorelick, N., Hancher, M., Dixon, M., Ilyushchenko, S., Thau, D., Moore, R., 2017.</w:t>
      </w:r>
      <w:r>
        <w:t xml:space="preserve"> </w:t>
      </w:r>
      <w:r>
        <w:rPr>
          <w:i/>
          <w:iCs/>
        </w:rPr>
        <w:t xml:space="preserve">Google Earth Engine: Planetary-scale geospatial analysis for everyone.</w:t>
      </w:r>
      <w:r>
        <w:t xml:space="preserve"> </w:t>
      </w:r>
      <w:r>
        <w:t xml:space="preserve">Remote Sensing of Environment 202, 18–27. doi:10.1016/j.rse.2017.06.031.</w:t>
      </w:r>
    </w:p>
    <w:p>
      <w:pPr>
        <w:pStyle w:val="Compact"/>
        <w:numPr>
          <w:ilvl w:val="0"/>
          <w:numId w:val="1016"/>
        </w:numPr>
      </w:pPr>
      <w:r>
        <w:t xml:space="preserve">Heygster, G., Dannenberg, J., Notholt, J., 2010.</w:t>
      </w:r>
      <w:r>
        <w:t xml:space="preserve"> </w:t>
      </w:r>
      <w:r>
        <w:rPr>
          <w:i/>
          <w:iCs/>
        </w:rPr>
        <w:t xml:space="preserve">Topographic mapping of the German tidal flats analyzing SAR images with the waterline method.</w:t>
      </w:r>
      <w:r>
        <w:t xml:space="preserve"> </w:t>
      </w:r>
      <w:r>
        <w:t xml:space="preserve">IEEE Transactions on Geoscience and Remote Sensing 48, 1019–1030. doi:10.1109/TGRS.2009.2031843.</w:t>
      </w:r>
    </w:p>
    <w:p>
      <w:pPr>
        <w:pStyle w:val="Compact"/>
        <w:numPr>
          <w:ilvl w:val="0"/>
          <w:numId w:val="1016"/>
        </w:numPr>
      </w:pPr>
      <w:r>
        <w:t xml:space="preserve">Khan, M. J. U., Ansary, M. N., Durand, F., Testut, L., Ishaque, M., Calmant, S., Krien, Y., Islam, A. K. M. S., Papa, F., 2019.</w:t>
      </w:r>
      <w:r>
        <w:t xml:space="preserve"> </w:t>
      </w:r>
      <w:r>
        <w:rPr>
          <w:i/>
          <w:iCs/>
        </w:rPr>
        <w:t xml:space="preserve">High-resolution intertidal topography from Sentinel-2 multi-spectral imagery: Synergy between remote sensing and numerical modeling.</w:t>
      </w:r>
      <w:r>
        <w:t xml:space="preserve"> </w:t>
      </w:r>
      <w:r>
        <w:t xml:space="preserve">Remote Sensing 11, 2888. doi:10.3390/rs11242888.</w:t>
      </w:r>
    </w:p>
    <w:p>
      <w:pPr>
        <w:pStyle w:val="Compact"/>
        <w:numPr>
          <w:ilvl w:val="0"/>
          <w:numId w:val="1016"/>
        </w:numPr>
      </w:pPr>
      <w:r>
        <w:t xml:space="preserve">Koh, C.-H., Khim, J. S., 2014.</w:t>
      </w:r>
      <w:r>
        <w:t xml:space="preserve"> </w:t>
      </w:r>
      <w:r>
        <w:rPr>
          <w:i/>
          <w:iCs/>
        </w:rPr>
        <w:t xml:space="preserve">The Korean tidal flat of the Yellow Sea: Physical setting, ecosystem and management.</w:t>
      </w:r>
      <w:r>
        <w:t xml:space="preserve"> </w:t>
      </w:r>
      <w:r>
        <w:t xml:space="preserve">Ocean &amp; Coastal Management 102, 398–414. doi:10.1016/j.ocecoaman.2014.07.008.</w:t>
      </w:r>
    </w:p>
    <w:p>
      <w:pPr>
        <w:pStyle w:val="Compact"/>
        <w:numPr>
          <w:ilvl w:val="0"/>
          <w:numId w:val="1016"/>
        </w:numPr>
      </w:pPr>
      <w:r>
        <w:t xml:space="preserve">Lee, J., Kim, K., Kwak, G.-H., Baek, W.-K., Jang, Y., Ryu, J.-H., 2025.</w:t>
      </w:r>
      <w:r>
        <w:t xml:space="preserve"> </w:t>
      </w:r>
      <w:r>
        <w:rPr>
          <w:i/>
          <w:iCs/>
        </w:rPr>
        <w:t xml:space="preserve">Optimization of a multi-sensor satellite-based waterline method for rapid and extensive tidal flat topography mapping.</w:t>
      </w:r>
      <w:r>
        <w:t xml:space="preserve"> </w:t>
      </w:r>
      <w:r>
        <w:t xml:space="preserve">Estuarine, Coastal and Shelf Science 318, 109235. doi:10.1016/j.ecss.2025.109235.</w:t>
      </w:r>
    </w:p>
    <w:p>
      <w:pPr>
        <w:pStyle w:val="Compact"/>
        <w:numPr>
          <w:ilvl w:val="0"/>
          <w:numId w:val="1016"/>
        </w:numPr>
      </w:pPr>
      <w:r>
        <w:t xml:space="preserve">Lee, K., Nam, S., Cho, Y.-K., Jeong, K.-Y., Byun, D.-S., 2022.</w:t>
      </w:r>
      <w:r>
        <w:t xml:space="preserve"> </w:t>
      </w:r>
      <w:r>
        <w:rPr>
          <w:i/>
          <w:iCs/>
        </w:rPr>
        <w:t xml:space="preserve">Determination of long-term (1993–2019) sea level rise trends around the Korean Peninsula using ocean tide-corrected, multi-mission satellite altimetry data.</w:t>
      </w:r>
      <w:r>
        <w:t xml:space="preserve"> </w:t>
      </w:r>
      <w:r>
        <w:t xml:space="preserve">Frontiers in Marine Science 9, 810549. doi:10.3389/fmars.2022.810549.</w:t>
      </w:r>
    </w:p>
    <w:p>
      <w:pPr>
        <w:pStyle w:val="Compact"/>
        <w:numPr>
          <w:ilvl w:val="0"/>
          <w:numId w:val="1016"/>
        </w:numPr>
      </w:pPr>
      <w:r>
        <w:t xml:space="preserve">Lee, S.-K., Ryu, J.-H., 2017.</w:t>
      </w:r>
      <w:r>
        <w:t xml:space="preserve"> </w:t>
      </w:r>
      <w:r>
        <w:rPr>
          <w:i/>
          <w:iCs/>
        </w:rPr>
        <w:t xml:space="preserve">High-accuracy tidal flat digital elevation model construction using TanDEM-X science phase data.</w:t>
      </w:r>
      <w:r>
        <w:t xml:space="preserve"> </w:t>
      </w:r>
      <w:r>
        <w:t xml:space="preserve">IEEE Journal of Selected Topics in Applied Earth Observations and Remote Sensing 10, 2713–2724. doi:10.1109/JSTARS.2017.2656629.</w:t>
      </w:r>
    </w:p>
    <w:p>
      <w:pPr>
        <w:pStyle w:val="Compact"/>
        <w:numPr>
          <w:ilvl w:val="0"/>
          <w:numId w:val="1016"/>
        </w:numPr>
      </w:pPr>
      <w:r>
        <w:t xml:space="preserve">Liu, Y., Zhou, M., Zhao, S., Zhan, W., Yang, K., Li, M., 2015.</w:t>
      </w:r>
      <w:r>
        <w:t xml:space="preserve"> </w:t>
      </w:r>
      <w:r>
        <w:rPr>
          <w:i/>
          <w:iCs/>
        </w:rPr>
        <w:t xml:space="preserve">Automated extraction of tidal creeks from airborne laser altimetry data.</w:t>
      </w:r>
      <w:r>
        <w:t xml:space="preserve"> </w:t>
      </w:r>
      <w:r>
        <w:t xml:space="preserve">Journal of Hydrology 527, 1006–1020. doi:10.1016/j.jhydrol.2015.05.058.</w:t>
      </w:r>
    </w:p>
    <w:p>
      <w:pPr>
        <w:pStyle w:val="Compact"/>
        <w:numPr>
          <w:ilvl w:val="0"/>
          <w:numId w:val="1016"/>
        </w:numPr>
      </w:pPr>
      <w:r>
        <w:t xml:space="preserve">Lyard, F. H., Allain, D. J., Cancet, M., Carrère, L., Picot, N., 2021.</w:t>
      </w:r>
      <w:r>
        <w:t xml:space="preserve"> </w:t>
      </w:r>
      <w:r>
        <w:rPr>
          <w:i/>
          <w:iCs/>
        </w:rPr>
        <w:t xml:space="preserve">FES2014 global ocean tide atlas: Design and performance.</w:t>
      </w:r>
      <w:r>
        <w:t xml:space="preserve"> </w:t>
      </w:r>
      <w:r>
        <w:t xml:space="preserve">Ocean Science 17, 615–649. doi:10.5194/os-17-615-2021.</w:t>
      </w:r>
    </w:p>
    <w:p>
      <w:pPr>
        <w:pStyle w:val="Compact"/>
        <w:numPr>
          <w:ilvl w:val="0"/>
          <w:numId w:val="1016"/>
        </w:numPr>
      </w:pPr>
      <w:r>
        <w:t xml:space="preserve">Mason, D. C., Davenport, I. J., Robinson, G. J., Flather, R. A., McCartney, B. S., 1995.</w:t>
      </w:r>
      <w:r>
        <w:t xml:space="preserve"> </w:t>
      </w:r>
      <w:r>
        <w:rPr>
          <w:i/>
          <w:iCs/>
        </w:rPr>
        <w:t xml:space="preserve">Construction of an inter-tidal digital elevation model by the</w:t>
      </w:r>
      <w:r>
        <w:rPr>
          <w:i/>
          <w:iCs/>
        </w:rPr>
        <w:t xml:space="preserve"> </w:t>
      </w:r>
      <w:r>
        <w:rPr>
          <w:i/>
          <w:iCs/>
        </w:rPr>
        <w:t xml:space="preserve">“Water-Line”</w:t>
      </w:r>
      <w:r>
        <w:rPr>
          <w:i/>
          <w:iCs/>
        </w:rPr>
        <w:t xml:space="preserve"> </w:t>
      </w:r>
      <w:r>
        <w:rPr>
          <w:i/>
          <w:iCs/>
        </w:rPr>
        <w:t xml:space="preserve">method.</w:t>
      </w:r>
      <w:r>
        <w:t xml:space="preserve"> </w:t>
      </w:r>
      <w:r>
        <w:t xml:space="preserve">Geophysical Research Letters 22, 3187–3190. doi:10.1029/95GL03168.</w:t>
      </w:r>
    </w:p>
    <w:p>
      <w:pPr>
        <w:pStyle w:val="Compact"/>
        <w:numPr>
          <w:ilvl w:val="0"/>
          <w:numId w:val="1016"/>
        </w:numPr>
      </w:pPr>
      <w:r>
        <w:t xml:space="preserve">Murray, N. J., Phinn, S. R., Clemens, R. S., Roelfsema, C. M., Fuller, R. A., 2012.</w:t>
      </w:r>
      <w:r>
        <w:t xml:space="preserve"> </w:t>
      </w:r>
      <w:r>
        <w:rPr>
          <w:i/>
          <w:iCs/>
        </w:rPr>
        <w:t xml:space="preserve">Continental scale mapping of tidal flats across East Asia using the Landsat archive.</w:t>
      </w:r>
      <w:r>
        <w:t xml:space="preserve"> </w:t>
      </w:r>
      <w:r>
        <w:t xml:space="preserve">Remote Sensing 4, 3417–3426. doi:10.3390/rs4113417.</w:t>
      </w:r>
    </w:p>
    <w:p>
      <w:pPr>
        <w:pStyle w:val="Compact"/>
        <w:numPr>
          <w:ilvl w:val="0"/>
          <w:numId w:val="1016"/>
        </w:numPr>
      </w:pPr>
      <w:r>
        <w:t xml:space="preserve">Murray, N. J., Clemens, R. S., Phinn, S. R., Possingham, H. P., Fuller, R. A., 2014.</w:t>
      </w:r>
      <w:r>
        <w:t xml:space="preserve"> </w:t>
      </w:r>
      <w:r>
        <w:rPr>
          <w:i/>
          <w:iCs/>
        </w:rPr>
        <w:t xml:space="preserve">Tracking the rapid loss of tidal wetlands in the Yellow Sea.</w:t>
      </w:r>
      <w:r>
        <w:t xml:space="preserve"> </w:t>
      </w:r>
      <w:r>
        <w:t xml:space="preserve">Frontiers in Ecology and the Environment 12, 267–272. doi:10.1890/130260.</w:t>
      </w:r>
    </w:p>
    <w:p>
      <w:pPr>
        <w:pStyle w:val="Compact"/>
        <w:numPr>
          <w:ilvl w:val="0"/>
          <w:numId w:val="1016"/>
        </w:numPr>
      </w:pPr>
      <w:r>
        <w:t xml:space="preserve">Murray, N. J., Phinn, S. R., DeWitt, M., Ferrari, R., Johnston, R., Lyons, M. B., Clinton, N., Thau, D., Fuller, R. A., 2019.</w:t>
      </w:r>
      <w:r>
        <w:t xml:space="preserve"> </w:t>
      </w:r>
      <w:r>
        <w:rPr>
          <w:i/>
          <w:iCs/>
        </w:rPr>
        <w:t xml:space="preserve">The global distribution and trajectory of tidal flats.</w:t>
      </w:r>
      <w:r>
        <w:t xml:space="preserve"> </w:t>
      </w:r>
      <w:r>
        <w:t xml:space="preserve">Nature 565, 222–225. doi:10.1038/s41586-018-0805-8.</w:t>
      </w:r>
    </w:p>
    <w:p>
      <w:pPr>
        <w:pStyle w:val="Compact"/>
        <w:numPr>
          <w:ilvl w:val="0"/>
          <w:numId w:val="1016"/>
        </w:numPr>
      </w:pPr>
      <w:r>
        <w:t xml:space="preserve">Ryu, J.-H., Won, J.-S., Min, K. D., 2002.</w:t>
      </w:r>
      <w:r>
        <w:t xml:space="preserve"> </w:t>
      </w:r>
      <w:r>
        <w:rPr>
          <w:i/>
          <w:iCs/>
        </w:rPr>
        <w:t xml:space="preserve">Waterline extraction from Landsat TM data in a tidal flat: A case study in Gomso Bay, Korea.</w:t>
      </w:r>
      <w:r>
        <w:t xml:space="preserve"> </w:t>
      </w:r>
      <w:r>
        <w:t xml:space="preserve">Remote Sensing of Environment 83, 442–456. doi:10.1016/S0034-4257(02)00059-7.</w:t>
      </w:r>
    </w:p>
    <w:p>
      <w:pPr>
        <w:pStyle w:val="Compact"/>
        <w:numPr>
          <w:ilvl w:val="0"/>
          <w:numId w:val="1016"/>
        </w:numPr>
      </w:pPr>
      <w:r>
        <w:t xml:space="preserve">Ryu, J.-H., Kim, C.-H., Lee, Y.-K., Won, J.-S., Chun, S.-S., Lee, S., 2008.</w:t>
      </w:r>
      <w:r>
        <w:t xml:space="preserve"> </w:t>
      </w:r>
      <w:r>
        <w:rPr>
          <w:i/>
          <w:iCs/>
        </w:rPr>
        <w:t xml:space="preserve">Detecting the intertidal morphologic change using satellite data.</w:t>
      </w:r>
      <w:r>
        <w:t xml:space="preserve"> </w:t>
      </w:r>
      <w:r>
        <w:t xml:space="preserve">Estuarine, Coastal and Shelf Science 78, 623–632. doi:10.1016/j.ecss.2008.01.020.</w:t>
      </w:r>
    </w:p>
    <w:p>
      <w:pPr>
        <w:pStyle w:val="Compact"/>
        <w:numPr>
          <w:ilvl w:val="0"/>
          <w:numId w:val="1016"/>
        </w:numPr>
      </w:pPr>
      <w:r>
        <w:t xml:space="preserve">Sagar, S., Roberts, D., Bala, B., Lymburner, L., 2017.</w:t>
      </w:r>
      <w:r>
        <w:t xml:space="preserve"> </w:t>
      </w:r>
      <w:r>
        <w:rPr>
          <w:i/>
          <w:iCs/>
        </w:rPr>
        <w:t xml:space="preserve">Extracting the intertidal extent and topography of the Australian coastline from a 28 year time series of Landsat observations.</w:t>
      </w:r>
      <w:r>
        <w:t xml:space="preserve"> </w:t>
      </w:r>
      <w:r>
        <w:t xml:space="preserve">Remote Sensing of Environment 195, 153–169. doi:10.1016/j.rse.2017.04.009.</w:t>
      </w:r>
    </w:p>
    <w:p>
      <w:pPr>
        <w:pStyle w:val="Compact"/>
        <w:numPr>
          <w:ilvl w:val="0"/>
          <w:numId w:val="1016"/>
        </w:numPr>
      </w:pPr>
      <w:r>
        <w:t xml:space="preserve">Salameh, E., Frappart, F., Almar, R., Baptista, P., Heygster, G., Lubac, B., Raucoules, D., Almeida, L. P., Bergsma, E. W. J., Capo, S., De Michele, M., Idier, D., Li, Z., Marieu, V., Poupardin, A., Silva, P. A., Turki, I., Laignel, B., 2019.</w:t>
      </w:r>
      <w:r>
        <w:t xml:space="preserve"> </w:t>
      </w:r>
      <w:r>
        <w:rPr>
          <w:i/>
          <w:iCs/>
        </w:rPr>
        <w:t xml:space="preserve">Monitoring beach topography and nearshore bathymetry using spaceborne remote sensing: A review.</w:t>
      </w:r>
      <w:r>
        <w:t xml:space="preserve"> </w:t>
      </w:r>
      <w:r>
        <w:t xml:space="preserve">Remote Sensing 11, 2212. doi:10.3390/rs11192212.</w:t>
      </w:r>
    </w:p>
    <w:p>
      <w:pPr>
        <w:pStyle w:val="Compact"/>
        <w:numPr>
          <w:ilvl w:val="0"/>
          <w:numId w:val="1016"/>
        </w:numPr>
      </w:pPr>
      <w:r>
        <w:t xml:space="preserve">Sent, G., Antunes, C., Spyrakos, E., Jackson, T., Atwood, E. C., Brito, A. C., 2025.</w:t>
      </w:r>
      <w:r>
        <w:t xml:space="preserve"> </w:t>
      </w:r>
      <w:r>
        <w:rPr>
          <w:i/>
          <w:iCs/>
        </w:rPr>
        <w:t xml:space="preserve">What time is the tide? The importance of tides for ocean colour applications to estuaries.</w:t>
      </w:r>
      <w:r>
        <w:t xml:space="preserve"> </w:t>
      </w:r>
      <w:r>
        <w:t xml:space="preserve">Remote Sensing Applications: Society and Environment 37, 101425. doi:10.1016/j.rsase.2024.101425.</w:t>
      </w:r>
    </w:p>
    <w:p>
      <w:pPr>
        <w:pStyle w:val="Compact"/>
        <w:numPr>
          <w:ilvl w:val="0"/>
          <w:numId w:val="1016"/>
        </w:numPr>
      </w:pPr>
      <w:r>
        <w:t xml:space="preserve">Tseng, K.-H., Kuo, C.-Y., Lin, T.-H., Huang, Z.-C., Lin, Y.-C., Liao, W.-H., Chen, C.-F., 2017.</w:t>
      </w:r>
      <w:r>
        <w:t xml:space="preserve"> </w:t>
      </w:r>
      <w:r>
        <w:rPr>
          <w:i/>
          <w:iCs/>
        </w:rPr>
        <w:t xml:space="preserve">Reconstruction of time-varying tidal flat topography using optical remote sensing imageries.</w:t>
      </w:r>
      <w:r>
        <w:t xml:space="preserve"> </w:t>
      </w:r>
      <w:r>
        <w:t xml:space="preserve">ISPRS Journal of Photogrammetry and Remote Sensing 131, 92–103. doi:10.1016/j.isprsjprs.2017.07.008.</w:t>
      </w:r>
    </w:p>
    <w:p>
      <w:pPr>
        <w:pStyle w:val="Compact"/>
        <w:numPr>
          <w:ilvl w:val="0"/>
          <w:numId w:val="1016"/>
        </w:numPr>
      </w:pPr>
      <w:r>
        <w:t xml:space="preserve">Wang, X., Liu, Y., Ling, F., Liu, Y., Fang, F., 2020.</w:t>
      </w:r>
      <w:r>
        <w:t xml:space="preserve"> </w:t>
      </w:r>
      <w:r>
        <w:rPr>
          <w:i/>
          <w:iCs/>
        </w:rPr>
        <w:t xml:space="preserve">Spatio-temporal change detection of Ningbo coastline using Landsat time-series images during 1976–2015.</w:t>
      </w:r>
      <w:r>
        <w:t xml:space="preserve"> </w:t>
      </w:r>
      <w:r>
        <w:t xml:space="preserve">ISPRS International Journal of Geo-Information 9, 68. doi:10.3390/ijgi9020068.</w:t>
      </w:r>
    </w:p>
    <w:p>
      <w:pPr>
        <w:pStyle w:val="Compact"/>
        <w:numPr>
          <w:ilvl w:val="0"/>
          <w:numId w:val="1016"/>
        </w:numPr>
      </w:pPr>
      <w:r>
        <w:t xml:space="preserve">Worm, B., Barbier, E. B., Beaumont, N., Duffy, J. E., Folke, C., Halpern, B. S., Jackson, J. B. C., Lotze, H. K., Micheli, F., Palumbi, S. R., Sala, E., Selkoe, K. A., Stachowicz, J. J., Watson, R., 2006.</w:t>
      </w:r>
      <w:r>
        <w:t xml:space="preserve"> </w:t>
      </w:r>
      <w:r>
        <w:rPr>
          <w:i/>
          <w:iCs/>
        </w:rPr>
        <w:t xml:space="preserve">Impacts of biodiversity loss on ocean ecosystem services.</w:t>
      </w:r>
      <w:r>
        <w:t xml:space="preserve"> </w:t>
      </w:r>
      <w:r>
        <w:t xml:space="preserve">Science 314, 787–790. doi:10.1126/science.1132294.</w:t>
      </w:r>
    </w:p>
    <w:p>
      <w:pPr>
        <w:pStyle w:val="Compact"/>
        <w:numPr>
          <w:ilvl w:val="0"/>
          <w:numId w:val="1016"/>
        </w:numPr>
      </w:pPr>
      <w:r>
        <w:t xml:space="preserve">Xin, H., Xu, N., Xu, H., Yang, H., Wang, Z., Zhang, Z., Ding, Y., Luan, H., Ou, Y., Yang, Y., 2025.</w:t>
      </w:r>
      <w:r>
        <w:t xml:space="preserve"> </w:t>
      </w:r>
      <w:r>
        <w:rPr>
          <w:i/>
          <w:iCs/>
        </w:rPr>
        <w:t xml:space="preserve">Mapping tidal flat topography by combining ICESat-2 laser altimetry and multi-source satellite imagery.</w:t>
      </w:r>
      <w:r>
        <w:t xml:space="preserve"> </w:t>
      </w:r>
      <w:r>
        <w:t xml:space="preserve">International Journal of Digital Earth 18 (2), 2554313. doi:10.1080/17538947.2025.2554313.</w:t>
      </w:r>
    </w:p>
    <w:p>
      <w:pPr>
        <w:pStyle w:val="Compact"/>
        <w:numPr>
          <w:ilvl w:val="0"/>
          <w:numId w:val="1016"/>
        </w:numPr>
      </w:pPr>
      <w:r>
        <w:t xml:space="preserve">Xu, N., Ma, Y., Yang, J., Wang, X. H., Wang, Y., Xu, R., 2022.</w:t>
      </w:r>
      <w:r>
        <w:t xml:space="preserve"> </w:t>
      </w:r>
      <w:r>
        <w:rPr>
          <w:i/>
          <w:iCs/>
        </w:rPr>
        <w:t xml:space="preserve">Deriving tidal flat topography using ICESat-2 laser altimetry and Sentinel-2 imagery.</w:t>
      </w:r>
      <w:r>
        <w:t xml:space="preserve"> </w:t>
      </w:r>
      <w:r>
        <w:t xml:space="preserve">Geophysical Research Letters 49, e2021GL096813. doi:10.1029/2021GL096813.</w:t>
      </w:r>
    </w:p>
    <w:p>
      <w:pPr>
        <w:pStyle w:val="Compact"/>
        <w:numPr>
          <w:ilvl w:val="0"/>
          <w:numId w:val="1016"/>
        </w:numPr>
      </w:pPr>
      <w:r>
        <w:t xml:space="preserve">Yun, G. R., Ryu, J.-H., Kim, K. L., Lee, J. H., Lee, S.-K., 2022.</w:t>
      </w:r>
      <w:r>
        <w:t xml:space="preserve"> </w:t>
      </w:r>
      <w:r>
        <w:rPr>
          <w:i/>
          <w:iCs/>
        </w:rPr>
        <w:t xml:space="preserve">TanDEM-X-based Ganghwa tidal flat high-resolution topographic map construction and service.</w:t>
      </w:r>
      <w:r>
        <w:t xml:space="preserve"> </w:t>
      </w:r>
      <w:r>
        <w:t xml:space="preserve">GEO DATA 4 (1), 37–42. doi:10.22761/DJ2022.4.1.004.</w:t>
      </w:r>
    </w:p>
    <w:p>
      <w:pPr>
        <w:pStyle w:val="Compact"/>
        <w:numPr>
          <w:ilvl w:val="0"/>
          <w:numId w:val="1016"/>
        </w:numPr>
      </w:pPr>
      <w:r>
        <w:t xml:space="preserve">Zhang, S., Xu, Q., Wang, H., Kang, Y., Li, X., 2022.</w:t>
      </w:r>
      <w:r>
        <w:t xml:space="preserve"> </w:t>
      </w:r>
      <w:r>
        <w:rPr>
          <w:i/>
          <w:iCs/>
        </w:rPr>
        <w:t xml:space="preserve">Automatic waterline extraction and topographic mapping of tidal flats from SAR images based on deep learning.</w:t>
      </w:r>
      <w:r>
        <w:t xml:space="preserve"> </w:t>
      </w:r>
      <w:r>
        <w:t xml:space="preserve">Geophysical Research Letters 49, e2021GL096007. doi:10.1029/2021GL096007.</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6" Target="media/rId1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[Author name TBD]1</dc:creator>
  <cp:keywords/>
  <dcterms:created xsi:type="dcterms:W3CDTF">2026-06-11T13:54:20Z</dcterms:created>
  <dcterms:modified xsi:type="dcterms:W3CDTF">2026-06-11T13:54:20Z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satellite scenes sample the local tidal cycle without systematic bias. We derive a closed-form, first-order model in which the satellite-sampled tide bias equals \beta \cdot A \cdot \langle \cos\theta\rangle, where A is the local tidal amplitude and \langle \cos\theta\rangle is the mean cosine of the satellite-overpass tide phase, and we validate it over the macrotidal Korean coast using 5,082 cloud-screened Landsat-8/9 and Sentinel-2 acquisitions (2020–2024) at five tidal flats (Ganghwa-do, Garorim Bay, Gomso Bay, Hampyeong Bay, Suncheon Bay) coupled with hourly tide-gauge observations of the Korea Hydrographic and Oceanographic Agency (KHOA). Sun-synchronous satellites sample only 70–80 % of the local astronomical tidal envelope, systematically missing one extremity. The resulting mean bias has opposite signs on the macrotidal west coast (low-tide bias, −0.5 to −1.2 m) and on the south coast (high-tide bias, +0.3 m), reflecting the regional amphidromic (i.e., tidal-phase-rotation) offset — to our knowledge the first quantitative demonstration of a spatially sign-reversed satellite tide-sampling bias in the optical-waterline literature.A bootstrap slope \beta = 1.78 (95 % CI 1.44–1.91) reproduces the bias across 5 sites and 3 sensors with R^{2} = 0.98 and is stable across years, seasons, and sensors (leave-one-site-out Pearson r = 0.97, RMSE = 0.16 m, correct sign at 15/15 held-out points), the departure \beta &gt; 1 itself decomposing analytically into a spring–neap × overpass-phase covariance term that is a physical diagnostic rather than a model deficiency. Replacing the local tide-gauge reference with the global FES2022b astronomical-tide model reproduces the fit (\beta = 1.70, R^{2} = 0.983, LOO RMSE = 0.11 m) and the bias sign at every site, demonstrating that the correction is feasible without any local gauge data. Quantile mapping translates the tide-height bias into an elevation-domain RMSE of 0.36–1.09 m and into horizontal contour errors of 179–1,359 m on planar tidal flats, with permanently unsampled intertidal bands up to 2.5 km wide on the macrotidal west coast. Because all current sun-synchronous optical missions cluster near 10:30 local solar time, increasing optical revisit frequency cannot remove the bias; only radar overpasses at a substantially different local solar time (e.g., Sentinel-1 SAR at 06:00 / 18:00 LST, hereafter termed phase-orthogonal) can close the gap. The closed-form model provides an a priori bias-correction tool requiring only satellite ephemeris and a global tide model, and predicts that the optimal multi-sensor data-collection window is regime-dependent — longer on the macrotidal west coast than in the southern amphidromic regime.Keywords: tidal flat; intertidal DEM; waterline method; tidal aliasing; sun-synchronous orbit; amphidromic system</vt:lpwstr>
  </property>
  <property fmtid="{D5CDD505-2E9C-101B-9397-08002B2CF9AE}" pid="3" name="classoption">
    <vt:lpwstr/>
  </property>
  <property fmtid="{D5CDD505-2E9C-101B-9397-08002B2CF9AE}" pid="4" name="colorlinks">
    <vt:lpwstr>True</vt:lpwstr>
  </property>
  <property fmtid="{D5CDD505-2E9C-101B-9397-08002B2CF9AE}" pid="5" name="date">
    <vt:lpwstr>First draft v0.1 — 2026-05-21 · Target journal: Remote Sensing of Environment · ~6,900 words (incl. References)</vt:lpwstr>
  </property>
  <property fmtid="{D5CDD505-2E9C-101B-9397-08002B2CF9AE}" pid="6" name="documentclass">
    <vt:lpwstr>article</vt:lpwstr>
  </property>
  <property fmtid="{D5CDD505-2E9C-101B-9397-08002B2CF9AE}" pid="7" name="fontsize">
    <vt:lpwstr>11pt</vt:lpwstr>
  </property>
  <property fmtid="{D5CDD505-2E9C-101B-9397-08002B2CF9AE}" pid="8" name="geometry">
    <vt:lpwstr>margin=2.5cm</vt:lpwstr>
  </property>
  <property fmtid="{D5CDD505-2E9C-101B-9397-08002B2CF9AE}" pid="9" name="header-includes">
    <vt:lpwstr/>
  </property>
  <property fmtid="{D5CDD505-2E9C-101B-9397-08002B2CF9AE}" pid="10" name="linestretch">
    <vt:lpwstr>2</vt:lpwstr>
  </property>
  <property fmtid="{D5CDD505-2E9C-101B-9397-08002B2CF9AE}" pid="11" name="linkcolor">
    <vt:lpwstr>NavyBlue</vt:lpwstr>
  </property>
  <property fmtid="{D5CDD505-2E9C-101B-9397-08002B2CF9AE}" pid="12" name="mainfont">
    <vt:lpwstr>STIX Two Text</vt:lpwstr>
  </property>
  <property fmtid="{D5CDD505-2E9C-101B-9397-08002B2CF9AE}" pid="13" name="mathfont">
    <vt:lpwstr>STIX Two Math</vt:lpwstr>
  </property>
  <property fmtid="{D5CDD505-2E9C-101B-9397-08002B2CF9AE}" pid="14" name="monofont">
    <vt:lpwstr>Menlo</vt:lpwstr>
  </property>
  <property fmtid="{D5CDD505-2E9C-101B-9397-08002B2CF9AE}" pid="15" name="numbersections">
    <vt:lpwstr>False</vt:lpwstr>
  </property>
  <property fmtid="{D5CDD505-2E9C-101B-9397-08002B2CF9AE}" pid="16" name="sansfont">
    <vt:lpwstr>Helvetica Neue</vt:lpwstr>
  </property>
  <property fmtid="{D5CDD505-2E9C-101B-9397-08002B2CF9AE}" pid="17" name="urlcolor">
    <vt:lpwstr>NavyBlue</vt:lpwstr>
  </property>
</Properties>
</file>