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6.png" ContentType="image/png"/>
  <Override PartName="/word/media/rId30.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Tidal-Sampling Bias of Sun-Synchronous Satellites from Overpass Phase: Theory and Validation on Macrotidal Coasts</w:t>
      </w:r>
    </w:p>
    <w:p>
      <w:pPr>
        <w:pStyle w:val="Author"/>
      </w:pPr>
      <w:r>
        <w:t xml:space="preserve">Taeyoon Song</w:t>
      </w:r>
      <w:r>
        <w:rPr>
          <w:vertAlign w:val="superscript"/>
        </w:rPr>
        <w:t xml:space="preserve">1</w:t>
      </w:r>
      <w:r>
        <w:t xml:space="preserve">, Mirinae Kim</w:t>
      </w:r>
      <w:r>
        <w:rPr>
          <w:vertAlign w:val="superscript"/>
        </w:rPr>
        <w:t xml:space="preserve">1</w:t>
      </w:r>
    </w:p>
    <w:p>
      <w:pPr>
        <w:pStyle w:val="Date"/>
      </w:pPr>
      <w:r>
        <w:t xml:space="preserve">Manuscript for</w:t>
      </w:r>
      <w:r>
        <w:t xml:space="preserve"> </w:t>
      </w:r>
      <w:r>
        <w:rPr>
          <w:i/>
          <w:iCs/>
        </w:rPr>
        <w:t xml:space="preserve">Remote Sensing</w:t>
      </w:r>
      <w:r>
        <w:t xml:space="preserve"> </w:t>
      </w:r>
      <w:r>
        <w:t xml:space="preserve">(MDPI)</w:t>
      </w:r>
    </w:p>
    <w:p>
      <w:pPr>
        <w:pStyle w:val="AbstractTitle"/>
      </w:pPr>
      <w:r>
        <w:t xml:space="preserve">Abstract</w:t>
      </w:r>
    </w:p>
    <w:p>
      <w:pPr>
        <w:pStyle w:val="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FirstParagraph"/>
      </w:pPr>
      <w:r>
        <w:rPr>
          <w:vertAlign w:val="superscript"/>
        </w:rPr>
        <w:t xml:space="preserve">1</w:t>
      </w:r>
      <w:r>
        <w:t xml:space="preserve"> </w:t>
      </w:r>
      <w:r>
        <w:t xml:space="preserve">Haebomdata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9" w:name="highlights"/>
    <w:p>
      <w:pPr>
        <w:pStyle w:val="Heading2"/>
      </w:pPr>
      <w:r>
        <w:t xml:space="preserve">Highlights</w:t>
      </w:r>
    </w:p>
    <w:p>
      <w:pPr>
        <w:pStyle w:val="Compac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Compact"/>
        <w:numPr>
          <w:ilvl w:val="0"/>
          <w:numId w:val="1001"/>
        </w:numPr>
      </w:pPr>
      <w:r>
        <w:t xml:space="preserve">Bipolar tide-bias sign reverses across the Korean amphidromic phase gradient</w:t>
      </w:r>
    </w:p>
    <w:p>
      <w:pPr>
        <w:pStyle w:val="Compact"/>
        <w:numPr>
          <w:ilvl w:val="0"/>
          <w:numId w:val="1001"/>
        </w:numPr>
      </w:pPr>
      <m:oMath>
        <m:r>
          <m:t>β</m:t>
        </m:r>
        <m:r>
          <m:rPr>
            <m:sty m:val="p"/>
          </m:rPr>
          <m:t>&gt;</m:t>
        </m:r>
        <m:r>
          <m:t>1</m:t>
        </m:r>
      </m:oMath>
      <w:r>
        <w:t xml:space="preserve"> </w:t>
      </w:r>
      <w:r>
        <w:t xml:space="preserve">decomposes into a spring–neap × overpass-phase covariance diagnostic</w:t>
      </w:r>
    </w:p>
    <w:p>
      <w:pPr>
        <w:pStyle w:val="Compact"/>
        <w:numPr>
          <w:ilvl w:val="0"/>
          <w:numId w:val="1001"/>
        </w:numPr>
      </w:pPr>
      <w:r>
        <w:t xml:space="preserve">FES2022b global model reproduces the fit; no local tide-gauge data required</w:t>
      </w:r>
    </w:p>
    <w:p>
      <w:pPr>
        <w:pStyle w:val="Compact"/>
        <w:numPr>
          <w:ilvl w:val="0"/>
          <w:numId w:val="1001"/>
        </w:numPr>
      </w:pPr>
      <w:r>
        <w:t xml:space="preserve">Yields 0.4–1.1 m DEM error and up to 2.5 km of permanently unsampled flats</w:t>
      </w:r>
    </w:p>
    <w:p>
      <w:pPr>
        <w:pStyle w:val="FirstParagraph"/>
      </w:pPr>
      <w:r>
        <w:rPr>
          <w:b/>
          <w:bCs/>
        </w:rPr>
        <w:t xml:space="preserve">Keywords:</w:t>
      </w:r>
      <w:r>
        <w:t xml:space="preserve"> </w:t>
      </w:r>
      <w:r>
        <w:t xml:space="preserve">tidal flat; intertidal DEM; waterline method; tidal aliasing; sun-synchronous orbit; amphidromic system</w:t>
      </w:r>
    </w:p>
    <w:bookmarkEnd w:id="9"/>
    <w:bookmarkStart w:id="15" w:name="introduction"/>
    <w:p>
      <w:pPr>
        <w:pStyle w:val="Heading2"/>
      </w:pPr>
      <w:r>
        <w:t xml:space="preserve">1. Introduction</w:t>
      </w:r>
    </w:p>
    <w:bookmarkStart w:id="10"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10"/>
    <w:bookmarkStart w:id="11"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1"/>
    <w:bookmarkStart w:id="12" w:name="Xccf7598b0bf19529ddaa3cdc4203c6150a8dcfb"/>
    <w:p>
      <w:pPr>
        <w:pStyle w:val="Heading3"/>
      </w:pPr>
      <w:r>
        <w:t xml:space="preserve">1.3 Tidal aliasing: a recognised problem, incompletely quantified</w:t>
      </w:r>
    </w:p>
    <w:p>
      <w:pPr>
        <w:pStyle w:val="FirstParagraph"/>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2"/>
        </w:numPr>
      </w:pPr>
      <w:r>
        <w:rPr>
          <w:b/>
          <w:bCs/>
        </w:rPr>
        <w:t xml:space="preserve">Is the bias systematic and predictable, or noisy and idiosyncratic?</w:t>
      </w:r>
    </w:p>
    <w:p>
      <w:pPr>
        <w:pStyle w:val="Compact"/>
        <w:numPr>
          <w:ilvl w:val="0"/>
          <w:numId w:val="1002"/>
        </w:numPr>
      </w:pPr>
      <w:r>
        <w:rPr>
          <w:b/>
          <w:bCs/>
        </w:rPr>
        <w:t xml:space="preserve">How does the bias vary across regional amphidromic phase gradients?</w:t>
      </w:r>
    </w:p>
    <w:p>
      <w:pPr>
        <w:pStyle w:val="Compact"/>
        <w:numPr>
          <w:ilvl w:val="0"/>
          <w:numId w:val="1002"/>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w:t>
            </w:r>
          </w:p>
        </w:tc>
        <w:tc>
          <w:tcPr/>
          <w:p>
            <w:pPr>
              <w:pStyle w:val="Compact"/>
            </w:pPr>
            <w:r>
              <w:t xml:space="preserve">Landsat-TM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(NW)</w:t>
            </w:r>
          </w:p>
        </w:tc>
        <w:tc>
          <w:tcPr/>
          <w:p>
            <w:pPr>
              <w:pStyle w:val="Compact"/>
            </w:pPr>
            <w:r>
              <w:t xml:space="preserve">TanDEM-X (SAR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(NW)</w:t>
            </w:r>
          </w:p>
        </w:tc>
        <w:tc>
          <w:tcPr/>
          <w:p>
            <w:pPr>
              <w:pStyle w:val="Compact"/>
            </w:pPr>
            <w:r>
              <w:t xml:space="preserve">TanDEM-X</w:t>
            </w:r>
          </w:p>
        </w:tc>
        <w:tc>
          <w:tcPr/>
          <w:p>
            <w:pPr>
              <w:pStyle w:val="Compact"/>
            </w:pPr>
            <w:r>
              <w:t xml:space="preserve">InSAR phase, public service</w:t>
            </w:r>
          </w:p>
        </w:tc>
        <w:tc>
          <w:tcPr/>
          <w:p>
            <w:pPr>
              <w:pStyle w:val="Compact"/>
            </w:pPr>
            <w:r>
              <w:t xml:space="preserve">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regional</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 ECSS)</w:t>
            </w:r>
          </w:p>
        </w:tc>
        <w:tc>
          <w:tcPr/>
          <w:p>
            <w:pPr>
              <w:pStyle w:val="Compact"/>
            </w:pPr>
            <w:r>
              <w:t xml:space="preserve">Taean Peninsula (W)</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 + S coasts, 5 sites (2020–2024)</w:t>
            </w:r>
          </w:p>
        </w:tc>
        <w:tc>
          <w:tcPr/>
          <w:p>
            <w:pPr>
              <w:pStyle w:val="Compact"/>
            </w:pPr>
            <w:r>
              <w:rPr>
                <w:b/>
                <w:bCs/>
              </w:rPr>
              <w:t xml:space="preserve">L8/9 + S2 (metadata; 5,082 scenes)</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12"/>
    <w:bookmarkStart w:id="13"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3"/>
    <w:bookmarkStart w:id="14" w:name="contribution"/>
    <w:p>
      <w:pPr>
        <w:pStyle w:val="Heading3"/>
      </w:pPr>
      <w:r>
        <w:t xml:space="preserve">1.5 Contribution</w:t>
      </w:r>
    </w:p>
    <w:p>
      <w:pPr>
        <w:pStyle w:val="FirstParagraph"/>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14"/>
    <w:bookmarkEnd w:id="15"/>
    <w:bookmarkStart w:id="22" w:name="study-area-and-data"/>
    <w:p>
      <w:pPr>
        <w:pStyle w:val="Heading2"/>
      </w:pPr>
      <w:r>
        <w:t xml:space="preserve">2. Study area and data</w:t>
      </w:r>
    </w:p>
    <w:bookmarkStart w:id="19" w:name="sites"/>
    <w:p>
      <w:pPr>
        <w:pStyle w:val="Heading3"/>
      </w:pPr>
      <w:r>
        <w:t xml:space="preserve">2.1 Sites</w:t>
      </w:r>
    </w:p>
    <w:p>
      <w:pPr>
        <w:pStyle w:val="FirstParagraph"/>
      </w:pPr>
      <w:r>
        <w:t xml:space="preserve">Five tidal flats spanning the entire western and southern Korean coast were chosen to span the full range of local tidal amplitudes and regional phase offsets (Figure 1; Table 2):</w:t>
      </w:r>
    </w:p>
    <w:p>
      <w:pPr>
        <w:pStyle w:val="Compac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Compac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2377"/>
            <wp:effectExtent b="0" l="0" r="0" t="0"/>
            <wp:docPr descr="" title="" id="17" name="Picture"/>
            <a:graphic>
              <a:graphicData uri="http://schemas.openxmlformats.org/drawingml/2006/picture">
                <pic:pic>
                  <pic:nvPicPr>
                    <pic:cNvPr descr="figures/fig1_study_area.png" id="18" name="Picture"/>
                    <pic:cNvPicPr>
                      <a:picLocks noChangeArrowheads="1" noChangeAspect="1"/>
                    </pic:cNvPicPr>
                  </pic:nvPicPr>
                  <pic:blipFill>
                    <a:blip r:embed="rId16"/>
                    <a:stretch>
                      <a:fillRect/>
                    </a:stretch>
                  </pic:blipFill>
                  <pic:spPr bwMode="auto">
                    <a:xfrm>
                      <a:off x="0" y="0"/>
                      <a:ext cx="4800600" cy="423237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19"/>
    <w:bookmarkStart w:id="20"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20"/>
    <w:bookmarkStart w:id="21"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Body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KHOA rows</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1"/>
    <w:bookmarkEnd w:id="22"/>
    <w:bookmarkStart w:id="29" w:name="materials-and-methods"/>
    <w:p>
      <w:pPr>
        <w:pStyle w:val="Heading2"/>
      </w:pPr>
      <w:r>
        <w:t xml:space="preserve">3. Materials and Methods</w:t>
      </w:r>
    </w:p>
    <w:bookmarkStart w:id="23"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w:t>
      </w:r>
      <w:r>
        <w:t xml:space="preserve"> </w:t>
      </w:r>
      <w:r>
        <w:t xml:space="preserve">[8,16]</w:t>
      </w:r>
      <w:r>
        <w:t xml:space="preserve">:</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3"/>
    <w:bookmarkStart w:id="24"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24"/>
    <w:bookmarkStart w:id="25"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25"/>
    <w:bookmarkStart w:id="26"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7"/>
        </w:numPr>
      </w:pPr>
      <w:r>
        <w:rPr>
          <w:b/>
          <w:bCs/>
        </w:rPr>
        <w:t xml:space="preserve">Annual</w:t>
      </w:r>
      <w:r>
        <w:t xml:space="preserve">: 5 fits, one per calendar year 2020–2024.</w:t>
      </w:r>
    </w:p>
    <w:p>
      <w:pPr>
        <w:pStyle w:val="Compact"/>
        <w:numPr>
          <w:ilvl w:val="0"/>
          <w:numId w:val="1007"/>
        </w:numPr>
      </w:pPr>
      <w:r>
        <w:rPr>
          <w:b/>
          <w:bCs/>
        </w:rPr>
        <w:t xml:space="preserve">Seasonal</w:t>
      </w:r>
      <w:r>
        <w:t xml:space="preserve">: 4 fits, one per DJF / MAM / JJA / SON.</w:t>
      </w:r>
    </w:p>
    <w:p>
      <w:pPr>
        <w:pStyle w:val="Compact"/>
        <w:numPr>
          <w:ilvl w:val="0"/>
          <w:numId w:val="1007"/>
        </w:numPr>
      </w:pPr>
      <w:r>
        <w:rPr>
          <w:b/>
          <w:bCs/>
        </w:rPr>
        <w:t xml:space="preserve">Sensor</w:t>
      </w:r>
      <w:r>
        <w:t xml:space="preserve">: 3 fits, one per L8 / L9 / S2.</w:t>
      </w:r>
    </w:p>
    <w:p>
      <w:pPr>
        <w:pStyle w:val="Compact"/>
        <w:numPr>
          <w:ilvl w:val="0"/>
          <w:numId w:val="1007"/>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6"/>
    <w:bookmarkStart w:id="27"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7"/>
    <w:bookmarkStart w:id="28"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28"/>
    <w:bookmarkEnd w:id="29"/>
    <w:bookmarkStart w:id="59" w:name="results"/>
    <w:p>
      <w:pPr>
        <w:pStyle w:val="Heading2"/>
      </w:pPr>
      <w:r>
        <w:t xml:space="preserve">4. Results</w:t>
      </w:r>
    </w:p>
    <w:bookmarkStart w:id="36" w:name="Xd8b9a8778374a11dda8b58c10124160665a15be"/>
    <w:p>
      <w:pPr>
        <w:pStyle w:val="Heading3"/>
      </w:pPr>
      <w:r>
        <w:t xml:space="preserve">4.1 Cross-site tidal sampling distributions reveal a bipolar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BodyText"/>
      </w:pPr>
      <w:r>
        <w:drawing>
          <wp:inline>
            <wp:extent cx="4907280" cy="2295340"/>
            <wp:effectExtent b="0" l="0" r="0" t="0"/>
            <wp:docPr descr="" title="" id="31" name="Picture"/>
            <a:graphic>
              <a:graphicData uri="http://schemas.openxmlformats.org/drawingml/2006/picture">
                <pic:pic>
                  <pic:nvPicPr>
                    <pic:cNvPr descr="figures/fig2_distribution_grid.png" id="32" name="Picture"/>
                    <pic:cNvPicPr>
                      <a:picLocks noChangeArrowheads="1" noChangeAspect="1"/>
                    </pic:cNvPicPr>
                  </pic:nvPicPr>
                  <pic:blipFill>
                    <a:blip r:embed="rId30"/>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Body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BodyText"/>
      </w:pPr>
      <w:r>
        <w:drawing>
          <wp:inline>
            <wp:extent cx="5067300" cy="1379962"/>
            <wp:effectExtent b="0" l="0" r="0" t="0"/>
            <wp:docPr descr="" title="" id="34" name="Picture"/>
            <a:graphic>
              <a:graphicData uri="http://schemas.openxmlformats.org/drawingml/2006/picture">
                <pic:pic>
                  <pic:nvPicPr>
                    <pic:cNvPr descr="figures/fig3_bipolar_bias.png" id="35" name="Picture"/>
                    <pic:cNvPicPr>
                      <a:picLocks noChangeArrowheads="1" noChangeAspect="1"/>
                    </pic:cNvPicPr>
                  </pic:nvPicPr>
                  <pic:blipFill>
                    <a:blip r:embed="rId33"/>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Ganghwa</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Ganghwa</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Ganghwa</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Garorim</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Garorim</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Garorim</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Gomso</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Gomso</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Gomso</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Hampyeong</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Hampyeong</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Hampyeong</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Suncheon</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Suncheon</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Suncheon</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36"/>
    <w:bookmarkStart w:id="40" w:name="X3ee678bc59ea253c8fafb243613123884b7c4f0"/>
    <w:p>
      <w:pPr>
        <w:pStyle w:val="Heading3"/>
      </w:pPr>
      <w:r>
        <w:t xml:space="preserve">4.2 The bipolar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BodyText"/>
      </w:pPr>
      <w:r>
        <w:drawing>
          <wp:inline>
            <wp:extent cx="4800600" cy="1194106"/>
            <wp:effectExtent b="0" l="0" r="0" t="0"/>
            <wp:docPr descr="" title="" id="38" name="Picture"/>
            <a:graphic>
              <a:graphicData uri="http://schemas.openxmlformats.org/drawingml/2006/picture">
                <pic:pic>
                  <pic:nvPicPr>
                    <pic:cNvPr descr="figures/fig4_phase_polar.png" id="39" name="Picture"/>
                    <pic:cNvPicPr>
                      <a:picLocks noChangeArrowheads="1" noChangeAspect="1"/>
                    </pic:cNvPicPr>
                  </pic:nvPicPr>
                  <pic:blipFill>
                    <a:blip r:embed="rId37"/>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40"/>
    <w:bookmarkStart w:id="44"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drawing>
          <wp:inline>
            <wp:extent cx="4267200" cy="2998985"/>
            <wp:effectExtent b="0" l="0" r="0" t="0"/>
            <wp:docPr descr="" title="" id="42" name="Picture"/>
            <a:graphic>
              <a:graphicData uri="http://schemas.openxmlformats.org/drawingml/2006/picture">
                <pic:pic>
                  <pic:nvPicPr>
                    <pic:cNvPr descr="figures/fig5_phase_bias_regression.png" id="43" name="Picture"/>
                    <pic:cNvPicPr>
                      <a:picLocks noChangeArrowheads="1" noChangeAspect="1"/>
                    </pic:cNvPicPr>
                  </pic:nvPicPr>
                  <pic:blipFill>
                    <a:blip r:embed="rId41"/>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44"/>
    <w:bookmarkStart w:id="48"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Compac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BodyText"/>
      </w:pPr>
      <w:r>
        <w:drawing>
          <wp:inline>
            <wp:extent cx="4267200" cy="2762779"/>
            <wp:effectExtent b="0" l="0" r="0" t="0"/>
            <wp:docPr descr="" title="" id="46" name="Picture"/>
            <a:graphic>
              <a:graphicData uri="http://schemas.openxmlformats.org/drawingml/2006/picture">
                <pic:pic>
                  <pic:nvPicPr>
                    <pic:cNvPr descr="figures/fig7_loo_validation.png" id="47" name="Picture"/>
                    <pic:cNvPicPr>
                      <a:picLocks noChangeArrowheads="1" noChangeAspect="1"/>
                    </pic:cNvPicPr>
                  </pic:nvPicPr>
                  <pic:blipFill>
                    <a:blip r:embed="rId45"/>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48"/>
    <w:bookmarkStart w:id="55"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Body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BodyText"/>
      </w:pPr>
      <w:r>
        <w:drawing>
          <wp:inline>
            <wp:extent cx="4533900" cy="2334534"/>
            <wp:effectExtent b="0" l="0" r="0" t="0"/>
            <wp:docPr descr="" title="" id="50" name="Picture"/>
            <a:graphic>
              <a:graphicData uri="http://schemas.openxmlformats.org/drawingml/2006/picture">
                <pic:pic>
                  <pic:nvPicPr>
                    <pic:cNvPr descr="figures/fig9_truncation_bands.png" id="51" name="Picture"/>
                    <pic:cNvPicPr>
                      <a:picLocks noChangeArrowheads="1" noChangeAspect="1"/>
                    </pic:cNvPicPr>
                  </pic:nvPicPr>
                  <pic:blipFill>
                    <a:blip r:embed="rId49"/>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3" name="Picture"/>
            <a:graphic>
              <a:graphicData uri="http://schemas.openxmlformats.org/drawingml/2006/picture">
                <pic:pic>
                  <pic:nvPicPr>
                    <pic:cNvPr descr="figures/fig10_horizontal_error.png" id="54" name="Picture"/>
                    <pic:cNvPicPr>
                      <a:picLocks noChangeArrowheads="1" noChangeAspect="1"/>
                    </pic:cNvPicPr>
                  </pic:nvPicPr>
                  <pic:blipFill>
                    <a:blip r:embed="rId52"/>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55"/>
    <w:bookmarkStart w:id="56"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56"/>
    <w:bookmarkStart w:id="57" w:name="Xd60ea9a7fef294f880c0af49b1fbb3f4a6dcc08"/>
    <w:p>
      <w:pPr>
        <w:pStyle w:val="Heading3"/>
      </w:pPr>
      <w:r>
        <w:t xml:space="preserve">4.7 Robustness to amplitude definition and reference choice</w:t>
      </w:r>
    </w:p>
    <w:p>
      <w:pPr>
        <w:pStyle w:val="FirstParagraph"/>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57"/>
    <w:bookmarkStart w:id="58" w:name="X644ac44b6a32494d150ad7d4caaf10fa1aa8412"/>
    <w:p>
      <w:pPr>
        <w:pStyle w:val="Heading3"/>
      </w:pPr>
      <w:r>
        <w:t xml:space="preserve">4.8 A priori transferability to macrotidal coasts outside Korea</w:t>
      </w:r>
    </w:p>
    <w:p>
      <w:pPr>
        <w:pStyle w:val="FirstParagraph"/>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Site (tidal regime)</w:t>
            </w:r>
          </w:p>
        </w:tc>
        <w:tc>
          <w:tcPr/>
          <w:p>
            <w:pPr>
              <w:pStyle w:val="Compact"/>
            </w:pPr>
            <w:r>
              <w:rPr>
                <w:b/>
                <w:bCs/>
              </w:rPr>
              <w:t xml:space="preserve">n</w:t>
            </w:r>
          </w:p>
        </w:tc>
        <w:tc>
          <w:tcPr/>
          <w:p>
            <w:pPr>
              <w:pStyle w:val="Compact"/>
            </w:pPr>
            <m:oMath>
              <m:r>
                <m:t>A</m:t>
              </m:r>
            </m:oMath>
            <w:r>
              <w:rPr>
                <w:b/>
                <w:bCs/>
              </w:rPr>
              <w:t xml:space="preserve"> </w:t>
            </w:r>
            <w:r>
              <w:rPr>
                <w:b/>
                <w:bCs/>
              </w:rPr>
              <w:t xml:space="preserve">(m)</w:t>
            </w:r>
          </w:p>
        </w:tc>
        <w:tc>
          <w:tcPr/>
          <w:p>
            <w:pPr>
              <w:pStyle w:val="Compact"/>
            </w:pPr>
            <m:oMath>
              <m:r>
                <m:rPr>
                  <m:sty m:val="p"/>
                </m:rPr>
                <m:t>⟨</m:t>
              </m:r>
              <m:r>
                <m:rPr>
                  <m:sty m:val="p"/>
                </m:rPr>
                <m:t>cos</m:t>
              </m:r>
              <m:r>
                <m:t>θ</m:t>
              </m:r>
              <m:r>
                <m:rPr>
                  <m:sty m:val="p"/>
                </m:rPr>
                <m:t>⟩</m:t>
              </m:r>
            </m:oMath>
          </w:p>
        </w:tc>
        <w:tc>
          <w:tcPr/>
          <w:p>
            <w:pPr>
              <w:pStyle w:val="Compact"/>
            </w:pPr>
            <w:r>
              <w:rPr>
                <w:b/>
                <w:bCs/>
              </w:rPr>
              <w:t xml:space="preserve">Pred. bias (m)</w:t>
            </w:r>
          </w:p>
        </w:tc>
        <w:tc>
          <w:tcPr/>
          <w:p>
            <w:pPr>
              <w:pStyle w:val="Compact"/>
            </w:pPr>
            <w:r>
              <w:rPr>
                <w:b/>
                <w:bCs/>
              </w:rPr>
              <w:t xml:space="preserve">FES-sampled (m)</w:t>
            </w:r>
          </w:p>
        </w:tc>
      </w:tr>
      <w:tr>
        <w:tc>
          <w:tcPr/>
          <w:p>
            <w:pPr>
              <w:pStyle w:val="Compact"/>
            </w:pPr>
            <w:r>
              <w:t xml:space="preserve">King Sound, NW Australia (mixed)</w:t>
            </w:r>
          </w:p>
        </w:tc>
        <w:tc>
          <w:tcPr/>
          <w:p>
            <w:pPr>
              <w:pStyle w:val="Compact"/>
            </w:pPr>
            <w:r>
              <w:t xml:space="preserve">1{,}258</w:t>
            </w:r>
          </w:p>
        </w:tc>
        <w:tc>
          <w:tcPr/>
          <w:p>
            <w:pPr>
              <w:pStyle w:val="Compact"/>
            </w:pPr>
            <w:r>
              <w:t xml:space="preserve">3.76</w:t>
            </w:r>
          </w:p>
        </w:tc>
        <w:tc>
          <w:tcPr/>
          <w:p>
            <w:pPr>
              <w:pStyle w:val="Compact"/>
            </w:pPr>
            <w:r>
              <w:t xml:space="preserve">−0.267</w:t>
            </w:r>
          </w:p>
        </w:tc>
        <w:tc>
          <w:tcPr/>
          <w:p>
            <w:pPr>
              <w:pStyle w:val="Compact"/>
            </w:pPr>
            <w:r>
              <w:t xml:space="preserve">−1.79</w:t>
            </w:r>
          </w:p>
        </w:tc>
        <w:tc>
          <w:tcPr/>
          <w:p>
            <w:pPr>
              <w:pStyle w:val="Compact"/>
            </w:pPr>
            <w:r>
              <w:t xml:space="preserve">−1.55</w:t>
            </w:r>
          </w:p>
        </w:tc>
      </w:tr>
      <w:tr>
        <w:tc>
          <w:tcPr/>
          <w:p>
            <w:pPr>
              <w:pStyle w:val="Compact"/>
            </w:pPr>
            <w:r>
              <w:t xml:space="preserve">Wadden Sea / German Bight (semidiurnal)</w:t>
            </w:r>
          </w:p>
        </w:tc>
        <w:tc>
          <w:tcPr/>
          <w:p>
            <w:pPr>
              <w:pStyle w:val="Compact"/>
            </w:pPr>
            <w:r>
              <w:t xml:space="preserve">573</w:t>
            </w:r>
          </w:p>
        </w:tc>
        <w:tc>
          <w:tcPr/>
          <w:p>
            <w:pPr>
              <w:pStyle w:val="Compact"/>
            </w:pPr>
            <w:r>
              <w:t xml:space="preserve">1.41</w:t>
            </w:r>
          </w:p>
        </w:tc>
        <w:tc>
          <w:tcPr/>
          <w:p>
            <w:pPr>
              <w:pStyle w:val="Compact"/>
            </w:pPr>
            <w:r>
              <w:t xml:space="preserve">+0.028</w:t>
            </w:r>
          </w:p>
        </w:tc>
        <w:tc>
          <w:tcPr/>
          <w:p>
            <w:pPr>
              <w:pStyle w:val="Compact"/>
            </w:pPr>
            <w:r>
              <w:t xml:space="preserve">+0.07</w:t>
            </w:r>
          </w:p>
        </w:tc>
        <w:tc>
          <w:tcPr/>
          <w:p>
            <w:pPr>
              <w:pStyle w:val="Compact"/>
            </w:pPr>
            <w:r>
              <w:t xml:space="preserve">+0.16</w:t>
            </w:r>
          </w:p>
        </w:tc>
      </w:tr>
      <w:tr>
        <w:tc>
          <w:tcPr/>
          <w:p>
            <w:pPr>
              <w:pStyle w:val="Compact"/>
            </w:pPr>
            <w:r>
              <w:t xml:space="preserve">Bay of Fundy / Minas Basin (max. range)</w:t>
            </w:r>
          </w:p>
        </w:tc>
        <w:tc>
          <w:tcPr/>
          <w:p>
            <w:pPr>
              <w:pStyle w:val="Compact"/>
            </w:pPr>
            <w:r>
              <w:t xml:space="preserve">924</w:t>
            </w:r>
          </w:p>
        </w:tc>
        <w:tc>
          <w:tcPr/>
          <w:p>
            <w:pPr>
              <w:pStyle w:val="Compact"/>
            </w:pPr>
            <w:r>
              <w:t xml:space="preserve">6.44</w:t>
            </w:r>
          </w:p>
        </w:tc>
        <w:tc>
          <w:tcPr/>
          <w:p>
            <w:pPr>
              <w:pStyle w:val="Compact"/>
            </w:pPr>
            <w:r>
              <w:t xml:space="preserve">−0.016</w:t>
            </w:r>
          </w:p>
        </w:tc>
        <w:tc>
          <w:tcPr/>
          <w:p>
            <w:pPr>
              <w:pStyle w:val="Compact"/>
            </w:pPr>
            <w:r>
              <w:t xml:space="preserve">−0.18</w:t>
            </w:r>
          </w:p>
        </w:tc>
        <w:tc>
          <w:tcPr/>
          <w:p>
            <w:pPr>
              <w:pStyle w:val="Compact"/>
            </w:pPr>
            <w:r>
              <w:t xml:space="preserve">+0.24</w:t>
            </w:r>
          </w:p>
        </w:tc>
      </w:tr>
    </w:tbl>
    <w:p>
      <w:pPr>
        <w:pStyle w:val="Body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Body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Body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58"/>
    <w:bookmarkEnd w:id="59"/>
    <w:bookmarkStart w:id="65" w:name="discussion"/>
    <w:p>
      <w:pPr>
        <w:pStyle w:val="Heading2"/>
      </w:pPr>
      <w:r>
        <w:t xml:space="preserve">5. Discussion</w:t>
      </w:r>
    </w:p>
    <w:bookmarkStart w:id="60"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60"/>
    <w:bookmarkStart w:id="61" w:name="Xec88b37862774c60052025a13adec28305d013b"/>
    <w:p>
      <w:pPr>
        <w:pStyle w:val="Heading3"/>
      </w:pPr>
      <w:r>
        <w:t xml:space="preserve">5.2 The bipolar bias: a regional amphidromic phenomenon</w:t>
      </w:r>
    </w:p>
    <w:p>
      <w:pPr>
        <w:pStyle w:val="FirstParagraph"/>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Compac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61"/>
    <w:bookmarkStart w:id="62"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Body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2"/>
    <w:bookmarkStart w:id="63"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3"/>
    <w:bookmarkStart w:id="64" w:name="generality"/>
    <w:p>
      <w:pPr>
        <w:pStyle w:val="Heading3"/>
      </w:pPr>
      <w:r>
        <w:t xml:space="preserve">5.5 Generality</w:t>
      </w:r>
    </w:p>
    <w:p>
      <w:pPr>
        <w:pStyle w:val="FirstParagraph"/>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Body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64"/>
    <w:bookmarkEnd w:id="65"/>
    <w:bookmarkStart w:id="66"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FirstParagraph"/>
      </w:pPr>
      <w:r>
        <w:rPr>
          <w:i/>
          <w:iCs/>
        </w:rPr>
        <w:t xml:space="preserve">In answer to question 2 (how does the bias vary along regional amphidromic gradients?):</w:t>
      </w:r>
    </w:p>
    <w:p>
      <w:pPr>
        <w:pStyle w:val="Compac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6"/>
    <w:bookmarkStart w:id="67" w:name="supplementary-materials"/>
    <w:p>
      <w:pPr>
        <w:pStyle w:val="Heading2"/>
      </w:pPr>
      <w:r>
        <w:t xml:space="preserve">Supplementary Materials</w:t>
      </w:r>
    </w:p>
    <w:p>
      <w:pPr>
        <w:pStyle w:val="FirstParagraph"/>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67"/>
    <w:bookmarkStart w:id="68" w:name="author-contributions"/>
    <w:p>
      <w:pPr>
        <w:pStyle w:val="Heading2"/>
      </w:pPr>
      <w:r>
        <w:t xml:space="preserve">Author Contributions</w:t>
      </w:r>
    </w:p>
    <w:p>
      <w:pPr>
        <w:pStyle w:val="FirstParagraph"/>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r>
        <w:t xml:space="preserve"> </w:t>
      </w:r>
    </w:p>
    <w:bookmarkEnd w:id="68"/>
    <w:bookmarkStart w:id="69" w:name="funding"/>
    <w:p>
      <w:pPr>
        <w:pStyle w:val="Heading2"/>
      </w:pPr>
      <w:r>
        <w:t xml:space="preserve">Funding</w:t>
      </w:r>
    </w:p>
    <w:p>
      <w:pPr>
        <w:pStyle w:val="FirstParagraph"/>
      </w:pPr>
      <w:r>
        <w:t xml:space="preserve">This research received no external funding.</w:t>
      </w:r>
      <w:r>
        <w:t xml:space="preserve"> </w:t>
      </w:r>
    </w:p>
    <w:bookmarkEnd w:id="69"/>
    <w:bookmarkStart w:id="70" w:name="institutional-review-board-statement"/>
    <w:p>
      <w:pPr>
        <w:pStyle w:val="Heading2"/>
      </w:pPr>
      <w:r>
        <w:t xml:space="preserve">Institutional Review Board Statement</w:t>
      </w:r>
    </w:p>
    <w:p>
      <w:pPr>
        <w:pStyle w:val="FirstParagraph"/>
      </w:pPr>
      <w:r>
        <w:t xml:space="preserve">Not applicable.</w:t>
      </w:r>
    </w:p>
    <w:bookmarkEnd w:id="70"/>
    <w:bookmarkStart w:id="71" w:name="informed-consent-statement"/>
    <w:p>
      <w:pPr>
        <w:pStyle w:val="Heading2"/>
      </w:pPr>
      <w:r>
        <w:t xml:space="preserve">Informed Consent Statement</w:t>
      </w:r>
    </w:p>
    <w:p>
      <w:pPr>
        <w:pStyle w:val="FirstParagraph"/>
      </w:pPr>
      <w:r>
        <w:t xml:space="preserve">Not applicable.</w:t>
      </w:r>
    </w:p>
    <w:bookmarkEnd w:id="71"/>
    <w:bookmarkStart w:id="72" w:name="data-availability-statement"/>
    <w:p>
      <w:pPr>
        <w:pStyle w:val="Heading2"/>
      </w:pPr>
      <w:r>
        <w:t xml:space="preserve">Data Availability Statement</w:t>
      </w:r>
    </w:p>
    <w:p>
      <w:pPr>
        <w:pStyle w:val="FirstParagraph"/>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72"/>
    <w:bookmarkStart w:id="73" w:name="acknowledgments"/>
    <w:p>
      <w:pPr>
        <w:pStyle w:val="Heading2"/>
      </w:pPr>
      <w:r>
        <w:t xml:space="preserve">Acknowledgments</w:t>
      </w:r>
    </w:p>
    <w:p>
      <w:pPr>
        <w:pStyle w:val="FirstParagraph"/>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r>
        <w:t xml:space="preserve"> </w:t>
      </w:r>
      <w:r>
        <w:t xml:space="preserve">Haebomdata Inc. has carried out the nationwide Blue Carbon Monitoring service</w:t>
      </w:r>
      <w:r>
        <w:t xml:space="preserve"> </w:t>
      </w:r>
      <w:r>
        <w:t xml:space="preserve">commissioned by the Korea Marine Environment Management Corporation (KOEM); the</w:t>
      </w:r>
      <w:r>
        <w:t xml:space="preserve"> </w:t>
      </w:r>
      <w:r>
        <w:t xml:space="preserve">present study was conducted independently of that contract.</w:t>
      </w:r>
    </w:p>
    <w:bookmarkEnd w:id="73"/>
    <w:bookmarkStart w:id="7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74"/>
    <w:bookmarkStart w:id="75" w:name="conflicts-of-interest"/>
    <w:p>
      <w:pPr>
        <w:pStyle w:val="Heading2"/>
      </w:pPr>
      <w:r>
        <w:t xml:space="preserve">Conflicts of Interest</w:t>
      </w:r>
    </w:p>
    <w:p>
      <w:pPr>
        <w:pStyle w:val="FirstParagraph"/>
      </w:pPr>
      <w:r>
        <w:t xml:space="preserve">The authors declare no conflicts of interest.</w:t>
      </w:r>
    </w:p>
    <w:bookmarkEnd w:id="75"/>
    <w:bookmarkStart w:id="141" w:name="references"/>
    <w:p>
      <w:pPr>
        <w:pStyle w:val="Heading2"/>
      </w:pPr>
      <w:r>
        <w:t xml:space="preserve">References</w:t>
      </w:r>
    </w:p>
    <w:bookmarkStart w:id="140" w:name="refs"/>
    <w:bookmarkStart w:id="77" w:name="ref-murray_2019_global"/>
    <w:p>
      <w:pPr>
        <w:pStyle w:val="Bibliography"/>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76">
        <w:r>
          <w:rPr>
            <w:rStyle w:val="Hyperlink"/>
          </w:rPr>
          <w:t xml:space="preserve">10.1038/s41586-018-0805-8</w:t>
        </w:r>
      </w:hyperlink>
      <w:r>
        <w:t xml:space="preserve">.</w:t>
      </w:r>
    </w:p>
    <w:bookmarkEnd w:id="77"/>
    <w:bookmarkStart w:id="79" w:name="ref-worm_2006"/>
    <w:p>
      <w:pPr>
        <w:pStyle w:val="Bibliography"/>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78">
        <w:r>
          <w:rPr>
            <w:rStyle w:val="Hyperlink"/>
          </w:rPr>
          <w:t xml:space="preserve">10.1126/science.1132294</w:t>
        </w:r>
      </w:hyperlink>
      <w:r>
        <w:t xml:space="preserve">.</w:t>
      </w:r>
    </w:p>
    <w:bookmarkEnd w:id="79"/>
    <w:bookmarkStart w:id="81" w:name="ref-xu_2022_icesat2_tidalflat"/>
    <w:p>
      <w:pPr>
        <w:pStyle w:val="Bibliography"/>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80">
        <w:r>
          <w:rPr>
            <w:rStyle w:val="Hyperlink"/>
          </w:rPr>
          <w:t xml:space="preserve">10.1029/2021GL096813</w:t>
        </w:r>
      </w:hyperlink>
      <w:r>
        <w:t xml:space="preserve">.</w:t>
      </w:r>
    </w:p>
    <w:bookmarkEnd w:id="81"/>
    <w:bookmarkStart w:id="83" w:name="ref-mason_1995"/>
    <w:p>
      <w:pPr>
        <w:pStyle w:val="Bibliography"/>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82">
        <w:r>
          <w:rPr>
            <w:rStyle w:val="Hyperlink"/>
          </w:rPr>
          <w:t xml:space="preserve">10.1029/95GL03168</w:t>
        </w:r>
      </w:hyperlink>
      <w:r>
        <w:t xml:space="preserve">.</w:t>
      </w:r>
    </w:p>
    <w:bookmarkEnd w:id="83"/>
    <w:bookmarkStart w:id="85" w:name="ref-heygster_2010"/>
    <w:p>
      <w:pPr>
        <w:pStyle w:val="Bibliography"/>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84">
        <w:r>
          <w:rPr>
            <w:rStyle w:val="Hyperlink"/>
          </w:rPr>
          <w:t xml:space="preserve">10.1109/TGRS.2009.2031843</w:t>
        </w:r>
      </w:hyperlink>
      <w:r>
        <w:t xml:space="preserve">.</w:t>
      </w:r>
    </w:p>
    <w:bookmarkEnd w:id="85"/>
    <w:bookmarkStart w:id="87" w:name="ref-murray_2012"/>
    <w:p>
      <w:pPr>
        <w:pStyle w:val="Bibliography"/>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86">
        <w:r>
          <w:rPr>
            <w:rStyle w:val="Hyperlink"/>
          </w:rPr>
          <w:t xml:space="preserve">10.3390/rs4113417</w:t>
        </w:r>
      </w:hyperlink>
      <w:r>
        <w:t xml:space="preserve">.</w:t>
      </w:r>
    </w:p>
    <w:bookmarkEnd w:id="87"/>
    <w:bookmarkStart w:id="89" w:name="ref-sagar_2017_australia"/>
    <w:p>
      <w:pPr>
        <w:pStyle w:val="Bibliography"/>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88">
        <w:r>
          <w:rPr>
            <w:rStyle w:val="Hyperlink"/>
          </w:rPr>
          <w:t xml:space="preserve">10.1016/j.rse.2017.04.009</w:t>
        </w:r>
      </w:hyperlink>
      <w:r>
        <w:t xml:space="preserve">.</w:t>
      </w:r>
    </w:p>
    <w:bookmarkEnd w:id="89"/>
    <w:bookmarkStart w:id="91" w:name="ref-bishop_taylor_2019a"/>
    <w:p>
      <w:pPr>
        <w:pStyle w:val="Bibliography"/>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90">
        <w:r>
          <w:rPr>
            <w:rStyle w:val="Hyperlink"/>
          </w:rPr>
          <w:t xml:space="preserve">10.1016/j.ecss.2019.03.006</w:t>
        </w:r>
      </w:hyperlink>
      <w:r>
        <w:t xml:space="preserve">.</w:t>
      </w:r>
    </w:p>
    <w:bookmarkEnd w:id="91"/>
    <w:bookmarkStart w:id="93" w:name="ref-bishop_taylor_2019b"/>
    <w:p>
      <w:pPr>
        <w:pStyle w:val="Bibliography"/>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92">
        <w:r>
          <w:rPr>
            <w:rStyle w:val="Hyperlink"/>
          </w:rPr>
          <w:t xml:space="preserve">10.3390/rs11242984</w:t>
        </w:r>
      </w:hyperlink>
      <w:r>
        <w:t xml:space="preserve">.</w:t>
      </w:r>
    </w:p>
    <w:bookmarkEnd w:id="93"/>
    <w:bookmarkStart w:id="95" w:name="ref-tseng_2017"/>
    <w:p>
      <w:pPr>
        <w:pStyle w:val="Bibliography"/>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94">
        <w:r>
          <w:rPr>
            <w:rStyle w:val="Hyperlink"/>
          </w:rPr>
          <w:t xml:space="preserve">10.1016/j.isprsjprs.2017.07.008</w:t>
        </w:r>
      </w:hyperlink>
      <w:r>
        <w:t xml:space="preserve">.</w:t>
      </w:r>
    </w:p>
    <w:bookmarkEnd w:id="95"/>
    <w:bookmarkStart w:id="97" w:name="ref-khan_2019"/>
    <w:p>
      <w:pPr>
        <w:pStyle w:val="Bibliography"/>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96">
        <w:r>
          <w:rPr>
            <w:rStyle w:val="Hyperlink"/>
          </w:rPr>
          <w:t xml:space="preserve">10.3390/rs11242888</w:t>
        </w:r>
      </w:hyperlink>
      <w:r>
        <w:t xml:space="preserve">.</w:t>
      </w:r>
    </w:p>
    <w:bookmarkEnd w:id="97"/>
    <w:bookmarkStart w:id="99" w:name="ref-salameh_2019_review"/>
    <w:p>
      <w:pPr>
        <w:pStyle w:val="Bibliography"/>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98">
        <w:r>
          <w:rPr>
            <w:rStyle w:val="Hyperlink"/>
          </w:rPr>
          <w:t xml:space="preserve">10.3390/rs11192212</w:t>
        </w:r>
      </w:hyperlink>
      <w:r>
        <w:t xml:space="preserve">.</w:t>
      </w:r>
    </w:p>
    <w:bookmarkEnd w:id="99"/>
    <w:bookmarkStart w:id="101" w:name="ref-wang_2020_ningbo"/>
    <w:p>
      <w:pPr>
        <w:pStyle w:val="Bibliography"/>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00">
        <w:r>
          <w:rPr>
            <w:rStyle w:val="Hyperlink"/>
          </w:rPr>
          <w:t xml:space="preserve">10.3390/ijgi9020068</w:t>
        </w:r>
      </w:hyperlink>
      <w:r>
        <w:t xml:space="preserve">.</w:t>
      </w:r>
    </w:p>
    <w:bookmarkEnd w:id="101"/>
    <w:bookmarkStart w:id="103" w:name="ref-zhang_2022_sar_waterline"/>
    <w:p>
      <w:pPr>
        <w:pStyle w:val="Bibliography"/>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02">
        <w:r>
          <w:rPr>
            <w:rStyle w:val="Hyperlink"/>
          </w:rPr>
          <w:t xml:space="preserve">10.1029/2021GL096007</w:t>
        </w:r>
      </w:hyperlink>
      <w:r>
        <w:t xml:space="preserve">.</w:t>
      </w:r>
    </w:p>
    <w:bookmarkEnd w:id="103"/>
    <w:bookmarkStart w:id="105" w:name="ref-xin_2025_icesat2_combine"/>
    <w:p>
      <w:pPr>
        <w:pStyle w:val="Bibliography"/>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04">
        <w:r>
          <w:rPr>
            <w:rStyle w:val="Hyperlink"/>
          </w:rPr>
          <w:t xml:space="preserve">10.1080/17538947.2025.2554313</w:t>
        </w:r>
      </w:hyperlink>
      <w:r>
        <w:t xml:space="preserve">.</w:t>
      </w:r>
    </w:p>
    <w:bookmarkEnd w:id="105"/>
    <w:bookmarkStart w:id="107" w:name="ref-bishop_taylor_2025_eotides"/>
    <w:p>
      <w:pPr>
        <w:pStyle w:val="Bibliography"/>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06">
        <w:r>
          <w:rPr>
            <w:rStyle w:val="Hyperlink"/>
          </w:rPr>
          <w:t xml:space="preserve">10.21105/joss.07786</w:t>
        </w:r>
      </w:hyperlink>
      <w:r>
        <w:t xml:space="preserve">.</w:t>
      </w:r>
    </w:p>
    <w:bookmarkEnd w:id="107"/>
    <w:bookmarkStart w:id="109" w:name="ref-sent_2025_tagus_aliasing"/>
    <w:p>
      <w:pPr>
        <w:pStyle w:val="Bibliography"/>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08">
        <w:r>
          <w:rPr>
            <w:rStyle w:val="Hyperlink"/>
          </w:rPr>
          <w:t xml:space="preserve">10.1016/j.rsase.2024.101425</w:t>
        </w:r>
      </w:hyperlink>
      <w:r>
        <w:t xml:space="preserve">.</w:t>
      </w:r>
    </w:p>
    <w:bookmarkEnd w:id="109"/>
    <w:bookmarkStart w:id="111" w:name="ref-lee_2022_korean_altimetry"/>
    <w:p>
      <w:pPr>
        <w:pStyle w:val="Bibliography"/>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10">
        <w:r>
          <w:rPr>
            <w:rStyle w:val="Hyperlink"/>
          </w:rPr>
          <w:t xml:space="preserve">10.3389/fmars.2022.810549</w:t>
        </w:r>
      </w:hyperlink>
      <w:r>
        <w:t xml:space="preserve">.</w:t>
      </w:r>
    </w:p>
    <w:bookmarkEnd w:id="111"/>
    <w:bookmarkStart w:id="113" w:name="ref-lee_2025_multisensor"/>
    <w:p>
      <w:pPr>
        <w:pStyle w:val="Bibliography"/>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12">
        <w:r>
          <w:rPr>
            <w:rStyle w:val="Hyperlink"/>
          </w:rPr>
          <w:t xml:space="preserve">10.1016/j.ecss.2025.109235</w:t>
        </w:r>
      </w:hyperlink>
      <w:r>
        <w:t xml:space="preserve">.</w:t>
      </w:r>
    </w:p>
    <w:bookmarkEnd w:id="113"/>
    <w:bookmarkStart w:id="115" w:name="ref-koh_khim_2014_korean_tidal_flat"/>
    <w:p>
      <w:pPr>
        <w:pStyle w:val="Bibliography"/>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14">
        <w:r>
          <w:rPr>
            <w:rStyle w:val="Hyperlink"/>
          </w:rPr>
          <w:t xml:space="preserve">10.1016/j.ocecoaman.2014.07.008</w:t>
        </w:r>
      </w:hyperlink>
      <w:r>
        <w:t xml:space="preserve">.</w:t>
      </w:r>
    </w:p>
    <w:bookmarkEnd w:id="115"/>
    <w:bookmarkStart w:id="117" w:name="ref-murray_2014_loss"/>
    <w:p>
      <w:pPr>
        <w:pStyle w:val="Bibliography"/>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16">
        <w:r>
          <w:rPr>
            <w:rStyle w:val="Hyperlink"/>
          </w:rPr>
          <w:t xml:space="preserve">10.1890/130260</w:t>
        </w:r>
      </w:hyperlink>
      <w:r>
        <w:t xml:space="preserve">.</w:t>
      </w:r>
    </w:p>
    <w:bookmarkEnd w:id="117"/>
    <w:bookmarkStart w:id="119" w:name="ref-choi_2014_yellowsea"/>
    <w:p>
      <w:pPr>
        <w:pStyle w:val="Bibliography"/>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18">
        <w:r>
          <w:rPr>
            <w:rStyle w:val="Hyperlink"/>
          </w:rPr>
          <w:t xml:space="preserve">10.1002/2013JC009788</w:t>
        </w:r>
      </w:hyperlink>
      <w:r>
        <w:t xml:space="preserve">.</w:t>
      </w:r>
    </w:p>
    <w:bookmarkEnd w:id="119"/>
    <w:bookmarkStart w:id="121" w:name="ref-ryu_2002_gomso"/>
    <w:p>
      <w:pPr>
        <w:pStyle w:val="Bibliography"/>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20">
        <w:r>
          <w:rPr>
            <w:rStyle w:val="Hyperlink"/>
          </w:rPr>
          <w:t xml:space="preserve">10.1016/S0034-4257(02)00059-7</w:t>
        </w:r>
      </w:hyperlink>
      <w:r>
        <w:t xml:space="preserve">.</w:t>
      </w:r>
    </w:p>
    <w:bookmarkEnd w:id="121"/>
    <w:bookmarkStart w:id="123" w:name="ref-ryu_2008_intertidal"/>
    <w:p>
      <w:pPr>
        <w:pStyle w:val="Bibliography"/>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22">
        <w:r>
          <w:rPr>
            <w:rStyle w:val="Hyperlink"/>
          </w:rPr>
          <w:t xml:space="preserve">10.1016/j.ecss.2008.01.020</w:t>
        </w:r>
      </w:hyperlink>
      <w:r>
        <w:t xml:space="preserve">.</w:t>
      </w:r>
    </w:p>
    <w:bookmarkEnd w:id="123"/>
    <w:bookmarkStart w:id="125" w:name="ref-lee_2017_tandemx"/>
    <w:p>
      <w:pPr>
        <w:pStyle w:val="Bibliography"/>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24">
        <w:r>
          <w:rPr>
            <w:rStyle w:val="Hyperlink"/>
          </w:rPr>
          <w:t xml:space="preserve">10.1109/JSTARS.2017.2697383</w:t>
        </w:r>
      </w:hyperlink>
      <w:r>
        <w:t xml:space="preserve">.</w:t>
      </w:r>
    </w:p>
    <w:bookmarkEnd w:id="125"/>
    <w:bookmarkStart w:id="127" w:name="ref-yun_2022_ganghwa_tandemx"/>
    <w:p>
      <w:pPr>
        <w:pStyle w:val="Bibliography"/>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26">
        <w:r>
          <w:rPr>
            <w:rStyle w:val="Hyperlink"/>
          </w:rPr>
          <w:t xml:space="preserve">10.22761/DJ2022.4.1.004</w:t>
        </w:r>
      </w:hyperlink>
      <w:r>
        <w:t xml:space="preserve">.</w:t>
      </w:r>
    </w:p>
    <w:bookmarkEnd w:id="127"/>
    <w:bookmarkStart w:id="129" w:name="ref-gorelick_2017_gee"/>
    <w:p>
      <w:pPr>
        <w:pStyle w:val="Bibliography"/>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28">
        <w:r>
          <w:rPr>
            <w:rStyle w:val="Hyperlink"/>
          </w:rPr>
          <w:t xml:space="preserve">10.1016/j.rse.2017.06.031</w:t>
        </w:r>
      </w:hyperlink>
      <w:r>
        <w:t xml:space="preserve">.</w:t>
      </w:r>
    </w:p>
    <w:bookmarkEnd w:id="129"/>
    <w:bookmarkStart w:id="131" w:name="ref-drusch_2012_s2"/>
    <w:p>
      <w:pPr>
        <w:pStyle w:val="Bibliography"/>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30">
        <w:r>
          <w:rPr>
            <w:rStyle w:val="Hyperlink"/>
          </w:rPr>
          <w:t xml:space="preserve">10.1016/j.rse.2011.11.026</w:t>
        </w:r>
      </w:hyperlink>
      <w:r>
        <w:t xml:space="preserve">.</w:t>
      </w:r>
    </w:p>
    <w:bookmarkEnd w:id="131"/>
    <w:bookmarkStart w:id="133" w:name="ref-codiga_2011_utide"/>
    <w:p>
      <w:pPr>
        <w:pStyle w:val="Bibliography"/>
      </w:pPr>
      <w:r>
        <w:t xml:space="preserve">29.</w:t>
      </w:r>
      <w:r>
        <w:t xml:space="preserve"> </w:t>
      </w:r>
      <w:r>
        <w:t xml:space="preserve">	</w:t>
      </w:r>
      <w:r>
        <w:t xml:space="preserve">Codiga, D.L.</w:t>
      </w:r>
      <w:r>
        <w:t xml:space="preserve"> </w:t>
      </w:r>
      <w:hyperlink r:id="rId132">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33"/>
    <w:bookmarkStart w:id="135" w:name="ref-lyard_2021_fes2014"/>
    <w:p>
      <w:pPr>
        <w:pStyle w:val="Bibliography"/>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34">
        <w:r>
          <w:rPr>
            <w:rStyle w:val="Hyperlink"/>
          </w:rPr>
          <w:t xml:space="preserve">10.5194/os-17-615-2021</w:t>
        </w:r>
      </w:hyperlink>
      <w:r>
        <w:t xml:space="preserve">.</w:t>
      </w:r>
    </w:p>
    <w:bookmarkEnd w:id="135"/>
    <w:bookmarkStart w:id="137" w:name="ref-carrere_2022_fes2022"/>
    <w:p>
      <w:pPr>
        <w:pStyle w:val="Bibliography"/>
      </w:pPr>
      <w:r>
        <w:t xml:space="preserve">31.</w:t>
      </w:r>
      <w:r>
        <w:t xml:space="preserve"> </w:t>
      </w:r>
      <w:r>
        <w:t xml:space="preserve">	</w:t>
      </w:r>
      <w:r>
        <w:t xml:space="preserve">Carrère, L.; Lyard, F.; Cancet, M.; Allain, D.; Dabat, M.-L.; Fouchet, E.; Faugère, Y.; Pujol, M.-I.; Briol, F.; Dibarboure, G.; et al.</w:t>
      </w:r>
      <w:r>
        <w:t xml:space="preserve"> </w:t>
      </w:r>
      <w:hyperlink r:id="rId136">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37"/>
    <w:bookmarkStart w:id="139" w:name="ref-egbert_erofeeva_2002"/>
    <w:p>
      <w:pPr>
        <w:pStyle w:val="Bibliography"/>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38">
        <w:r>
          <w:rPr>
            <w:rStyle w:val="Hyperlink"/>
          </w:rPr>
          <w:t xml:space="preserve">10.1175/1520-0426(2002)019&lt;0183:EIMOBO&gt;2.0.CO;2</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 Mirinae Kim1</dc:creator>
  <cp:keywords/>
  <dcterms:created xsi:type="dcterms:W3CDTF">2026-06-12T19:34:04Z</dcterms:created>
  <dcterms:modified xsi:type="dcterms:W3CDTF">2026-06-12T19:34:04Z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