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3.png" ContentType="image/png"/>
  <Override PartName="/word/media/rId18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 —</w:t>
      </w:r>
      <w:r>
        <w:t xml:space="preserve"> </w:t>
      </w:r>
      <w:r>
        <w:t xml:space="preserve">Phase-Predictable Tidal-Sampling Bias of Sun-Synchronous Optical</w:t>
      </w:r>
      <w:r>
        <w:t xml:space="preserve"> </w:t>
      </w:r>
      <w:r>
        <w:t xml:space="preserve">Satellites and Its Conversion into Waterline-DEM Errors over</w:t>
      </w:r>
      <w:r>
        <w:t xml:space="preserve"> </w:t>
      </w:r>
      <w:r>
        <w:t xml:space="preserve">the Macrotidal Korean Coast</w:t>
      </w:r>
    </w:p>
    <w:p>
      <w:pPr>
        <w:pStyle w:val="Author"/>
      </w:pPr>
      <w:r>
        <w:t xml:space="preserve">[Author name TBD]</w:t>
      </w:r>
      <w:r>
        <w:rPr>
          <w:vertAlign w:val="superscript"/>
        </w:rPr>
        <w:t xml:space="preserve">1</w:t>
      </w:r>
    </w:p>
    <w:p>
      <w:pPr>
        <w:pStyle w:val="Date"/>
      </w:pPr>
      <w:r>
        <w:t xml:space="preserve">First draft v0.1 — 2026-05-21</w:t>
      </w:r>
    </w:p>
    <w:p>
      <w:pPr>
        <w:pStyle w:val="FirstParagraph"/>
      </w:pPr>
      <w:r>
        <w:t xml:space="preserve">This document accompanies the main manuscript and contains all</w:t>
      </w:r>
      <w:r>
        <w:t xml:space="preserve"> </w:t>
      </w:r>
      <w:r>
        <w:t xml:space="preserve">supplementary figures, the extended Table S1, and pointers to the</w:t>
      </w:r>
      <w:r>
        <w:t xml:space="preserve"> </w:t>
      </w:r>
      <w:r>
        <w:t xml:space="preserve">public derived-data tables that support the reported statistics.</w:t>
      </w:r>
      <w:r>
        <w:t xml:space="preserve"> </w:t>
      </w:r>
      <w:r>
        <w:t xml:space="preserve">Section, equation and figure numbers in the main manuscript are</w:t>
      </w:r>
      <w:r>
        <w:t xml:space="preserve"> </w:t>
      </w:r>
      <w:r>
        <w:t xml:space="preserve">referenced by their numerical labels without an</w:t>
      </w:r>
      <w:r>
        <w:t xml:space="preserve"> </w:t>
      </w:r>
      <w:r>
        <w:t xml:space="preserve">“S”</w:t>
      </w:r>
      <w:r>
        <w:t xml:space="preserve"> </w:t>
      </w:r>
      <w:r>
        <w:t xml:space="preserve">prefix; entries</w:t>
      </w:r>
      <w:r>
        <w:t xml:space="preserve"> </w:t>
      </w:r>
      <w:r>
        <w:t xml:space="preserve">in this document use the</w:t>
      </w:r>
      <w:r>
        <w:t xml:space="preserve"> </w:t>
      </w:r>
      <w:r>
        <w:t xml:space="preserve">“S”</w:t>
      </w:r>
      <w:r>
        <w:t xml:space="preserve"> </w:t>
      </w:r>
      <w:r>
        <w:t xml:space="preserve">prefix.</w:t>
      </w:r>
    </w:p>
    <w:bookmarkStart w:id="14" w:name="X11981dcf03a9e766b272590c77b01c5c6891705"/>
    <w:p>
      <w:pPr>
        <w:pStyle w:val="Heading1"/>
      </w:pPr>
      <w:r>
        <w:t xml:space="preserve">Table S1 — Stability regression coefficients</w:t>
      </w:r>
    </w:p>
    <w:p>
      <w:pPr>
        <w:pStyle w:val="FirstParagraph"/>
      </w:pPr>
      <w:r>
        <w:t xml:space="preserve">Regression coefficients of the closed-form model</w:t>
      </w:r>
      <w:r>
        <w:t xml:space="preserve"> </w:t>
      </w:r>
      <w:r>
        <w:rPr>
          <w:b/>
          <w:bCs/>
        </w:rPr>
        <w:t xml:space="preserve">mean bias = β ·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· ⟨cos θ⟩</w:t>
      </w:r>
      <w:r>
        <w:t xml:space="preserve"> </w:t>
      </w:r>
      <w:r>
        <w:t xml:space="preserve">(Equation 1 of the main text) when the</w:t>
      </w:r>
      <w:r>
        <w:t xml:space="preserve"> </w:t>
      </w:r>
      <w:r>
        <w:t xml:space="preserve">15 (site × sensor) sample is repartitioned by acquisition year, season,</w:t>
      </w:r>
      <w:r>
        <w:t xml:space="preserve"> </w:t>
      </w:r>
      <w:r>
        <w:t xml:space="preserve">sensor, or via leave-one-site-out cross-validation.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the number of</w:t>
      </w:r>
      <w:r>
        <w:t xml:space="preserve"> </w:t>
      </w:r>
      <w:r>
        <w:t xml:space="preserve">(site × sensor) points contributing to each fit. The pooled bootstrap</w:t>
      </w:r>
      <w:r>
        <w:t xml:space="preserve"> </w:t>
      </w:r>
      <w:r>
        <w:t xml:space="preserve">mean / 95 % CI is reported on the final row.</w:t>
      </w:r>
    </w:p>
    <w:bookmarkStart w:id="9" w:name="table-s1a-annual-partition"/>
    <w:p>
      <w:pPr>
        <w:pStyle w:val="Heading2"/>
      </w:pPr>
      <w:r>
        <w:t xml:space="preserve">Table S1a — Annual partition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"/>
        <w:gridCol w:w="381"/>
        <w:gridCol w:w="1431"/>
        <w:gridCol w:w="858"/>
        <w:gridCol w:w="667"/>
        <w:gridCol w:w="667"/>
        <w:gridCol w:w="858"/>
        <w:gridCol w:w="667"/>
        <w:gridCol w:w="954"/>
        <w:gridCol w:w="85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Intercept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Slope 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SE(β)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(m)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0.102</w:t>
            </w:r>
          </w:p>
        </w:tc>
      </w:tr>
    </w:tbl>
    <w:bookmarkEnd w:id="9"/>
    <w:bookmarkStart w:id="10" w:name="Xe5b79f55cf9d4b998810370de551be07923b40c"/>
    <w:p>
      <w:pPr>
        <w:pStyle w:val="Heading2"/>
      </w:pPr>
      <w:r>
        <w:t xml:space="preserve">Table S1b — Seasonal partition (meteorological seasons, KST)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5"/>
        <w:gridCol w:w="372"/>
        <w:gridCol w:w="1397"/>
        <w:gridCol w:w="838"/>
        <w:gridCol w:w="652"/>
        <w:gridCol w:w="652"/>
        <w:gridCol w:w="838"/>
        <w:gridCol w:w="652"/>
        <w:gridCol w:w="931"/>
        <w:gridCol w:w="83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Season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Intercept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Slope 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SE(β)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(m)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DJF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</w:t>
            </w:r>
          </w:p>
        </w:tc>
      </w:tr>
    </w:tbl>
    <w:bookmarkEnd w:id="10"/>
    <w:bookmarkStart w:id="11" w:name="table-s1c-per-sensor-fit"/>
    <w:p>
      <w:pPr>
        <w:pStyle w:val="Heading2"/>
      </w:pPr>
      <w:r>
        <w:t xml:space="preserve">Table S1c — Per-sensor fit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1"/>
        <w:gridCol w:w="273"/>
        <w:gridCol w:w="1365"/>
        <w:gridCol w:w="819"/>
        <w:gridCol w:w="637"/>
        <w:gridCol w:w="637"/>
        <w:gridCol w:w="819"/>
        <w:gridCol w:w="637"/>
        <w:gridCol w:w="910"/>
        <w:gridCol w:w="8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Intercept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Slope 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SE(β)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(m)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Landsat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Landsat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Sentinel-2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</w:tr>
    </w:tbl>
    <w:bookmarkEnd w:id="11"/>
    <w:bookmarkStart w:id="12" w:name="X633913188b5609172d8b6010b98c26492387545"/>
    <w:p>
      <w:pPr>
        <w:pStyle w:val="Heading2"/>
      </w:pPr>
      <w:r>
        <w:t xml:space="preserve">Table S1d — Pooled bootstrap (n = 15; 2 000 resamples, seed = 42)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95 % CI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95 % CI 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Slope 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Intercept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−0.029</w:t>
            </w:r>
          </w:p>
        </w:tc>
      </w:tr>
    </w:tbl>
    <w:bookmarkEnd w:id="12"/>
    <w:bookmarkStart w:id="13" w:name="Xa5a0b26dfa7359003c4cbad33a719843a7bcf55"/>
    <w:p>
      <w:pPr>
        <w:pStyle w:val="Heading2"/>
      </w:pPr>
      <w:r>
        <w:t xml:space="preserve">Table S1e — Leave-one-site-out cross-validation (per-point residuals)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681"/>
        <w:gridCol w:w="1447"/>
        <w:gridCol w:w="1618"/>
        <w:gridCol w:w="1703"/>
        <w:gridCol w:w="11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Held-out 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</w:t>
            </w:r>
            <w:r>
              <w:t xml:space="preserve">·⟨cos θ⟩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Measured bias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bias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Residual (m)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−1.377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+0.273</w:t>
            </w:r>
          </w:p>
        </w:tc>
      </w:tr>
    </w:tbl>
    <w:p>
      <w:pPr>
        <w:pStyle w:val="BodyText"/>
      </w:pPr>
      <w:r>
        <w:t xml:space="preserve">LOO summary: Pearson r = 0.969, RMSE = 0.156 m, MAE = 0.118 m;</w:t>
      </w:r>
      <w:r>
        <w:t xml:space="preserve"> </w:t>
      </w:r>
      <w:r>
        <w:t xml:space="preserve">sign-of-bias correct in 15 / 15 held-out points.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628ee9e6d9e47f76d7368dfb2b6531e5ba849d3"/>
    <w:p>
      <w:pPr>
        <w:pStyle w:val="Heading1"/>
      </w:pPr>
      <w:r>
        <w:t xml:space="preserve">Table S2 — Robustness to amplitude definition and reference choice</w:t>
      </w:r>
    </w:p>
    <w:p>
      <w:pPr>
        <w:pStyle w:val="FirstParagraph"/>
      </w:pPr>
      <w:r>
        <w:t xml:space="preserve">Per-variant, per-sensor regression of the closed-form model</w:t>
      </w:r>
      <w:r>
        <w:t xml:space="preserve"> </w:t>
      </w:r>
      <w:r>
        <w:rPr>
          <w:b/>
          <w:bCs/>
        </w:rPr>
        <w:t xml:space="preserve">mean bias = β ·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· ⟨cos θ⟩</w:t>
      </w:r>
      <w:r>
        <w:t xml:space="preserve"> </w:t>
      </w:r>
      <w:r>
        <w:t xml:space="preserve">(main-text Equation 1) under the</w:t>
      </w:r>
      <w:r>
        <w:t xml:space="preserve"> </w:t>
      </w:r>
      <w:r>
        <w:t xml:space="preserve">four amplitude / reference combinations described in main-text §4.7:</w:t>
      </w:r>
      <w:r>
        <w:t xml:space="preserve"> </w:t>
      </w:r>
      <w:r>
        <w:t xml:space="preserve">(a) baseline (</w:t>
      </w:r>
      <w:r>
        <w:rPr>
          <w:i/>
          <w:iCs/>
        </w:rPr>
        <w:t xml:space="preserve">A</w:t>
      </w:r>
      <w:r>
        <w:t xml:space="preserve"> </w:t>
      </w:r>
      <w:r>
        <w:t xml:space="preserve">= ½(HW−LW), KHOA hourly reference);</w:t>
      </w:r>
      <w:r>
        <w:t xml:space="preserve"> </w:t>
      </w:r>
      <w:r>
        <w:t xml:space="preserve">(b)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strict M₂ amplitude from a 5-year</w:t>
      </w:r>
      <w:r>
        <w:t xml:space="preserve"> </w:t>
      </w:r>
      <w:r>
        <w:rPr>
          <w:rStyle w:val="VerbatimChar"/>
        </w:rPr>
        <w:t xml:space="preserve">utide</w:t>
      </w:r>
      <w:r>
        <w:t xml:space="preserve"> </w:t>
      </w:r>
      <w:r>
        <w:t xml:space="preserve">decomposition,</w:t>
      </w:r>
      <w:r>
        <w:t xml:space="preserve"> </w:t>
      </w:r>
      <w:r>
        <w:t xml:space="preserve">KHOA observed reference;</w:t>
      </w:r>
      <w:r>
        <w:t xml:space="preserve"> </w:t>
      </w:r>
      <w:r>
        <w:t xml:space="preserve">(c)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M₂ amplitude with the reference replaced by the</w:t>
      </w:r>
      <w:r>
        <w:t xml:space="preserve"> </w:t>
      </w:r>
      <w:r>
        <w:t xml:space="preserve">astronomical-only</w:t>
      </w:r>
      <w:r>
        <w:t xml:space="preserve"> </w:t>
      </w:r>
      <w:r>
        <w:rPr>
          <w:rStyle w:val="VerbatimChar"/>
        </w:rPr>
        <w:t xml:space="preserve">utide.reconstruct</w:t>
      </w:r>
      <w:r>
        <w:t xml:space="preserve"> </w:t>
      </w:r>
      <w:r>
        <w:t xml:space="preserve">synthetic series;</w:t>
      </w:r>
      <w:r>
        <w:t xml:space="preserve"> </w:t>
      </w:r>
      <w:r>
        <w:t xml:space="preserve">(d) FES2022b global ocean tide model used as both reference and</w:t>
      </w:r>
      <w:r>
        <w:t xml:space="preserve"> </w:t>
      </w:r>
      <w:r>
        <w:t xml:space="preserve">satellite-overpass source, with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set to the site-specific mean</w:t>
      </w:r>
      <w:r>
        <w:t xml:space="preserve"> </w:t>
      </w:r>
      <w:r>
        <w:t xml:space="preserve">half-range computed from the FES synthesis.</w:t>
      </w:r>
    </w:p>
    <w:bookmarkStart w:id="15" w:name="table-s2a-pooled-regression-summary-n-15"/>
    <w:p>
      <w:pPr>
        <w:pStyle w:val="Heading2"/>
      </w:pPr>
      <w:r>
        <w:t xml:space="preserve">Table S2a — Pooled regression summary (n = 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577"/>
        <w:gridCol w:w="1237"/>
        <w:gridCol w:w="1237"/>
        <w:gridCol w:w="577"/>
        <w:gridCol w:w="1155"/>
        <w:gridCol w:w="1237"/>
        <w:gridCol w:w="115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Intercept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LOO RMSE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LOO Pearson 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 correct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(a) Baseline KHOA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[1.44, 1.92]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(b) M₂ amplitude + KHOA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[1.50, 2.02]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(c) M₂ amplitude + astro. ref.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[1.49, 2.06]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(d) FES2022b global 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[1.42, 1.80]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15/15</w:t>
            </w:r>
          </w:p>
        </w:tc>
      </w:tr>
    </w:tbl>
    <w:bookmarkEnd w:id="15"/>
    <w:bookmarkStart w:id="16" w:name="X163ef88304be4c37a8a8b52f2bdecc5653a9003"/>
    <w:p>
      <w:pPr>
        <w:pStyle w:val="Heading2"/>
      </w:pPr>
      <w:r>
        <w:t xml:space="preserve">Table S2b — Per-sensor FES2022b values (variant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3"/>
        <w:gridCol w:w="653"/>
        <w:gridCol w:w="489"/>
        <w:gridCol w:w="1143"/>
        <w:gridCol w:w="734"/>
        <w:gridCol w:w="1388"/>
        <w:gridCol w:w="1224"/>
        <w:gridCol w:w="1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(m, FES)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⟨cos θ⟩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</w:t>
            </w:r>
            <w:r>
              <w:t xml:space="preserve">·⟨cos θ⟩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KHOA bias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FES bias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Ganghwa-do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Garorim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Gomso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Hampyeong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Suncheon Bay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+0.317</w:t>
            </w:r>
          </w:p>
        </w:tc>
      </w:tr>
    </w:tbl>
    <w:p>
      <w:pPr>
        <w:pStyle w:val="BodyText"/>
      </w:pPr>
      <w:r>
        <w:t xml:space="preserve">The FES2022b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is the mean half-range of the synthesised 5-year</w:t>
      </w:r>
      <w:r>
        <w:t xml:space="preserve"> </w:t>
      </w:r>
      <w:r>
        <w:t xml:space="preserve">hourly series at each KHOA gauge coordinate, derived from the eight</w:t>
      </w:r>
      <w:r>
        <w:t xml:space="preserve"> </w:t>
      </w:r>
      <w:r>
        <w:t xml:space="preserve">major constituents (M₂, S₂, K₁, O₁, N₂, P₁, K₂, Q₁); the systematic</w:t>
      </w:r>
      <w:r>
        <w:t xml:space="preserve"> </w:t>
      </w:r>
      <w:r>
        <w:t xml:space="preserve">under-estimate at Ganghwa-do (FES 1.02 m vs KHOA 2.83 m for the M₂</w:t>
      </w:r>
      <w:r>
        <w:t xml:space="preserve"> </w:t>
      </w:r>
      <w:r>
        <w:t xml:space="preserve">component alone) reflects the inability of the 1/30° global grid to</w:t>
      </w:r>
      <w:r>
        <w:t xml:space="preserve"> </w:t>
      </w:r>
      <w:r>
        <w:t xml:space="preserve">resolve within-bay tidal amplification, which is why the FES variant</w:t>
      </w:r>
      <w:r>
        <w:t xml:space="preserve"> </w:t>
      </w:r>
      <w:r>
        <w:t xml:space="preserve">is used as a</w:t>
      </w:r>
      <w:r>
        <w:t xml:space="preserve"> </w:t>
      </w:r>
      <w:r>
        <w:rPr>
          <w:i/>
          <w:iCs/>
        </w:rPr>
        <w:t xml:space="preserve">complementary</w:t>
      </w:r>
      <w:r>
        <w:t xml:space="preserve"> </w:t>
      </w:r>
      <w:r>
        <w:t xml:space="preserve">astronomical reference rather than as a</w:t>
      </w:r>
      <w:r>
        <w:t xml:space="preserve"> </w:t>
      </w:r>
      <w:r>
        <w:t xml:space="preserve">replacement for KHOA.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9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4800600" cy="224544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figS1_cdf_gri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Cumulative distribution functions of satellite-sampled tide heights (coloured) versus the 5-year KHOA hourly reference (black) per site. Complements main-text Figure 2 (densities). The Kolmogorov–Smirnov gap between satellite and reference curves is largest at the high-tide tail on the four western sites and at the low-tide tail at Suncheon Bay.</w:t>
      </w:r>
    </w:p>
    <w:p>
      <w:pPr>
        <w:pStyle w:val="BodyText"/>
      </w:pPr>
      <w:r>
        <w:drawing>
          <wp:inline>
            <wp:extent cx="4800600" cy="10933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figS2_overpass_hour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9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Hour-of-day (KST) histograms of satellite acquisition times across the five sites. Every histogram peaks at ≈ 11:00 KST regardless of site, confirming that the spread in</w:t>
      </w:r>
      <w:r>
        <w:t xml:space="preserve"> </w:t>
      </w:r>
      <w:r>
        <w:rPr>
          <w:i/>
          <w:iCs/>
        </w:rPr>
        <w:t xml:space="preserve">tidal</w:t>
      </w:r>
      <w:r>
        <w:t xml:space="preserve"> </w:t>
      </w:r>
      <w:r>
        <w:t xml:space="preserve">phase between sites (main-text Figure 4) arises entirely from the regional amphidromic structure and not from any difference in solar overpass time.</w:t>
      </w:r>
    </w:p>
    <w:p>
      <w:pPr>
        <w:pStyle w:val="BodyText"/>
      </w:pPr>
      <w:r>
        <w:drawing>
          <wp:inline>
            <wp:extent cx="5067300" cy="243135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fig6_stability_coefficien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3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Stability of the regression coefficients (companion to main-text Figure 5): (top row) slope β by year / season / sensor with ±1 SE error bars; (bottom row) R² by the same partitions. The horizontal red band marks the pooled (</w:t>
      </w:r>
      <w:r>
        <w:rPr>
          <w:i/>
          <w:iCs/>
        </w:rPr>
        <w:t xml:space="preserve">n</w:t>
      </w:r>
      <w:r>
        <w:t xml:space="preserve"> </w:t>
      </w:r>
      <w:r>
        <w:t xml:space="preserve">= 15) bootstrap 95 % CI of β. All partitions yield β within or near the pooled CI and R² ≥ 0.85, indicating that the regression is robust to year, season, and sensor and is not driven by a single subset of the data; the underlying per-(site × sensor) scatter is shown in Figure S4 and the numerical values in Table S1.</w:t>
      </w:r>
    </w:p>
    <w:p>
      <w:pPr>
        <w:pStyle w:val="BodyText"/>
      </w:pPr>
      <w:r>
        <w:drawing>
          <wp:inline>
            <wp:extent cx="5067300" cy="154417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figS3_stability_panel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4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S4.</w:t>
      </w:r>
      <w:r>
        <w:t xml:space="preserve"> </w:t>
      </w:r>
      <w:r>
        <w:t xml:space="preserve">Scatter plots of measured mean bias vs the predictor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· ⟨cos θ⟩ partitioned by year (left), meteorological season (middle), or sensor (right), each overlaid with its OLS fit. Companion to Figure S3 (which summarises the slopes and R² as bars).</w:t>
      </w:r>
    </w:p>
    <w:p>
      <w:pPr>
        <w:pStyle w:val="BodyText"/>
      </w:pPr>
      <w:r>
        <w:drawing>
          <wp:inline>
            <wp:extent cx="4907280" cy="21687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figS4_phase_tide_scatt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6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S5.</w:t>
      </w:r>
      <w:r>
        <w:t xml:space="preserve"> </w:t>
      </w:r>
      <w:r>
        <w:t xml:space="preserve">Per-site scatter of tide height versus normalised phase ϕ since the prior HW, with the KHOA-derived mean tide-vs-phase curve (grey band = ±1 σ) and the overall reference mean (dashed line). Satellite acquisitions (coloured by sensor) cluster around phases that, on the western sites, lie below the reference mean (negative bias); at Suncheon Bay they lie above it (positive bias).</w:t>
      </w:r>
    </w:p>
    <w:p>
      <w:pPr>
        <w:pStyle w:val="BodyText"/>
      </w:pPr>
      <w:r>
        <w:drawing>
          <wp:inline>
            <wp:extent cx="5067300" cy="237018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8_dem_error_curv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7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S6.</w:t>
      </w:r>
      <w:r>
        <w:t xml:space="preserve"> </w:t>
      </w:r>
      <w:r>
        <w:t xml:space="preserve">Elevation-domain DEM error:</w:t>
      </w:r>
      <w:r>
        <w:t xml:space="preserve"> </w:t>
      </w:r>
      <w:r>
        <w:rPr>
          <w:i/>
          <w:iCs/>
        </w:rPr>
        <w:t xml:space="preserve">z</w:t>
      </w:r>
      <w:r>
        <w:rPr>
          <w:vertAlign w:val="subscript"/>
        </w:rPr>
        <w:t xml:space="preserve">sat</w:t>
      </w:r>
      <w:r>
        <w:t xml:space="preserve">(</w:t>
      </w:r>
      <w:r>
        <w:rPr>
          <w:i/>
          <w:iCs/>
        </w:rPr>
        <w:t xml:space="preserve">p</w:t>
      </w:r>
      <w:r>
        <w:t xml:space="preserve">) −</w:t>
      </w:r>
      <w:r>
        <w:t xml:space="preserve"> </w:t>
      </w:r>
      <w:r>
        <w:rPr>
          <w:i/>
          <w:iCs/>
        </w:rPr>
        <w:t xml:space="preserve">z</w:t>
      </w:r>
      <w:r>
        <w:rPr>
          <w:vertAlign w:val="subscript"/>
        </w:rPr>
        <w:t xml:space="preserve">ref</w:t>
      </w:r>
      <w:r>
        <w:t xml:space="preserve">(</w:t>
      </w:r>
      <w:r>
        <w:rPr>
          <w:i/>
          <w:iCs/>
        </w:rPr>
        <w:t xml:space="preserve">p</w:t>
      </w:r>
      <w:r>
        <w:t xml:space="preserve">) as a function of reference elevation</w:t>
      </w:r>
      <w:r>
        <w:t xml:space="preserve"> </w:t>
      </w:r>
      <w:r>
        <w:rPr>
          <w:i/>
          <w:iCs/>
        </w:rPr>
        <w:t xml:space="preserve">z</w:t>
      </w:r>
      <w:r>
        <w:rPr>
          <w:vertAlign w:val="subscript"/>
        </w:rPr>
        <w:t xml:space="preserve">ref</w:t>
      </w:r>
      <w:r>
        <w:t xml:space="preserve">, for each site (panel) and sensor (colour). The Suncheon panel is mirror-symmetric to the western panels, confirming that the tide-domain bipolar bias maps directly into the elevation domain of the waterline DEM. This per-quantile error underlies the per-site truncation and RMSE summaries in main-text Figure 7.</w:t>
      </w:r>
    </w:p>
    <w:p>
      <w:pPr>
        <w:pStyle w:val="BodyText"/>
      </w:pPr>
      <w:r>
        <w:drawing>
          <wp:inline>
            <wp:extent cx="4907280" cy="362584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figS6_schemati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2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S7.</w:t>
      </w:r>
      <w:r>
        <w:t xml:space="preserve"> </w:t>
      </w:r>
      <w:r>
        <w:t xml:space="preserve">Schematic planar tidal-flat cross-sections per site (vertical exaggerated): brown line is the assumed planar tidal-flat surface; green shading is the elevation band sampled by satellites; red shading is the upper-tide truncation band; blue shading is the lower-tide truncation band. Annotated numbers give the vertical extent (m) and horizontal-equivalent width (m) of each band on the site-specific planar slope. Note the 2.5 km of horizontally missing upper-flat width on Ganghwa-do.</w:t>
      </w:r>
    </w:p>
    <w:p>
      <w:pPr>
        <w:pStyle w:val="BodyText"/>
      </w:pPr>
      <w:r>
        <w:t xml:space="preserve">The four-variant robustness fit of Equation 1 of the main text (variants (a)–(d), including the FES2022b global-model variant) is summarised numerically in Table S2 above; a dedicated figure panel is omitted in this version because the per-variant β values, CIs, and LOO RMSEs are most compactly read from the table.</w:t>
      </w:r>
    </w:p>
    <w:p>
      <w:r>
        <w:pict>
          <v:rect style="width:0;height:1.5pt" o:hralign="center" o:hrstd="t" o:hr="t"/>
        </w:pict>
      </w:r>
    </w:p>
    <w:bookmarkEnd w:id="39"/>
    <w:bookmarkStart w:id="40" w:name="pointers-to-public-derived-data-tables"/>
    <w:p>
      <w:pPr>
        <w:pStyle w:val="Heading1"/>
      </w:pPr>
      <w:r>
        <w:t xml:space="preserve">Pointers to public derived-data tables</w:t>
      </w:r>
    </w:p>
    <w:p>
      <w:pPr>
        <w:pStyle w:val="FirstParagraph"/>
      </w:pPr>
      <w:r>
        <w:t xml:space="preserve">The following CSV tables underlie the figures and Table S1 entries and</w:t>
      </w:r>
      <w:r>
        <w:t xml:space="preserve"> </w:t>
      </w:r>
      <w:r>
        <w:t xml:space="preserve">will be released through the Zenodo-archived GitHub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tidalflat</w:t>
      </w:r>
      <w:r>
        <w:t xml:space="preserve">) at the DOI assigned upon acceptance: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9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(under</w:t>
            </w:r>
            <w:r>
              <w:t xml:space="preserve"> </w:t>
            </w:r>
            <w:r>
              <w:rPr>
                <w:rStyle w:val="VerbatimChar"/>
              </w:rPr>
              <w:t xml:space="preserve">data/outputs/tables/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phase_stability_annual.csv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S1a, Figure S3 (left), Figure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phase_stability_seasonal.csv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S1b, Figure S3 (middle), Figure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phase_stability_sensor.csv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S1c, Figure S3 (right), Figure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phase_stability_bootstrap.csv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S1d, main-text 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phase_stability_loo.csv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S1e, main-text Figure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dem_error_stats.csv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S6, main-text Figure 7</w:t>
            </w:r>
          </w:p>
        </w:tc>
      </w:tr>
    </w:tbl>
    <w:p>
      <w:pPr>
        <w:pStyle w:val="BodyText"/>
      </w:pPr>
      <w:r>
        <w:t xml:space="preserve">Static versions of these CSVs, together with the figure-generation</w:t>
      </w:r>
      <w:r>
        <w:t xml:space="preserve"> </w:t>
      </w:r>
      <w:r>
        <w:t xml:space="preserve">scripts in</w:t>
      </w:r>
      <w:r>
        <w:t xml:space="preserve"> </w:t>
      </w:r>
      <w:r>
        <w:rPr>
          <w:rStyle w:val="VerbatimChar"/>
        </w:rPr>
        <w:t xml:space="preserve">scripts/demo_*.py</w:t>
      </w:r>
      <w:r>
        <w:t xml:space="preserve">, are version-controlled in the public</w:t>
      </w:r>
      <w:r>
        <w:t xml:space="preserve"> </w:t>
      </w:r>
      <w:r>
        <w:t xml:space="preserve">GitHub repository.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 — Phase-Predictable Tidal-Sampling Bias of Sun-Synchronous Optical Satellites and Its Conversion into Waterline-DEM Errors over the Macrotidal Korean Coast</dc:title>
  <dc:creator>[Author name TBD]1</dc:creator>
  <cp:keywords/>
  <dcterms:created xsi:type="dcterms:W3CDTF">2026-06-11T10:38:05Z</dcterms:created>
  <dcterms:modified xsi:type="dcterms:W3CDTF">2026-06-11T10:38:05Z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First draft v0.1 — 2026-05-21</vt:lpwstr>
  </property>
  <property fmtid="{D5CDD505-2E9C-101B-9397-08002B2CF9AE}" pid="3" name="documentclass">
    <vt:lpwstr>article</vt:lpwstr>
  </property>
  <property fmtid="{D5CDD505-2E9C-101B-9397-08002B2CF9AE}" pid="4" name="fontsize">
    <vt:lpwstr>11pt</vt:lpwstr>
  </property>
  <property fmtid="{D5CDD505-2E9C-101B-9397-08002B2CF9AE}" pid="5" name="geometry">
    <vt:lpwstr>margin=2.5cm</vt:lpwstr>
  </property>
  <property fmtid="{D5CDD505-2E9C-101B-9397-08002B2CF9AE}" pid="6" name="header-includes">
    <vt:lpwstr/>
  </property>
  <property fmtid="{D5CDD505-2E9C-101B-9397-08002B2CF9AE}" pid="7" name="linestretch">
    <vt:lpwstr>2</vt:lpwstr>
  </property>
  <property fmtid="{D5CDD505-2E9C-101B-9397-08002B2CF9AE}" pid="8" name="papersize">
    <vt:lpwstr>a4</vt:lpwstr>
  </property>
</Properties>
</file>