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before="480" w:line="240" w:lineRule="auto"/>
        <w:ind w:left="-15" w:firstLine="0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Grupo 6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https://www.welivesecurity.com/la-es/2021/06/10/backdoordiplomacy-actualizando-quarian-turian-backdoor-utilizado-contra-organizaciones-diplomaticas/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Deberán leer cada una de las noticias asignadas y responder en un documento de Google, las siguientes consignas: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¿Qué tipo de amenaza es?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Es un malware llamado “Backdoor”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¿Cómo comienza y cómo se propaga esta amenaza?</w:t>
        <w:br w:type="textWrapping"/>
        <w:t xml:space="preserve">Identifica los puntos vulnerables de acceso en un dispositivo y le da control parcial o total a otras personas para que hagan lo que quieran con él.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Una vez dentro de un sistema, sus operadores utilizan herramientas de código abierto para escanear el entorno y realizar movimiento lateral. El acceso interactivo se logra de dos maneras: (1) a través de un backdoor personalizado que llamamos Turian que deriva del backdoor Quarian; y (2) en menos casos, cuando se requiere un acceso más directo e interactivo, se implementan ciertas herramientas de acceso remoto de código abierto.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¿Hay más de una amenaza aplicada?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Sí, no sólo es el backdoor, sino la recopilación de información y los ejecutables para robar información de unidades extraíbles flasUSB, por ejemplo: parte malisiosa de BalkanRAT, BalkanDoor,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¿Qué solución o medida recomendarían?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Lo más recomendable es seguir las reglas básicas de ciberseguridad: tener cuidado con los correos electrónicos y examinar tanto los archivos adjuntos como los enlaces que puedan venir en ellos; mantener actualizado sus equipos y utilizar una solución de seguridad confiable.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La eliminación manual de un backdoor no es fácil y, de hecho, lo mejor es recurrir a una herramienta para su eliminación automática; los antivirus cuentan con esta opción.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ind w:left="7920" w:firstLine="72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40" w:lineRule="auto"/>
      <w:ind w:left="-15" w:firstLine="0"/>
      <w:rPr>
        <w:rFonts w:ascii="Rajdhani" w:cs="Rajdhani" w:eastAsia="Rajdhani" w:hAnsi="Rajdhani"/>
        <w:b w:val="1"/>
        <w:color w:val="434343"/>
        <w:sz w:val="68"/>
        <w:szCs w:val="6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ind w:left="-1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elivesecurity.com/la-es/2021/06/10/backdoordiplomacy-actualizando-quarian-turian-backdoor-utilizado-contra-organizaciones-diplomatica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dZ/bvLTv1jIqFAa1bPDDinKSTA==">AMUW2mVjL823Nz3fK/fUZDRs8v1RlRdWrfZVSEuljJy0n6kSszOyE3f8GJNoy/w3IjFaPzccptPIDKbz9QrmbfMIwFDy5ySVLBR6ISnEMWsZHONQNGnKRHMbyxai9+dkDwZiHzCaQUel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