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Narrow" w:hAnsi="Arial Narrow"/>
          <w:b/>
          <w:sz w:val="32"/>
        </w:rPr>
        <w:t>Disentangling Representation Compression and Quantum-Head Effects in Multi-Domain Quantum Transfer Learning</w:t>
      </w:r>
    </w:p>
    <w:p>
      <w:pPr>
        <w:jc w:val="left"/>
      </w:pPr>
      <w:r>
        <w:rPr>
          <w:rFonts w:ascii="Arial Narrow" w:hAnsi="Arial Narrow"/>
          <w:b/>
          <w:sz w:val="20"/>
        </w:rPr>
        <w:t>Fajri Yanuar Shiddiq Juanda</w:t>
      </w:r>
      <w:r>
        <w:rPr>
          <w:rFonts w:ascii="Arial Narrow" w:hAnsi="Arial Narrow"/>
          <w:b/>
          <w:sz w:val="14"/>
          <w:vertAlign w:val="superscript"/>
        </w:rPr>
        <w:t>1</w:t>
      </w:r>
      <w:r>
        <w:rPr>
          <w:rFonts w:ascii="Arial Narrow" w:hAnsi="Arial Narrow"/>
          <w:b/>
          <w:sz w:val="20"/>
        </w:rPr>
        <w:t>*  ·  Kiki Ahmad Baihaqi</w:t>
      </w:r>
      <w:r>
        <w:rPr>
          <w:rFonts w:ascii="Arial Narrow" w:hAnsi="Arial Narrow"/>
          <w:b/>
          <w:sz w:val="14"/>
          <w:vertAlign w:val="superscript"/>
        </w:rPr>
        <w:t>1</w:t>
      </w:r>
    </w:p>
    <w:p>
      <w:pPr>
        <w:spacing w:after="20"/>
      </w:pPr>
      <w:r>
        <w:rPr>
          <w:rFonts w:ascii="Times New Roman" w:hAnsi="Times New Roman"/>
          <w:sz w:val="18"/>
        </w:rPr>
        <w:t xml:space="preserve">Fajri Yanuar Shiddiq Juanda — ORCID: </w:t>
      </w:r>
      <w:hyperlink r:id="rId10">
        <w:r>
          <w:rPr>
            <w:color w:val="0563C1"/>
            <w:u w:val="single"/>
            <w:sz w:val="18"/>
            <w:szCs w:val="18"/>
          </w:rPr>
          <w:t>0009-0007-8894-0265</w:t>
        </w:r>
      </w:hyperlink>
      <w:r>
        <w:br/>
      </w:r>
      <w:r>
        <w:rPr>
          <w:rFonts w:ascii="Times New Roman" w:hAnsi="Times New Roman"/>
          <w:sz w:val="18"/>
        </w:rPr>
        <w:t xml:space="preserve">Kiki Ahmad Baihaqi — ORCID: </w:t>
      </w:r>
      <w:hyperlink r:id="rId11">
        <w:r>
          <w:rPr>
            <w:color w:val="0563C1"/>
            <w:u w:val="single"/>
            <w:sz w:val="18"/>
            <w:szCs w:val="18"/>
          </w:rPr>
          <w:t>0000-0002-2430-9235</w:t>
        </w:r>
      </w:hyperlink>
    </w:p>
    <w:p>
      <w:pPr>
        <w:spacing w:after="20"/>
      </w:pPr>
      <w:r>
        <w:rPr>
          <w:rFonts w:ascii="Times New Roman" w:hAnsi="Times New Roman"/>
          <w:sz w:val="18"/>
        </w:rPr>
        <w:t>1 Department of Informatics Engineering, Faculty of Computer Science, Universitas Buana Perjuangan Karawang, Karawang, Indonesia</w:t>
      </w:r>
    </w:p>
    <w:p>
      <w:pPr>
        <w:spacing w:after="120"/>
      </w:pPr>
      <w:r>
        <w:rPr>
          <w:rFonts w:ascii="Times New Roman" w:hAnsi="Times New Roman"/>
          <w:sz w:val="18"/>
        </w:rPr>
        <w:t>Email: fajriyanuar1@gmail.com; kikiahmad@ubpkarawang.ac.id</w:t>
        <w:br/>
        <w:t>*Corresponding author: Fajri Yanuar Shiddiq Juanda, fajriyanuar1@gmail.com</w:t>
      </w:r>
    </w:p>
    <w:p>
      <w:pPr>
        <w:pStyle w:val="Heading1"/>
      </w:pPr>
      <w:r>
        <w:t>Abstract</w:t>
      </w:r>
    </w:p>
    <w:p>
      <w:pPr>
        <w:spacing w:line="240" w:lineRule="auto" w:after="60"/>
        <w:ind w:firstLine="360"/>
      </w:pPr>
      <w:r>
        <w:rPr>
          <w:rFonts w:ascii="Times New Roman" w:hAnsi="Times New Roman"/>
          <w:sz w:val="20"/>
        </w:rPr>
        <w:t>Hybrid quantum visual classifiers compress high-dimensional classical representations to a small number of circuit inputs, but conventional comparisons rarely separate information lost before the circuit from differences introduced by the decision head. This study used frozen DINOv2 ViT-S/14 embeddings from CIFAR-10, EuroSAT RGB, and PathMNIST and crossed four six-dimensional reducers with logistic regression, RBF-SVM, an exactly parameter-matched multilayer perceptron, and a six-qubit variational quantum classifier. The leakage-aware protocol used duplicate-group isolation, a fixed 150 examples per class, ten matched seeds, validation-only selection, and a locked test set. The experiment completed 480 reducer-head runs plus 60 full-space references. The validation-selected best configurations were cifar10: SLP6 + LR macro-F1 0.946 ± 0.003; eurosat: SLP6 + LR macro-F1 0.886 ± 0.006; pathmnist: SLP6 + RBF macro-F1 0.795 ± 0.026. Across evaluated conditions, the matched head gap was at least as large as the average absolute compression penalty. These results locate the dominant bottleneck empirically rather than attributing every downstream difference to the quantum circuit. The findings are limited to analytic statevector simulation and do not constitute evidence of quantum advantage or speedup.</w:t>
      </w:r>
    </w:p>
    <w:p>
      <w:r>
        <w:rPr>
          <w:rFonts w:ascii="Times New Roman" w:hAnsi="Times New Roman"/>
          <w:b/>
          <w:sz w:val="20"/>
        </w:rPr>
        <w:t xml:space="preserve">Keywords: </w:t>
      </w:r>
      <w:r>
        <w:rPr>
          <w:rFonts w:ascii="Times New Roman" w:hAnsi="Times New Roman"/>
          <w:sz w:val="20"/>
        </w:rPr>
        <w:t>quantum machine learning; DINOv2; representation compression; variational quantum classifier; transfer learning; calibration</w:t>
      </w:r>
    </w:p>
    <w:p>
      <w:pPr>
        <w:sectPr>
          <w:footerReference w:type="default" r:id="rId9"/>
          <w:pgSz w:w="11906" w:h="15817"/>
          <w:pgMar w:top="677" w:right="1020" w:bottom="691" w:left="1020" w:header="720" w:footer="720" w:gutter="0"/>
          <w:cols w:space="0" w:num="1"/>
          <w:docGrid w:linePitch="360"/>
        </w:sectPr>
      </w:pPr>
    </w:p>
    <w:p>
      <w:pPr>
        <w:pStyle w:val="Heading1"/>
      </w:pPr>
      <w:r>
        <w:t>1 Introduction</w:t>
      </w:r>
    </w:p>
    <w:p>
      <w:pPr>
        <w:spacing w:line="240" w:lineRule="auto" w:after="60"/>
        <w:ind w:firstLine="360"/>
      </w:pPr>
      <w:r>
        <w:rPr>
          <w:rFonts w:ascii="Times New Roman" w:hAnsi="Times New Roman"/>
          <w:sz w:val="20"/>
        </w:rPr>
        <w:t>Quantum transfer learning typically places a low-qubit variational circuit after a classical visual encoder. The apparent simplicity hides two distinct sources of error: the classical-to-quantum bottleneck can discard discriminative structure, while the decision head can fail to exploit what remains. Comparing a high-dimensional classical baseline with a compressed quantum model therefore confounds representation quality and classifier behavior.</w:t>
      </w:r>
    </w:p>
    <w:p>
      <w:pPr>
        <w:spacing w:line="240" w:lineRule="auto" w:after="60"/>
        <w:ind w:firstLine="360"/>
      </w:pPr>
      <w:r>
        <w:rPr>
          <w:rFonts w:ascii="Times New Roman" w:hAnsi="Times New Roman"/>
          <w:sz w:val="20"/>
        </w:rPr>
        <w:t xml:space="preserve">Recent work has established quantum feature spaces, variational learning, data re-uploading, and hybrid transfer-learning architectures </w:t>
      </w:r>
      <w:r>
        <w:fldChar w:fldCharType="begin" w:dirty="true"/>
      </w:r>
      <w:r>
        <w:instrText xml:space="preserve"> ADDIN CSL_CITATION {"citationItems":[{"id":"SCHULD-KILLORAN-2019"},{"id":"HAVLICEK-2019"},{"id":"PEREZ-SALINAS-2020"},{"id":"MARI-2020"},{"id":"ABBAS-2021"},{"id":"CEREZO-VQA-2021"},{"id":"CEREZO-CHALLENGES-2022"}],"properties":{"formattedCitation":"(Schuld and Killoran 2019; Havlicek et al 2019; Perez-Salinas et al 2020; Mari et al 2020; Abbas et al 2021; Cerezo et al 2021, 2022)","plainCitation":"(Schuld and Killoran 2019; Havlicek et al 2019; Perez-Salinas et al 2020; Mari et al 2020; Abbas et al 2021; Cerezo et al 2021, 2022)","noteIndex":0},"schema":"https://github.com/citation-style-language/schema/raw/master/csl-citation.json"} </w:instrText>
      </w:r>
      <w:r>
        <w:fldChar w:fldCharType="separate"/>
      </w:r>
      <w:r>
        <w:rPr>
          <w:rFonts w:ascii="Times New Roman" w:hAnsi="Times New Roman"/>
          <w:sz w:val="20"/>
        </w:rPr>
        <w:t>(Schuld and Killoran 2019; Havlicek et al 2019; Perez-Salinas et al 2020; Mari et al 2020; Abbas et al 2021; Cerezo et al 2021, 2022)</w:t>
      </w:r>
      <w:r>
        <w:fldChar w:fldCharType="end"/>
      </w:r>
      <w:r>
        <w:rPr>
          <w:rFonts w:ascii="Times New Roman" w:hAnsi="Times New Roman"/>
          <w:sz w:val="20"/>
        </w:rPr>
        <w:t xml:space="preserve">. Encoding design can change the function family available to a variational model </w:t>
      </w:r>
      <w:r>
        <w:fldChar w:fldCharType="begin" w:dirty="true"/>
      </w:r>
      <w:r>
        <w:instrText xml:space="preserve"> ADDIN CSL_CITATION {"citationItems":[{"id":"SCHULD-SWEKE-MEYER-2021"}],"properties":{"formattedCitation":"(Schuld et al 2021)","plainCitation":"(Schuld et al 2021)","noteIndex":0},"schema":"https://github.com/citation-style-language/schema/raw/master/csl-citation.json"} </w:instrText>
      </w:r>
      <w:r>
        <w:fldChar w:fldCharType="separate"/>
      </w:r>
      <w:r>
        <w:rPr>
          <w:rFonts w:ascii="Times New Roman" w:hAnsi="Times New Roman"/>
          <w:sz w:val="20"/>
        </w:rPr>
        <w:t>(Schuld et al 2021)</w:t>
      </w:r>
      <w:r>
        <w:fldChar w:fldCharType="end"/>
      </w:r>
      <w:r>
        <w:rPr>
          <w:rFonts w:ascii="Times New Roman" w:hAnsi="Times New Roman"/>
          <w:sz w:val="20"/>
        </w:rPr>
        <w:t xml:space="preserve">, while trainability and finite-data generalization remain separate concerns </w:t>
      </w:r>
      <w:r>
        <w:fldChar w:fldCharType="begin" w:dirty="true"/>
      </w:r>
      <w:r>
        <w:instrText xml:space="preserve"> ADDIN CSL_CITATION {"citationItems":[{"id":"DU-2021"},{"id":"CARO-2022"},{"id":"GIL-FUSTER-2024"}],"properties":{"formattedCitation":"(Du et al 2021; Caro et al 2022; Gil-Fuster et al 2024)","plainCitation":"(Du et al 2021; Caro et al 2022; Gil-Fuster et al 2024)","noteIndex":0},"schema":"https://github.com/citation-style-language/schema/raw/master/csl-citation.json"} </w:instrText>
      </w:r>
      <w:r>
        <w:fldChar w:fldCharType="separate"/>
      </w:r>
      <w:r>
        <w:rPr>
          <w:rFonts w:ascii="Times New Roman" w:hAnsi="Times New Roman"/>
          <w:sz w:val="20"/>
        </w:rPr>
        <w:t>(Du et al 2021; Caro et al 2022; Gil-Fuster et al 2024)</w:t>
      </w:r>
      <w:r>
        <w:fldChar w:fldCharType="end"/>
      </w:r>
      <w:r>
        <w:rPr>
          <w:rFonts w:ascii="Times New Roman" w:hAnsi="Times New Roman"/>
          <w:sz w:val="20"/>
        </w:rPr>
        <w:t xml:space="preserve">. In parallel, self-supervised encoders have made frozen representations increasingly transferable </w:t>
      </w:r>
      <w:r>
        <w:fldChar w:fldCharType="begin" w:dirty="true"/>
      </w:r>
      <w:r>
        <w:instrText xml:space="preserve"> ADDIN CSL_CITATION {"citationItems":[{"id":"DINOV2-2024"}],"properties":{"formattedCitation":"(Oquab et al 2024)","plainCitation":"(Oquab et al 2024)","noteIndex":0},"schema":"https://github.com/citation-style-language/schema/raw/master/csl-citation.json"} </w:instrText>
      </w:r>
      <w:r>
        <w:fldChar w:fldCharType="separate"/>
      </w:r>
      <w:r>
        <w:rPr>
          <w:rFonts w:ascii="Times New Roman" w:hAnsi="Times New Roman"/>
          <w:sz w:val="20"/>
        </w:rPr>
        <w:t>(Oquab et al 2024)</w:t>
      </w:r>
      <w:r>
        <w:fldChar w:fldCharType="end"/>
      </w:r>
      <w:r>
        <w:rPr>
          <w:rFonts w:ascii="Times New Roman" w:hAnsi="Times New Roman"/>
          <w:sz w:val="20"/>
        </w:rPr>
        <w:t>, making it possible to control the encoder while studying the downstream bottleneck. However, a fair comparison must give classical and quantum heads the same samples, splits, six-dimensional vectors, selection criterion, and seed schedule.</w:t>
      </w:r>
    </w:p>
    <w:p>
      <w:pPr>
        <w:spacing w:line="240" w:lineRule="auto" w:after="60"/>
        <w:ind w:firstLine="360"/>
      </w:pPr>
      <w:r>
        <w:rPr>
          <w:rFonts w:ascii="Times New Roman" w:hAnsi="Times New Roman"/>
          <w:sz w:val="20"/>
        </w:rPr>
        <w:t xml:space="preserve">Empirical QML studies increasingly emphasize strong classical baselines and explicit accounting for preprocessing. Classical access to data can make conventional learners highly competitive even when quantum representations appear difficult to simulate </w:t>
      </w:r>
      <w:r>
        <w:fldChar w:fldCharType="begin" w:dirty="true"/>
      </w:r>
      <w:r>
        <w:instrText xml:space="preserve"> ADDIN CSL_CITATION {"citationItems":[{"id":"HUANG-2021"}],"properties":{"formattedCitation":"(Huang et al 2021)","plainCitation":"(Huang et al 2021)","noteIndex":0},"schema":"https://github.com/citation-style-language/schema/raw/master/csl-citation.json"} </w:instrText>
      </w:r>
      <w:r>
        <w:fldChar w:fldCharType="separate"/>
      </w:r>
      <w:r>
        <w:rPr>
          <w:rFonts w:ascii="Times New Roman" w:hAnsi="Times New Roman"/>
          <w:sz w:val="20"/>
        </w:rPr>
        <w:t>(Huang et al 2021)</w:t>
      </w:r>
      <w:r>
        <w:fldChar w:fldCharType="end"/>
      </w:r>
      <w:r>
        <w:rPr>
          <w:rFonts w:ascii="Times New Roman" w:hAnsi="Times New Roman"/>
          <w:sz w:val="20"/>
        </w:rPr>
        <w:t xml:space="preserve">. QMI benchmarks likewise show that hyperparameters and classical components can dominate observed behavior </w:t>
      </w:r>
      <w:r>
        <w:fldChar w:fldCharType="begin" w:dirty="true"/>
      </w:r>
      <w:r>
        <w:instrText xml:space="preserve"> ADDIN CSL_CITATION {"citationItems":[{"id":"EGGINGER-2024"},{"id":"SCHNABEL-ROTH-2025"}],"properties":{"formattedCitation":"(Egginger et al 2024; Schnabel and Roth 2025)","plainCitation":"(Egginger et al 2024; Schnabel and Roth 2025)","noteIndex":0},"schema":"https://github.com/citation-style-language/schema/raw/master/csl-citation.json"} </w:instrText>
      </w:r>
      <w:r>
        <w:fldChar w:fldCharType="separate"/>
      </w:r>
      <w:r>
        <w:rPr>
          <w:rFonts w:ascii="Times New Roman" w:hAnsi="Times New Roman"/>
          <w:sz w:val="20"/>
        </w:rPr>
        <w:t>(Egginger et al 2024; Schnabel and Roth 2025)</w:t>
      </w:r>
      <w:r>
        <w:fldChar w:fldCharType="end"/>
      </w:r>
      <w:r>
        <w:rPr>
          <w:rFonts w:ascii="Times New Roman" w:hAnsi="Times New Roman"/>
          <w:sz w:val="20"/>
        </w:rPr>
        <w:t xml:space="preserve">, while application studies illustrate both the promise and the limits of compressed quantum classifiers </w:t>
      </w:r>
      <w:r>
        <w:fldChar w:fldCharType="begin" w:dirty="true"/>
      </w:r>
      <w:r>
        <w:instrText xml:space="preserve"> ADDIN CSL_CITATION {"citationItems":[{"id":"MANGINI-2022"},{"id":"WANG-2025"}],"properties":{"formattedCitation":"(Mangini et al 2022; Wang et al 2025)","plainCitation":"(Mangini et al 2022; Wang et al 2025)","noteIndex":0},"schema":"https://github.com/citation-style-language/schema/raw/master/csl-citation.json"} </w:instrText>
      </w:r>
      <w:r>
        <w:fldChar w:fldCharType="separate"/>
      </w:r>
      <w:r>
        <w:rPr>
          <w:rFonts w:ascii="Times New Roman" w:hAnsi="Times New Roman"/>
          <w:sz w:val="20"/>
        </w:rPr>
        <w:t>(Mangini et al 2022; Wang et al 2025)</w:t>
      </w:r>
      <w:r>
        <w:fldChar w:fldCharType="end"/>
      </w:r>
      <w:r>
        <w:rPr>
          <w:rFonts w:ascii="Times New Roman" w:hAnsi="Times New Roman"/>
          <w:sz w:val="20"/>
        </w:rPr>
        <w:t xml:space="preserve">. Most directly, recent work on learned reduced representations confirms that dimensionality reduction deserves treatment as an experimental factor rather than an incidental preprocessing step </w:t>
      </w:r>
      <w:r>
        <w:fldChar w:fldCharType="begin" w:dirty="true"/>
      </w:r>
      <w:r>
        <w:instrText xml:space="preserve"> ADDIN CSL_CITATION {"citationItems":[{"id":"ODAGIU-2025"}],"properties":{"formattedCitation":"(Odagiu et al 2025)","plainCitation":"(Odagiu et al 2025)","noteIndex":0},"schema":"https://github.com/citation-style-language/schema/raw/master/csl-citation.json"} </w:instrText>
      </w:r>
      <w:r>
        <w:fldChar w:fldCharType="separate"/>
      </w:r>
      <w:r>
        <w:rPr>
          <w:rFonts w:ascii="Times New Roman" w:hAnsi="Times New Roman"/>
          <w:sz w:val="20"/>
        </w:rPr>
        <w:t>(Odagiu et al 2025)</w:t>
      </w:r>
      <w:r>
        <w:fldChar w:fldCharType="end"/>
      </w:r>
      <w:r>
        <w:rPr>
          <w:rFonts w:ascii="Times New Roman" w:hAnsi="Times New Roman"/>
          <w:sz w:val="20"/>
        </w:rPr>
        <w:t>.</w:t>
      </w:r>
    </w:p>
    <w:p>
      <w:pPr>
        <w:spacing w:line="240" w:lineRule="auto" w:after="60"/>
        <w:ind w:firstLine="360"/>
      </w:pPr>
      <w:r>
        <w:rPr>
          <w:rFonts w:ascii="Times New Roman" w:hAnsi="Times New Roman"/>
          <w:sz w:val="20"/>
        </w:rPr>
        <w:t>The present study differs from prior reduction-focused QML work in three respects. First, every reducer is crossed with four predictive heads, so the representation and classifier are estimated as separate experimental factors. Second, the VQC is compared with a parameter-matched MLP on identical vectors rather than only with an unconstrained high-dimensional baseline. Third, the analysis is repeated across three visual domains with paired ten-seed inference, full-space references, and calibration diagnostics. This design turns the usual end-to-end leaderboard into an attribution study of where performance is lost.</w:t>
      </w:r>
    </w:p>
    <w:p>
      <w:pPr>
        <w:spacing w:line="240" w:lineRule="auto" w:after="60"/>
        <w:ind w:firstLine="360"/>
      </w:pPr>
      <w:r>
        <w:rPr>
          <w:rFonts w:ascii="Times New Roman" w:hAnsi="Times New Roman"/>
          <w:sz w:val="20"/>
        </w:rPr>
        <w:t>This study asks whether compression or the quantum head is the larger bottleneck. Its contribution is a controlled reducer-by-head factorial benchmark across general-object, remote-sensing, and histopathology domains. The design combines a frozen 384D DINOv2 representation, four reducers at an identical 6D budget, exact parameter parity between the MLP and VQC, full-space references, representation-geometry diagnostics, calibration metrics, and paired multi-seed statistics.</w:t>
      </w:r>
    </w:p>
    <w:p>
      <w:pPr>
        <w:sectPr>
          <w:type w:val="continuous"/>
          <w:pgSz w:w="11906" w:h="15817"/>
          <w:pgMar w:top="677" w:right="1020" w:bottom="691" w:left="1020" w:header="720" w:footer="720" w:gutter="0"/>
          <w:cols w:space="300" w:num="2"/>
          <w:docGrid w:linePitch="360"/>
        </w:sectPr>
      </w:pPr>
    </w:p>
    <w:p>
      <w:pPr>
        <w:keepNext/>
        <w:spacing w:before="100" w:after="60"/>
        <w:jc w:val="left"/>
      </w:pPr>
      <w:r>
        <w:rPr>
          <w:rFonts w:ascii="Arial Narrow" w:hAnsi="Arial Narrow"/>
          <w:b/>
          <w:sz w:val="17"/>
        </w:rPr>
        <w:t>Table 1 Related methodological streams and the controls used in this study</w:t>
      </w:r>
    </w:p>
    <w:tbl>
      <w:tblPr>
        <w:tblW w:type="auto" w:w="0"/>
        <w:jc w:val="left"/>
        <w:tblLayout w:type="autofit"/>
        <w:tblLook w:firstColumn="1" w:firstRow="1" w:lastColumn="0" w:lastRow="0" w:noHBand="0" w:noVBand="1" w:val="04A0"/>
      </w:tblPr>
      <w:tblGrid>
        <w:gridCol w:w="2466"/>
        <w:gridCol w:w="2466"/>
        <w:gridCol w:w="2466"/>
        <w:gridCol w:w="2466"/>
      </w:tblGrid>
      <w:tr>
        <w:trPr>
          <w:tblHeader w:val="true"/>
          <w:cantSplit w:val="true"/>
        </w:trPr>
        <w:tc>
          <w:tcPr>
            <w:tcW w:type="dxa" w:w="246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Research stream</w:t>
            </w:r>
          </w:p>
        </w:tc>
        <w:tc>
          <w:tcPr>
            <w:tcW w:type="dxa" w:w="246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Typical design</w:t>
            </w:r>
          </w:p>
        </w:tc>
        <w:tc>
          <w:tcPr>
            <w:tcW w:type="dxa" w:w="246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Unresolved issue</w:t>
            </w:r>
          </w:p>
        </w:tc>
        <w:tc>
          <w:tcPr>
            <w:tcW w:type="dxa" w:w="246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Control in this study</w:t>
            </w:r>
          </w:p>
        </w:tc>
      </w:tr>
      <w:tr>
        <w:trPr>
          <w:cantSplit w:val="true"/>
        </w:trPr>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 xml:space="preserve">Quantum feature spaces and encodings </w:t>
            </w:r>
            <w:r>
              <w:rPr>
                <w:rFonts w:ascii="Times New Roman" w:hAnsi="Times New Roman"/>
                <w:b w:val="0"/>
                <w:color w:val="000000"/>
                <w:sz w:val="17"/>
              </w:rPr>
              <w:fldChar w:fldCharType="begin" w:dirty="true"/>
            </w:r>
            <w:r>
              <w:rPr>
                <w:rFonts w:ascii="Times New Roman" w:hAnsi="Times New Roman"/>
                <w:b w:val="0"/>
                <w:color w:val="000000"/>
                <w:sz w:val="17"/>
              </w:rPr>
              <w:instrText xml:space="preserve"> ADDIN CSL_CITATION {"citationItems":[{"id":"SCHULD-KILLORAN-2019"},{"id":"SCHULD-SWEKE-MEYER-2021"}],"properties":{"formattedCitation":"(Schuld and Killoran 2019; Schuld et al 2021)","plainCitation":"(Schuld and Killoran 2019; Schuld et al 2021)","noteIndex":0},"schema":"https://github.com/citation-style-language/schema/raw/master/csl-citation.json"} </w:instrText>
            </w:r>
            <w:r>
              <w:rPr>
                <w:rFonts w:ascii="Times New Roman" w:hAnsi="Times New Roman"/>
                <w:b w:val="0"/>
                <w:color w:val="000000"/>
                <w:sz w:val="17"/>
              </w:rPr>
              <w:fldChar w:fldCharType="separate"/>
            </w:r>
            <w:r>
              <w:rPr>
                <w:rFonts w:ascii="Times New Roman" w:hAnsi="Times New Roman"/>
                <w:b w:val="0"/>
                <w:color w:val="000000"/>
                <w:sz w:val="17"/>
              </w:rPr>
              <w:t>(Schuld and Killoran 2019; Schuld et al 2021)</w:t>
            </w:r>
            <w:r>
              <w:rPr>
                <w:rFonts w:ascii="Times New Roman" w:hAnsi="Times New Roman"/>
                <w:b w:val="0"/>
                <w:color w:val="000000"/>
                <w:sz w:val="17"/>
              </w:rPr>
              <w:fldChar w:fldCharType="end"/>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Quantum kernel or circuit</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Representation quality may vary</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Identical six-dimensional input</w:t>
            </w:r>
          </w:p>
        </w:tc>
      </w:tr>
      <w:tr>
        <w:trPr>
          <w:cantSplit w:val="true"/>
        </w:trPr>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 xml:space="preserve">Hybrid transfer learning </w:t>
            </w:r>
            <w:r>
              <w:rPr>
                <w:rFonts w:ascii="Times New Roman" w:hAnsi="Times New Roman"/>
                <w:b w:val="0"/>
                <w:color w:val="000000"/>
                <w:sz w:val="17"/>
              </w:rPr>
              <w:fldChar w:fldCharType="begin" w:dirty="true"/>
            </w:r>
            <w:r>
              <w:rPr>
                <w:rFonts w:ascii="Times New Roman" w:hAnsi="Times New Roman"/>
                <w:b w:val="0"/>
                <w:color w:val="000000"/>
                <w:sz w:val="17"/>
              </w:rPr>
              <w:instrText xml:space="preserve"> ADDIN CSL_CITATION {"citationItems":[{"id":"MARI-2020"},{"id":"MANGINI-2022"}],"properties":{"formattedCitation":"(Mari et al 2020; Mangini et al 2022)","plainCitation":"(Mari et al 2020; Mangini et al 2022)","noteIndex":0},"schema":"https://github.com/citation-style-language/schema/raw/master/csl-citation.json"} </w:instrText>
            </w:r>
            <w:r>
              <w:rPr>
                <w:rFonts w:ascii="Times New Roman" w:hAnsi="Times New Roman"/>
                <w:b w:val="0"/>
                <w:color w:val="000000"/>
                <w:sz w:val="17"/>
              </w:rPr>
              <w:fldChar w:fldCharType="separate"/>
            </w:r>
            <w:r>
              <w:rPr>
                <w:rFonts w:ascii="Times New Roman" w:hAnsi="Times New Roman"/>
                <w:b w:val="0"/>
                <w:color w:val="000000"/>
                <w:sz w:val="17"/>
              </w:rPr>
              <w:t>(Mari et al 2020; Mangini et al 2022)</w:t>
            </w:r>
            <w:r>
              <w:rPr>
                <w:rFonts w:ascii="Times New Roman" w:hAnsi="Times New Roman"/>
                <w:b w:val="0"/>
                <w:color w:val="000000"/>
                <w:sz w:val="17"/>
              </w:rPr>
              <w:fldChar w:fldCharType="end"/>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Classical encoder plus quantum head</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Encoder and head effects can be confounded</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Frozen DINOv2 for every condition</w:t>
            </w:r>
          </w:p>
        </w:tc>
      </w:tr>
      <w:tr>
        <w:trPr>
          <w:cantSplit w:val="true"/>
        </w:trPr>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 xml:space="preserve">Reduced quantum representations </w:t>
            </w:r>
            <w:r>
              <w:rPr>
                <w:rFonts w:ascii="Times New Roman" w:hAnsi="Times New Roman"/>
                <w:b w:val="0"/>
                <w:color w:val="000000"/>
                <w:sz w:val="17"/>
              </w:rPr>
              <w:fldChar w:fldCharType="begin" w:dirty="true"/>
            </w:r>
            <w:r>
              <w:rPr>
                <w:rFonts w:ascii="Times New Roman" w:hAnsi="Times New Roman"/>
                <w:b w:val="0"/>
                <w:color w:val="000000"/>
                <w:sz w:val="17"/>
              </w:rPr>
              <w:instrText xml:space="preserve"> ADDIN CSL_CITATION {"citationItems":[{"id":"ODAGIU-2025"}],"properties":{"formattedCitation":"(Odagiu et al 2025)","plainCitation":"(Odagiu et al 2025)","noteIndex":0},"schema":"https://github.com/citation-style-language/schema/raw/master/csl-citation.json"} </w:instrText>
            </w:r>
            <w:r>
              <w:rPr>
                <w:rFonts w:ascii="Times New Roman" w:hAnsi="Times New Roman"/>
                <w:b w:val="0"/>
                <w:color w:val="000000"/>
                <w:sz w:val="17"/>
              </w:rPr>
              <w:fldChar w:fldCharType="separate"/>
            </w:r>
            <w:r>
              <w:rPr>
                <w:rFonts w:ascii="Times New Roman" w:hAnsi="Times New Roman"/>
                <w:b w:val="0"/>
                <w:color w:val="000000"/>
                <w:sz w:val="17"/>
              </w:rPr>
              <w:t>(Odagiu et al 2025)</w:t>
            </w:r>
            <w:r>
              <w:rPr>
                <w:rFonts w:ascii="Times New Roman" w:hAnsi="Times New Roman"/>
                <w:b w:val="0"/>
                <w:color w:val="000000"/>
                <w:sz w:val="17"/>
              </w:rPr>
              <w:fldChar w:fldCharType="end"/>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Reducer followed by a quantum classifier</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Reducer and classifier are rarely crossed factorially</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Four reducers crossed with four heads</w:t>
            </w:r>
          </w:p>
        </w:tc>
      </w:tr>
      <w:tr>
        <w:trPr>
          <w:cantSplit w:val="true"/>
        </w:trPr>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 xml:space="preserve">QML benchmarking </w:t>
            </w:r>
            <w:r>
              <w:rPr>
                <w:rFonts w:ascii="Times New Roman" w:hAnsi="Times New Roman"/>
                <w:b w:val="0"/>
                <w:color w:val="000000"/>
                <w:sz w:val="17"/>
              </w:rPr>
              <w:fldChar w:fldCharType="begin" w:dirty="true"/>
            </w:r>
            <w:r>
              <w:rPr>
                <w:rFonts w:ascii="Times New Roman" w:hAnsi="Times New Roman"/>
                <w:b w:val="0"/>
                <w:color w:val="000000"/>
                <w:sz w:val="17"/>
              </w:rPr>
              <w:instrText xml:space="preserve"> ADDIN CSL_CITATION {"citationItems":[{"id":"EGGINGER-2024"},{"id":"SCHNABEL-ROTH-2025"}],"properties":{"formattedCitation":"(Egginger et al 2024; Schnabel and Roth 2025)","plainCitation":"(Egginger et al 2024; Schnabel and Roth 2025)","noteIndex":0},"schema":"https://github.com/citation-style-language/schema/raw/master/csl-citation.json"} </w:instrText>
            </w:r>
            <w:r>
              <w:rPr>
                <w:rFonts w:ascii="Times New Roman" w:hAnsi="Times New Roman"/>
                <w:b w:val="0"/>
                <w:color w:val="000000"/>
                <w:sz w:val="17"/>
              </w:rPr>
              <w:fldChar w:fldCharType="separate"/>
            </w:r>
            <w:r>
              <w:rPr>
                <w:rFonts w:ascii="Times New Roman" w:hAnsi="Times New Roman"/>
                <w:b w:val="0"/>
                <w:color w:val="000000"/>
                <w:sz w:val="17"/>
              </w:rPr>
              <w:t>(Egginger et al 2024; Schnabel and Roth 2025)</w:t>
            </w:r>
            <w:r>
              <w:rPr>
                <w:rFonts w:ascii="Times New Roman" w:hAnsi="Times New Roman"/>
                <w:b w:val="0"/>
                <w:color w:val="000000"/>
                <w:sz w:val="17"/>
              </w:rPr>
              <w:fldChar w:fldCharType="end"/>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Hyperparameter-sensitive comparison</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Classical components may dominate</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Matched data, selection, seeds, and capacity</w:t>
            </w:r>
          </w:p>
        </w:tc>
      </w:tr>
      <w:tr>
        <w:trPr>
          <w:cantSplit w:val="true"/>
        </w:trPr>
        <w:tc>
          <w:tcPr>
            <w:tcW w:type="dxa" w:w="246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 xml:space="preserve">Model calibration </w:t>
            </w:r>
            <w:r>
              <w:rPr>
                <w:rFonts w:ascii="Times New Roman" w:hAnsi="Times New Roman"/>
                <w:b w:val="0"/>
                <w:color w:val="000000"/>
                <w:sz w:val="17"/>
              </w:rPr>
              <w:fldChar w:fldCharType="begin" w:dirty="true"/>
            </w:r>
            <w:r>
              <w:rPr>
                <w:rFonts w:ascii="Times New Roman" w:hAnsi="Times New Roman"/>
                <w:b w:val="0"/>
                <w:color w:val="000000"/>
                <w:sz w:val="17"/>
              </w:rPr>
              <w:instrText xml:space="preserve"> ADDIN CSL_CITATION {"citationItems":[{"id":"GUO-2017"},{"id":"GNEITING-RAFTERY-2007"}],"properties":{"formattedCitation":"(Guo et al 2017; Gneiting and Raftery 2007)","plainCitation":"(Guo et al 2017; Gneiting and Raftery 2007)","noteIndex":0},"schema":"https://github.com/citation-style-language/schema/raw/master/csl-citation.json"} </w:instrText>
            </w:r>
            <w:r>
              <w:rPr>
                <w:rFonts w:ascii="Times New Roman" w:hAnsi="Times New Roman"/>
                <w:b w:val="0"/>
                <w:color w:val="000000"/>
                <w:sz w:val="17"/>
              </w:rPr>
              <w:fldChar w:fldCharType="separate"/>
            </w:r>
            <w:r>
              <w:rPr>
                <w:rFonts w:ascii="Times New Roman" w:hAnsi="Times New Roman"/>
                <w:b w:val="0"/>
                <w:color w:val="000000"/>
                <w:sz w:val="17"/>
              </w:rPr>
              <w:t>(Guo et al 2017; Gneiting and Raftery 2007)</w:t>
            </w:r>
            <w:r>
              <w:rPr>
                <w:rFonts w:ascii="Times New Roman" w:hAnsi="Times New Roman"/>
                <w:b w:val="0"/>
                <w:color w:val="000000"/>
                <w:sz w:val="17"/>
              </w:rPr>
              <w:fldChar w:fldCharType="end"/>
            </w:r>
          </w:p>
        </w:tc>
        <w:tc>
          <w:tcPr>
            <w:tcW w:type="dxa" w:w="246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Confidence quality after training</w:t>
            </w:r>
          </w:p>
        </w:tc>
        <w:tc>
          <w:tcPr>
            <w:tcW w:type="dxa" w:w="246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Often omitted in QML comparisons</w:t>
            </w:r>
          </w:p>
        </w:tc>
        <w:tc>
          <w:tcPr>
            <w:tcW w:type="dxa" w:w="246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ECE, NLL, and Brier score</w:t>
            </w:r>
          </w:p>
        </w:tc>
      </w:tr>
    </w:tbl>
    <w:p>
      <w:pPr>
        <w:sectPr>
          <w:type w:val="continuous"/>
          <w:pgSz w:w="11906" w:h="15817"/>
          <w:pgMar w:top="677" w:right="1020" w:bottom="691" w:left="1020" w:header="720" w:footer="720" w:gutter="0"/>
          <w:cols w:space="0" w:num="1"/>
          <w:docGrid w:linePitch="360"/>
        </w:sectPr>
      </w:pPr>
    </w:p>
    <w:p>
      <w:pPr>
        <w:pStyle w:val="Heading1"/>
      </w:pPr>
      <w:r>
        <w:t>2 Materials and Methods</w:t>
      </w:r>
    </w:p>
    <w:p>
      <w:pPr>
        <w:pStyle w:val="Heading2"/>
      </w:pPr>
      <w:r>
        <w:t>2.1 Datasets and leakage audit</w:t>
      </w:r>
    </w:p>
    <w:p>
      <w:pPr>
        <w:spacing w:line="240" w:lineRule="auto" w:after="60"/>
        <w:ind w:firstLine="360"/>
      </w:pPr>
      <w:r>
        <w:rPr>
          <w:rFonts w:ascii="Times New Roman" w:hAnsi="Times New Roman"/>
          <w:sz w:val="20"/>
        </w:rPr>
        <w:t xml:space="preserve">CIFAR-10 </w:t>
      </w:r>
      <w:r>
        <w:fldChar w:fldCharType="begin" w:dirty="true"/>
      </w:r>
      <w:r>
        <w:instrText xml:space="preserve"> ADDIN CSL_CITATION {"citationItems":[{"id":"KRIZHEVSKY-2009"}],"properties":{"formattedCitation":"(Krizhevsky 2009)","plainCitation":"(Krizhevsky 2009)","noteIndex":0},"schema":"https://github.com/citation-style-language/schema/raw/master/csl-citation.json"} </w:instrText>
      </w:r>
      <w:r>
        <w:fldChar w:fldCharType="separate"/>
      </w:r>
      <w:r>
        <w:rPr>
          <w:rFonts w:ascii="Times New Roman" w:hAnsi="Times New Roman"/>
          <w:sz w:val="20"/>
        </w:rPr>
        <w:t>(Krizhevsky 2009)</w:t>
      </w:r>
      <w:r>
        <w:fldChar w:fldCharType="end"/>
      </w:r>
      <w:r>
        <w:rPr>
          <w:rFonts w:ascii="Times New Roman" w:hAnsi="Times New Roman"/>
          <w:sz w:val="20"/>
        </w:rPr>
        <w:t xml:space="preserve">, EuroSAT RGB </w:t>
      </w:r>
      <w:r>
        <w:fldChar w:fldCharType="begin" w:dirty="true"/>
      </w:r>
      <w:r>
        <w:instrText xml:space="preserve"> ADDIN CSL_CITATION {"citationItems":[{"id":"HELBER-2019"}],"properties":{"formattedCitation":"(Helber et al 2019)","plainCitation":"(Helber et al 2019)","noteIndex":0},"schema":"https://github.com/citation-style-language/schema/raw/master/csl-citation.json"} </w:instrText>
      </w:r>
      <w:r>
        <w:fldChar w:fldCharType="separate"/>
      </w:r>
      <w:r>
        <w:rPr>
          <w:rFonts w:ascii="Times New Roman" w:hAnsi="Times New Roman"/>
          <w:sz w:val="20"/>
        </w:rPr>
        <w:t>(Helber et al 2019)</w:t>
      </w:r>
      <w:r>
        <w:fldChar w:fldCharType="end"/>
      </w:r>
      <w:r>
        <w:rPr>
          <w:rFonts w:ascii="Times New Roman" w:hAnsi="Times New Roman"/>
          <w:sz w:val="20"/>
        </w:rPr>
        <w:t xml:space="preserve">, and PathMNIST </w:t>
      </w:r>
      <w:r>
        <w:fldChar w:fldCharType="begin" w:dirty="true"/>
      </w:r>
      <w:r>
        <w:instrText xml:space="preserve"> ADDIN CSL_CITATION {"citationItems":[{"id":"MEDMNIST-2023"}],"properties":{"formattedCitation":"(Yang et al 2023)","plainCitation":"(Yang et al 2023)","noteIndex":0},"schema":"https://github.com/citation-style-language/schema/raw/master/csl-citation.json"} </w:instrText>
      </w:r>
      <w:r>
        <w:fldChar w:fldCharType="separate"/>
      </w:r>
      <w:r>
        <w:rPr>
          <w:rFonts w:ascii="Times New Roman" w:hAnsi="Times New Roman"/>
          <w:sz w:val="20"/>
        </w:rPr>
        <w:t>(Yang et al 2023)</w:t>
      </w:r>
      <w:r>
        <w:fldChar w:fldCharType="end"/>
      </w:r>
      <w:r>
        <w:rPr>
          <w:rFonts w:ascii="Times New Roman" w:hAnsi="Times New Roman"/>
          <w:sz w:val="20"/>
        </w:rPr>
        <w:t xml:space="preserve"> provide ten, ten, and nine classes. Official test data were retained for CIFAR-10; PathMNIST used its official train-validation-test split; EuroSAT used a deterministic group-aware 70:15:15 split. Before freezing the partitions, every image was decoded, hashed at pixel level, screened by perceptual hash, and verified using structural similarity. Exact or confirmed near-duplicate groups were indivisible. Any group crossing an official split or carrying inconsistent labels was quarantined.</w:t>
      </w:r>
    </w:p>
    <w:p>
      <w:pPr>
        <w:sectPr>
          <w:type w:val="continuous"/>
          <w:pgSz w:w="11906" w:h="15817"/>
          <w:pgMar w:top="677" w:right="1020" w:bottom="691" w:left="1020" w:header="720" w:footer="720" w:gutter="0"/>
          <w:cols w:space="300" w:num="2"/>
          <w:docGrid w:linePitch="360"/>
        </w:sectPr>
      </w:pPr>
    </w:p>
    <w:p>
      <w:pPr>
        <w:keepNext/>
        <w:spacing w:before="100" w:after="60"/>
        <w:jc w:val="left"/>
      </w:pPr>
      <w:r>
        <w:rPr>
          <w:rFonts w:ascii="Arial Narrow" w:hAnsi="Arial Narrow"/>
          <w:b/>
          <w:sz w:val="17"/>
        </w:rPr>
        <w:t>Table 2 Dataset audit and frozen split counts</w:t>
      </w:r>
    </w:p>
    <w:tbl>
      <w:tblPr>
        <w:tblW w:type="auto" w:w="0"/>
        <w:jc w:val="left"/>
        <w:tblLayout w:type="autofit"/>
        <w:tblLook w:firstColumn="1" w:firstRow="1" w:lastColumn="0" w:lastRow="0" w:noHBand="0" w:noVBand="1" w:val="04A0"/>
      </w:tblPr>
      <w:tblGrid>
        <w:gridCol w:w="1409"/>
        <w:gridCol w:w="1409"/>
        <w:gridCol w:w="1409"/>
        <w:gridCol w:w="1409"/>
        <w:gridCol w:w="1409"/>
        <w:gridCol w:w="1409"/>
        <w:gridCol w:w="1409"/>
      </w:tblGrid>
      <w:tr>
        <w:trPr>
          <w:tblHeader w:val="true"/>
          <w:cantSplit w:val="true"/>
        </w:trPr>
        <w:tc>
          <w:tcPr>
            <w:tcW w:type="dxa" w:w="1409"/>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Dataset</w:t>
            </w:r>
          </w:p>
        </w:tc>
        <w:tc>
          <w:tcPr>
            <w:tcW w:type="dxa" w:w="1409"/>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Decoded</w:t>
            </w:r>
          </w:p>
        </w:tc>
        <w:tc>
          <w:tcPr>
            <w:tcW w:type="dxa" w:w="1409"/>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Duplicate groups</w:t>
            </w:r>
          </w:p>
        </w:tc>
        <w:tc>
          <w:tcPr>
            <w:tcW w:type="dxa" w:w="1409"/>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Quarantined</w:t>
            </w:r>
          </w:p>
        </w:tc>
        <w:tc>
          <w:tcPr>
            <w:tcW w:type="dxa" w:w="1409"/>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Train</w:t>
            </w:r>
          </w:p>
        </w:tc>
        <w:tc>
          <w:tcPr>
            <w:tcW w:type="dxa" w:w="1409"/>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Validation</w:t>
            </w:r>
          </w:p>
        </w:tc>
        <w:tc>
          <w:tcPr>
            <w:tcW w:type="dxa" w:w="1409"/>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Test</w:t>
            </w:r>
          </w:p>
        </w:tc>
      </w:tr>
      <w:tr>
        <w:trPr>
          <w:cantSplit w:val="true"/>
        </w:trPr>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60000</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9</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10</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44995</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5000</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9995</w:t>
            </w:r>
          </w:p>
        </w:tc>
      </w:tr>
      <w:tr>
        <w:trPr>
          <w:cantSplit w:val="true"/>
        </w:trPr>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27000</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5</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18900</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4050</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4050</w:t>
            </w:r>
          </w:p>
        </w:tc>
      </w:tr>
      <w:tr>
        <w:trPr>
          <w:cantSplit w:val="true"/>
        </w:trPr>
        <w:tc>
          <w:tcPr>
            <w:tcW w:type="dxa" w:w="1409"/>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pathmnist</w:t>
            </w:r>
          </w:p>
        </w:tc>
        <w:tc>
          <w:tcPr>
            <w:tcW w:type="dxa" w:w="1409"/>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107180</w:t>
            </w:r>
          </w:p>
        </w:tc>
        <w:tc>
          <w:tcPr>
            <w:tcW w:type="dxa" w:w="1409"/>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3</w:t>
            </w:r>
          </w:p>
        </w:tc>
        <w:tc>
          <w:tcPr>
            <w:tcW w:type="dxa" w:w="1409"/>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9</w:t>
            </w:r>
          </w:p>
        </w:tc>
        <w:tc>
          <w:tcPr>
            <w:tcW w:type="dxa" w:w="1409"/>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89991</w:t>
            </w:r>
          </w:p>
        </w:tc>
        <w:tc>
          <w:tcPr>
            <w:tcW w:type="dxa" w:w="1409"/>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10001</w:t>
            </w:r>
          </w:p>
        </w:tc>
        <w:tc>
          <w:tcPr>
            <w:tcW w:type="dxa" w:w="1409"/>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7179</w:t>
            </w:r>
          </w:p>
        </w:tc>
      </w:tr>
    </w:tbl>
    <w:p>
      <w:pPr>
        <w:sectPr>
          <w:type w:val="continuous"/>
          <w:pgSz w:w="11906" w:h="15817"/>
          <w:pgMar w:top="677" w:right="1020" w:bottom="691" w:left="1020" w:header="720" w:footer="720" w:gutter="0"/>
          <w:cols w:space="0" w:num="1"/>
          <w:docGrid w:linePitch="360"/>
        </w:sectPr>
      </w:pPr>
    </w:p>
    <w:p>
      <w:pPr>
        <w:sectPr>
          <w:type w:val="continuous"/>
          <w:pgSz w:w="11906" w:h="15817"/>
          <w:pgMar w:top="677" w:right="1020" w:bottom="691" w:left="1020" w:header="720" w:footer="720" w:gutter="0"/>
          <w:cols w:space="300" w:num="2"/>
          <w:docGrid w:linePitch="360"/>
        </w:sectPr>
      </w:pPr>
    </w:p>
    <w:p>
      <w:pPr>
        <w:jc w:val="center"/>
      </w:pPr>
      <w:r>
        <w:drawing>
          <wp:inline xmlns:a="http://schemas.openxmlformats.org/drawingml/2006/main" xmlns:pic="http://schemas.openxmlformats.org/drawingml/2006/picture">
            <wp:extent cx="6080760" cy="2099488"/>
            <wp:docPr id="1" name="Picture 1" title="Figure 1 Representative samples generated by the reproducible analysis notebook" descr="Figure 1 Representative samples generated by the reproducible analysis notebook"/>
            <wp:cNvGraphicFramePr>
              <a:graphicFrameLocks noChangeAspect="1"/>
            </wp:cNvGraphicFramePr>
            <a:graphic>
              <a:graphicData uri="http://schemas.openxmlformats.org/drawingml/2006/picture">
                <pic:pic>
                  <pic:nvPicPr>
                    <pic:cNvPr id="0" name="figure_02_dataset_samples.png"/>
                    <pic:cNvPicPr/>
                  </pic:nvPicPr>
                  <pic:blipFill>
                    <a:blip r:embed="rId12"/>
                    <a:stretch>
                      <a:fillRect/>
                    </a:stretch>
                  </pic:blipFill>
                  <pic:spPr>
                    <a:xfrm>
                      <a:off x="0" y="0"/>
                      <a:ext cx="6080760" cy="2099488"/>
                    </a:xfrm>
                    <a:prstGeom prst="rect"/>
                  </pic:spPr>
                </pic:pic>
              </a:graphicData>
            </a:graphic>
          </wp:inline>
        </w:drawing>
      </w:r>
    </w:p>
    <w:p>
      <w:pPr>
        <w:keepLines/>
        <w:spacing w:after="80"/>
        <w:jc w:val="center"/>
      </w:pPr>
      <w:r>
        <w:rPr>
          <w:rFonts w:ascii="Arial Narrow" w:hAnsi="Arial Narrow"/>
          <w:b/>
          <w:sz w:val="17"/>
        </w:rPr>
        <w:t xml:space="preserve">Figure 1 </w:t>
      </w:r>
      <w:r>
        <w:rPr>
          <w:rFonts w:ascii="Times New Roman" w:hAnsi="Times New Roman"/>
          <w:sz w:val="17"/>
        </w:rPr>
        <w:t>Representative samples generated by the reproducible analysis notebook</w:t>
      </w:r>
    </w:p>
    <w:p>
      <w:pPr>
        <w:sectPr>
          <w:type w:val="continuous"/>
          <w:pgSz w:w="11906" w:h="15817"/>
          <w:pgMar w:top="677" w:right="1020" w:bottom="691" w:left="1020" w:header="720" w:footer="720" w:gutter="0"/>
          <w:cols w:space="0" w:num="1"/>
          <w:docGrid w:linePitch="360"/>
        </w:sectPr>
      </w:pPr>
    </w:p>
    <w:p>
      <w:pPr>
        <w:pStyle w:val="Heading2"/>
      </w:pPr>
      <w:r>
        <w:t>2.2 Frozen representation and compression</w:t>
      </w:r>
    </w:p>
    <w:p>
      <w:pPr>
        <w:spacing w:line="240" w:lineRule="auto" w:after="60"/>
        <w:ind w:firstLine="360"/>
      </w:pPr>
      <w:r>
        <w:rPr>
          <w:rFonts w:ascii="Times New Roman" w:hAnsi="Times New Roman"/>
          <w:sz w:val="20"/>
        </w:rPr>
        <w:t xml:space="preserve">Every image was converted to RGB, resized deterministically to 224 by 224 pixels using bicubic interpolation, normalized with ImageNet statistics, and processed once by frozen DINOv2 ViT-S/14 </w:t>
      </w:r>
      <w:r>
        <w:fldChar w:fldCharType="begin" w:dirty="true"/>
      </w:r>
      <w:r>
        <w:instrText xml:space="preserve"> ADDIN CSL_CITATION {"citationItems":[{"id":"DINOV2-2024"}],"properties":{"formattedCitation":"(Oquab et al 2024)","plainCitation":"(Oquab et al 2024)","noteIndex":0},"schema":"https://github.com/citation-style-language/schema/raw/master/csl-citation.json"} </w:instrText>
      </w:r>
      <w:r>
        <w:fldChar w:fldCharType="separate"/>
      </w:r>
      <w:r>
        <w:rPr>
          <w:rFonts w:ascii="Times New Roman" w:hAnsi="Times New Roman"/>
          <w:sz w:val="20"/>
        </w:rPr>
        <w:t>(Oquab et al 2024)</w:t>
      </w:r>
      <w:r>
        <w:fldChar w:fldCharType="end"/>
      </w:r>
      <w:r>
        <w:rPr>
          <w:rFonts w:ascii="Times New Roman" w:hAnsi="Times New Roman"/>
          <w:sz w:val="20"/>
        </w:rPr>
        <w:t>. The 384D normalized CLS token was cached as float32. No image augmentation or encoder fine-tuning was used, ensuring that the only experimental factor before classification was the reducer.</w:t>
      </w:r>
    </w:p>
    <w:p>
      <w:pPr>
        <w:spacing w:line="240" w:lineRule="auto" w:after="60"/>
        <w:ind w:firstLine="360"/>
      </w:pPr>
      <w:r>
        <w:rPr>
          <w:rFonts w:ascii="Times New Roman" w:hAnsi="Times New Roman"/>
          <w:sz w:val="20"/>
        </w:rPr>
        <w:t xml:space="preserve">PCA-6 represented unsupervised variance preservation; LDA-6 represented supervised linear discrimination; NCA-6 represented supervised metric learning </w:t>
      </w:r>
      <w:r>
        <w:fldChar w:fldCharType="begin" w:dirty="true"/>
      </w:r>
      <w:r>
        <w:instrText xml:space="preserve"> ADDIN CSL_CITATION {"citationItems":[{"id":"GOLDBERGER-2004"}],"properties":{"formattedCitation":"(Goldberger et al 2004)","plainCitation":"(Goldberger et al 2004)","noteIndex":0},"schema":"https://github.com/citation-style-language/schema/raw/master/csl-citation.json"} </w:instrText>
      </w:r>
      <w:r>
        <w:fldChar w:fldCharType="separate"/>
      </w:r>
      <w:r>
        <w:rPr>
          <w:rFonts w:ascii="Times New Roman" w:hAnsi="Times New Roman"/>
          <w:sz w:val="20"/>
        </w:rPr>
        <w:t>(Goldberger et al 2004)</w:t>
      </w:r>
      <w:r>
        <w:fldChar w:fldCharType="end"/>
      </w:r>
      <w:r>
        <w:rPr>
          <w:rFonts w:ascii="Times New Roman" w:hAnsi="Times New Roman"/>
          <w:sz w:val="20"/>
        </w:rPr>
        <w:t>; and SLP-6 used a learned 384-to-6 tanh bottleneck whose temporary classification layer was discarded. Each reducer was fitted on training data only. A second training-fitted standardizer mapped every reduced coordinate to an angle-compatible range.</w:t>
      </w:r>
    </w:p>
    <w:p>
      <w:pPr>
        <w:jc w:val="center"/>
      </w:pPr>
      <m:oMathPara>
        <m:oMath>
          <m:r>
            <m:t>x̃ⱼ = π tanh(zⱼ)</m:t>
          </m:r>
        </m:oMath>
      </m:oMathPara>
    </w:p>
    <w:p>
      <w:pPr>
        <w:sectPr>
          <w:type w:val="continuous"/>
          <w:pgSz w:w="11906" w:h="15817"/>
          <w:pgMar w:top="677" w:right="1020" w:bottom="691" w:left="1020" w:header="720" w:footer="720" w:gutter="0"/>
          <w:cols w:space="300" w:num="2"/>
          <w:docGrid w:linePitch="360"/>
        </w:sectPr>
      </w:pPr>
    </w:p>
    <w:p>
      <w:pPr>
        <w:jc w:val="center"/>
      </w:pPr>
      <w:r>
        <w:drawing>
          <wp:inline xmlns:a="http://schemas.openxmlformats.org/drawingml/2006/main" xmlns:pic="http://schemas.openxmlformats.org/drawingml/2006/picture">
            <wp:extent cx="6080760" cy="3122552"/>
            <wp:docPr id="2" name="Picture 2" title="Figure 2 Controlled reducer-by-head factorial design; editable source prepared in draw.io" descr="Figure 2 Controlled reducer-by-head factorial design; editable source prepared in draw.io"/>
            <wp:cNvGraphicFramePr>
              <a:graphicFrameLocks noChangeAspect="1"/>
            </wp:cNvGraphicFramePr>
            <a:graphic>
              <a:graphicData uri="http://schemas.openxmlformats.org/drawingml/2006/picture">
                <pic:pic>
                  <pic:nvPicPr>
                    <pic:cNvPr id="0" name="figure_01_pipeline.png"/>
                    <pic:cNvPicPr/>
                  </pic:nvPicPr>
                  <pic:blipFill>
                    <a:blip r:embed="rId13"/>
                    <a:stretch>
                      <a:fillRect/>
                    </a:stretch>
                  </pic:blipFill>
                  <pic:spPr>
                    <a:xfrm>
                      <a:off x="0" y="0"/>
                      <a:ext cx="6080760" cy="3122552"/>
                    </a:xfrm>
                    <a:prstGeom prst="rect"/>
                  </pic:spPr>
                </pic:pic>
              </a:graphicData>
            </a:graphic>
          </wp:inline>
        </w:drawing>
      </w:r>
    </w:p>
    <w:p>
      <w:pPr>
        <w:keepLines/>
        <w:spacing w:after="80"/>
        <w:jc w:val="center"/>
      </w:pPr>
      <w:r>
        <w:rPr>
          <w:rFonts w:ascii="Arial Narrow" w:hAnsi="Arial Narrow"/>
          <w:b/>
          <w:sz w:val="17"/>
        </w:rPr>
        <w:t xml:space="preserve">Figure 2 </w:t>
      </w:r>
      <w:r>
        <w:rPr>
          <w:rFonts w:ascii="Times New Roman" w:hAnsi="Times New Roman"/>
          <w:sz w:val="17"/>
        </w:rPr>
        <w:t>Controlled reducer-by-head factorial design; editable source prepared in draw.io</w:t>
      </w:r>
    </w:p>
    <w:p>
      <w:pPr>
        <w:sectPr>
          <w:type w:val="continuous"/>
          <w:pgSz w:w="11906" w:h="15817"/>
          <w:pgMar w:top="677" w:right="1020" w:bottom="691" w:left="1020" w:header="720" w:footer="720" w:gutter="0"/>
          <w:cols w:space="0" w:num="1"/>
          <w:docGrid w:linePitch="360"/>
        </w:sectPr>
      </w:pPr>
    </w:p>
    <w:p>
      <w:pPr>
        <w:pStyle w:val="Heading2"/>
      </w:pPr>
      <w:r>
        <w:t>2.3 Classical and quantum heads</w:t>
      </w:r>
    </w:p>
    <w:p>
      <w:pPr>
        <w:spacing w:line="240" w:lineRule="auto" w:after="60"/>
        <w:ind w:firstLine="360"/>
      </w:pPr>
      <w:r>
        <w:rPr>
          <w:rFonts w:ascii="Times New Roman" w:hAnsi="Times New Roman"/>
          <w:sz w:val="20"/>
        </w:rPr>
        <w:t>All four heads received exactly the same scaled six-dimensional vectors. Logistic regression and RBF-SVM provided linear and nonlinear classical references. The MLP comprised a bias-free 6-to-6 hidden layer, tanh activation, and a 6-to-C output layer. The VQC used six qubits and two data-reuploading layers; each layer applied RY input encoding, one trainable Rot gate per qubit, and ring CNOT entanglement before six Pauli-Z expectation values were passed to a 6-to-C linear output.</w:t>
      </w:r>
    </w:p>
    <w:p>
      <w:pPr>
        <w:jc w:val="center"/>
      </w:pPr>
      <m:oMathPara>
        <m:oMath>
          <m:r>
            <m:t>Pᵥᵩ꜀ = 6 × 3 × 2 + 6C + C = 36 + 7C</m:t>
          </m:r>
        </m:oMath>
      </m:oMathPara>
    </w:p>
    <w:p>
      <w:pPr>
        <w:spacing w:line="240" w:lineRule="auto" w:after="60"/>
        <w:ind w:firstLine="360"/>
      </w:pPr>
      <w:r>
        <w:rPr>
          <w:rFonts w:ascii="Times New Roman" w:hAnsi="Times New Roman"/>
          <w:sz w:val="20"/>
        </w:rPr>
        <w:t>The MLP parameter count is 6 x 6 + 6C + C, exactly matching the VQC at 106 trainable parameters for ten-class datasets and 99 for PathMNIST. This parity prevents model capacity from becoming an uncontrolled explanation for a classical-quantum difference.</w:t>
      </w:r>
    </w:p>
    <w:p>
      <w:pPr>
        <w:pStyle w:val="Heading2"/>
      </w:pPr>
      <w:r>
        <w:t>2.4 Selection, test isolation, and statistics</w:t>
      </w:r>
    </w:p>
    <w:p>
      <w:pPr>
        <w:spacing w:line="240" w:lineRule="auto" w:after="60"/>
        <w:ind w:firstLine="360"/>
      </w:pPr>
      <w:r>
        <w:rPr>
          <w:rFonts w:ascii="Times New Roman" w:hAnsi="Times New Roman"/>
          <w:sz w:val="20"/>
        </w:rPr>
        <w:t>Each final seed selected a stratified 150 examples per class from training data, while a single balanced validation set contained 100 examples per class. Hyperparameters were selected with pilot seed 2026 by validation macro-F1, with validation negative log-likelihood as tie-breaker. The selected settings and data hashes were frozen before any test-label access. Final seeds were 11, 22, 33, 44, 55, 66, 77, 88, 99, and 111.</w:t>
      </w:r>
    </w:p>
    <w:p>
      <w:pPr>
        <w:spacing w:line="240" w:lineRule="auto" w:after="60"/>
        <w:ind w:firstLine="360"/>
      </w:pPr>
      <w:r>
        <w:rPr>
          <w:rFonts w:ascii="Times New Roman" w:hAnsi="Times New Roman"/>
          <w:sz w:val="20"/>
        </w:rPr>
        <w:t xml:space="preserve">Macro-F1 was the primary endpoint. Secondary endpoints were balanced accuracy, accuracy, MCC, macro precision and recall, one-vs-rest macro ROC-AUC, NLL, expected calibration error, multiclass Brier score, fit time, and inference time. Reducer effects were tested with Friedman tests followed by planned Wilcoxon signed-rank comparisons and Holm correction </w:t>
      </w:r>
      <w:r>
        <w:fldChar w:fldCharType="begin" w:dirty="true"/>
      </w:r>
      <w:r>
        <w:instrText xml:space="preserve"> ADDIN CSL_CITATION {"citationItems":[{"id":"DEMSAR-2006"},{"id":"HOLM-1979"}],"properties":{"formattedCitation":"(Demsar 2006; Holm 1979)","plainCitation":"(Demsar 2006; Holm 1979)","noteIndex":0},"schema":"https://github.com/citation-style-language/schema/raw/master/csl-citation.json"} </w:instrText>
      </w:r>
      <w:r>
        <w:fldChar w:fldCharType="separate"/>
      </w:r>
      <w:r>
        <w:rPr>
          <w:rFonts w:ascii="Times New Roman" w:hAnsi="Times New Roman"/>
          <w:sz w:val="20"/>
        </w:rPr>
        <w:t>(Demsar 2006; Holm 1979)</w:t>
      </w:r>
      <w:r>
        <w:fldChar w:fldCharType="end"/>
      </w:r>
      <w:r>
        <w:rPr>
          <w:rFonts w:ascii="Times New Roman" w:hAnsi="Times New Roman"/>
          <w:sz w:val="20"/>
        </w:rPr>
        <w:t xml:space="preserve">. Paired model gaps and compression penalties used 10,000 bootstrap resamples over seed differences </w:t>
      </w:r>
      <w:r>
        <w:fldChar w:fldCharType="begin" w:dirty="true"/>
      </w:r>
      <w:r>
        <w:instrText xml:space="preserve"> ADDIN CSL_CITATION {"citationItems":[{"id":"EFRON-TIBSHIRANI-1993"}],"properties":{"formattedCitation":"(Efron and Tibshirani 1993)","plainCitation":"(Efron and Tibshirani 1993)","noteIndex":0},"schema":"https://github.com/citation-style-language/schema/raw/master/csl-citation.json"} </w:instrText>
      </w:r>
      <w:r>
        <w:fldChar w:fldCharType="separate"/>
      </w:r>
      <w:r>
        <w:rPr>
          <w:rFonts w:ascii="Times New Roman" w:hAnsi="Times New Roman"/>
          <w:sz w:val="20"/>
        </w:rPr>
        <w:t>(Efron and Tibshirani 1993)</w:t>
      </w:r>
      <w:r>
        <w:fldChar w:fldCharType="end"/>
      </w:r>
      <w:r>
        <w:rPr>
          <w:rFonts w:ascii="Times New Roman" w:hAnsi="Times New Roman"/>
          <w:sz w:val="20"/>
        </w:rPr>
        <w:t>. Datasets were summarized separately rather than pooled as pseudo-independent replicates.</w:t>
      </w:r>
    </w:p>
    <w:p>
      <w:pPr>
        <w:jc w:val="center"/>
      </w:pPr>
      <m:oMathPara>
        <m:oMath>
          <m:r>
            <m:t>Δcompression(r) = F1RBF-384 - F1RBF-6,r</m:t>
          </m:r>
        </m:oMath>
      </m:oMathPara>
    </w:p>
    <w:p>
      <w:pPr>
        <w:jc w:val="center"/>
      </w:pPr>
      <m:oMathPara>
        <m:oMath>
          <m:r>
            <m:t>ΔVQC-MLP(r) = F1VQC,r - F1MLP,r</m:t>
          </m:r>
        </m:oMath>
      </m:oMathPara>
    </w:p>
    <w:p>
      <w:pPr>
        <w:pStyle w:val="Heading1"/>
      </w:pPr>
      <w:r>
        <w:t>3 Results</w:t>
      </w:r>
    </w:p>
    <w:p>
      <w:pPr>
        <w:spacing w:line="240" w:lineRule="auto" w:after="60"/>
        <w:ind w:firstLine="360"/>
      </w:pPr>
      <w:r>
        <w:rPr>
          <w:rFonts w:ascii="Times New Roman" w:hAnsi="Times New Roman"/>
          <w:sz w:val="20"/>
        </w:rPr>
        <w:t>All reported test values were produced after validation-only selection and protocol freezing. Table 3 summarizes the mean and standard deviation across the ten matched seeds. Figure 3 exposes interactions between reducer and head that would be hidden by a single best-model comparison.</w:t>
      </w:r>
    </w:p>
    <w:p>
      <w:pPr>
        <w:sectPr>
          <w:type w:val="continuous"/>
          <w:pgSz w:w="11906" w:h="15817"/>
          <w:pgMar w:top="677" w:right="1020" w:bottom="691" w:left="1020" w:header="720" w:footer="720" w:gutter="0"/>
          <w:cols w:space="300" w:num="2"/>
          <w:docGrid w:linePitch="360"/>
        </w:sectPr>
      </w:pPr>
    </w:p>
    <w:p>
      <w:pPr>
        <w:keepNext/>
        <w:spacing w:before="100" w:after="60"/>
        <w:jc w:val="left"/>
      </w:pPr>
      <w:r>
        <w:rPr>
          <w:rFonts w:ascii="Arial Narrow" w:hAnsi="Arial Narrow"/>
          <w:b/>
          <w:sz w:val="17"/>
        </w:rPr>
        <w:t>Table 3 Test performance across ten matched seeds</w:t>
      </w:r>
    </w:p>
    <w:tbl>
      <w:tblPr>
        <w:tblW w:type="auto" w:w="0"/>
        <w:jc w:val="left"/>
        <w:tblLayout w:type="autofit"/>
        <w:tblLook w:firstColumn="1" w:firstRow="1" w:lastColumn="0" w:lastRow="0" w:noHBand="0" w:noVBand="1" w:val="04A0"/>
      </w:tblPr>
      <w:tblGrid>
        <w:gridCol w:w="1973"/>
        <w:gridCol w:w="1973"/>
        <w:gridCol w:w="1973"/>
        <w:gridCol w:w="1973"/>
        <w:gridCol w:w="1973"/>
      </w:tblGrid>
      <w:tr>
        <w:trPr>
          <w:tblHeader w:val="true"/>
          <w:cantSplit w:val="true"/>
        </w:trPr>
        <w:tc>
          <w:tcPr>
            <w:tcW w:type="dxa" w:w="197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Dataset</w:t>
            </w:r>
          </w:p>
        </w:tc>
        <w:tc>
          <w:tcPr>
            <w:tcW w:type="dxa" w:w="197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Reducer</w:t>
            </w:r>
          </w:p>
        </w:tc>
        <w:tc>
          <w:tcPr>
            <w:tcW w:type="dxa" w:w="197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Head</w:t>
            </w:r>
          </w:p>
        </w:tc>
        <w:tc>
          <w:tcPr>
            <w:tcW w:type="dxa" w:w="197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Macro-F1 mean +/- SD</w:t>
            </w:r>
          </w:p>
        </w:tc>
        <w:tc>
          <w:tcPr>
            <w:tcW w:type="dxa" w:w="197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Accuracy mean</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0.8985 +/- 0.0155</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0.8989</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0.8812 +/- 0.0153</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0.8815</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0.9003 +/- 0.0154</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0.9004</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0.6649 +/- 0.0320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0.6647</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0.9326 +/- 0.0023</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0.9326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0.9191 +/- 0.0038</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0.9196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0.9381 +/- 0.0028</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0.9381</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0.5296 +/- 0.0385</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0.5366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0.8630 +/- 0.0052</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0.8637</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0.8493 +/- 0.0065</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0.8516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0.8782 +/- 0.0064</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0.8781</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0.5261 +/- 0.0424</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0.5372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0.9455 +/- 0.0033</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0.9456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0.9336 +/- 0.0049</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0.9336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0.9434 +/- 0.0033</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0.9434</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0.8555 +/- 0.0158</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0.8539</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0.8460 +/- 0.0061</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0.8565</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0.8154 +/- 0.0124</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0.8275</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0.8476 +/- 0.0083</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0.8578</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0.4970 +/- 0.0405</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0.5063</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0.8409 +/- 0.0059</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0.8482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0.8246 +/- 0.0082</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0.8329</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0.8517 +/- 0.0071</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0.8588</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0.3241 +/- 0.0360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0.3454</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0.7532 +/- 0.0058</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0.7687</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0.7388 +/- 0.0120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0.7566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0.7664 +/- 0.0062</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0.7800</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0.3357 +/- 0.0342</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0.3671</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0.8862 +/- 0.0062</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0.8905</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0.8694 +/- 0.0093</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0.8736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0.8790 +/- 0.0079</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0.8833</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0.7522 +/- 0.0118</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0.7539</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0.7710 +/- 0.0173</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0.8261</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0.7484 +/- 0.0236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0.8034</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0.7774 +/- 0.0153</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0.8345</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0.3871 +/- 0.0554</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0.3961</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0.7706 +/- 0.0271</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0.8136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0.7420 +/- 0.0316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0.7850</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0.7694 +/- 0.0266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0.8141</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0.3313 +/- 0.0435</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0.3770</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0.7021 +/- 0.0217</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0.7427</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0.6849 +/- 0.0194</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0.7295</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0.7092 +/- 0.0120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0.7517</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0.3369 +/- 0.0450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0.3856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0.7946 +/- 0.0289</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0.8436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0.7789 +/- 0.0296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0.8297</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0.7950 +/- 0.0261</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0.8436</w:t>
            </w:r>
          </w:p>
        </w:tc>
      </w:tr>
      <w:tr>
        <w:trPr>
          <w:cantSplit w:val="true"/>
        </w:trPr>
        <w:tc>
          <w:tcPr>
            <w:tcW w:type="dxa" w:w="197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0.6512 +/- 0.0327</w:t>
            </w:r>
          </w:p>
        </w:tc>
        <w:tc>
          <w:tcPr>
            <w:tcW w:type="dxa" w:w="197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0.6993</w:t>
            </w:r>
          </w:p>
        </w:tc>
      </w:tr>
    </w:tbl>
    <w:p>
      <w:pPr>
        <w:sectPr>
          <w:type w:val="continuous"/>
          <w:pgSz w:w="11906" w:h="15817"/>
          <w:pgMar w:top="677" w:right="1020" w:bottom="691" w:left="1020" w:header="720" w:footer="720" w:gutter="0"/>
          <w:cols w:space="0" w:num="1"/>
          <w:docGrid w:linePitch="360"/>
        </w:sectPr>
      </w:pPr>
    </w:p>
    <w:p>
      <w:pPr>
        <w:sectPr>
          <w:type w:val="continuous"/>
          <w:pgSz w:w="11906" w:h="15817"/>
          <w:pgMar w:top="677" w:right="1020" w:bottom="691" w:left="1020" w:header="720" w:footer="720" w:gutter="0"/>
          <w:cols w:space="300" w:num="2"/>
          <w:docGrid w:linePitch="360"/>
        </w:sectPr>
      </w:pPr>
    </w:p>
    <w:p>
      <w:pPr>
        <w:jc w:val="center"/>
      </w:pPr>
      <w:r>
        <w:drawing>
          <wp:inline xmlns:a="http://schemas.openxmlformats.org/drawingml/2006/main" xmlns:pic="http://schemas.openxmlformats.org/drawingml/2006/picture">
            <wp:extent cx="6080760" cy="1726408"/>
            <wp:docPr id="3" name="Picture 3" title="Figure 3 Mean test macro-F1 for each controlled reducer-head condition" descr="Figure 3 Mean test macro-F1 for each controlled reducer-head condition"/>
            <wp:cNvGraphicFramePr>
              <a:graphicFrameLocks noChangeAspect="1"/>
            </wp:cNvGraphicFramePr>
            <a:graphic>
              <a:graphicData uri="http://schemas.openxmlformats.org/drawingml/2006/picture">
                <pic:pic>
                  <pic:nvPicPr>
                    <pic:cNvPr id="0" name="figure_03_macro_f1_heatmap.png"/>
                    <pic:cNvPicPr/>
                  </pic:nvPicPr>
                  <pic:blipFill>
                    <a:blip r:embed="rId14"/>
                    <a:stretch>
                      <a:fillRect/>
                    </a:stretch>
                  </pic:blipFill>
                  <pic:spPr>
                    <a:xfrm>
                      <a:off x="0" y="0"/>
                      <a:ext cx="6080760" cy="1726408"/>
                    </a:xfrm>
                    <a:prstGeom prst="rect"/>
                  </pic:spPr>
                </pic:pic>
              </a:graphicData>
            </a:graphic>
          </wp:inline>
        </w:drawing>
      </w:r>
    </w:p>
    <w:p>
      <w:pPr>
        <w:keepLines/>
        <w:spacing w:after="80"/>
        <w:jc w:val="center"/>
      </w:pPr>
      <w:r>
        <w:rPr>
          <w:rFonts w:ascii="Arial Narrow" w:hAnsi="Arial Narrow"/>
          <w:b/>
          <w:sz w:val="17"/>
        </w:rPr>
        <w:t xml:space="preserve">Figure 3 </w:t>
      </w:r>
      <w:r>
        <w:rPr>
          <w:rFonts w:ascii="Times New Roman" w:hAnsi="Times New Roman"/>
          <w:sz w:val="17"/>
        </w:rPr>
        <w:t>Mean test macro-F1 for each controlled reducer-head condition</w:t>
      </w:r>
    </w:p>
    <w:p>
      <w:pPr>
        <w:sectPr>
          <w:type w:val="continuous"/>
          <w:pgSz w:w="11906" w:h="15817"/>
          <w:pgMar w:top="677" w:right="1020" w:bottom="691" w:left="1020" w:header="720" w:footer="720" w:gutter="0"/>
          <w:cols w:space="0" w:num="1"/>
          <w:docGrid w:linePitch="360"/>
        </w:sectPr>
      </w:pPr>
    </w:p>
    <w:p>
      <w:pPr>
        <w:pStyle w:val="Heading2"/>
      </w:pPr>
      <w:r>
        <w:t>3.1 Compression and head effects</w:t>
      </w:r>
    </w:p>
    <w:p>
      <w:pPr>
        <w:spacing w:line="240" w:lineRule="auto" w:after="60"/>
        <w:ind w:firstLine="360"/>
      </w:pPr>
      <w:r>
        <w:rPr>
          <w:rFonts w:ascii="Times New Roman" w:hAnsi="Times New Roman"/>
          <w:sz w:val="20"/>
        </w:rPr>
        <w:t>The mean absolute matched VQC-MLP gap was 0.2995, at least as large as the mean absolute compression penalty of 0.0773.</w:t>
      </w:r>
    </w:p>
    <w:p>
      <w:pPr>
        <w:sectPr>
          <w:type w:val="continuous"/>
          <w:pgSz w:w="11906" w:h="15817"/>
          <w:pgMar w:top="677" w:right="1020" w:bottom="691" w:left="1020" w:header="720" w:footer="720" w:gutter="0"/>
          <w:cols w:space="300" w:num="2"/>
          <w:docGrid w:linePitch="360"/>
        </w:sectPr>
      </w:pPr>
    </w:p>
    <w:p>
      <w:pPr>
        <w:keepNext/>
        <w:spacing w:before="100" w:after="60"/>
        <w:jc w:val="left"/>
      </w:pPr>
      <w:r>
        <w:rPr>
          <w:rFonts w:ascii="Arial Narrow" w:hAnsi="Arial Narrow"/>
          <w:b/>
          <w:sz w:val="17"/>
        </w:rPr>
        <w:t>Table 4 Compression penalty relative to the full-space RBF reference</w:t>
      </w:r>
    </w:p>
    <w:tbl>
      <w:tblPr>
        <w:tblW w:type="auto" w:w="0"/>
        <w:jc w:val="left"/>
        <w:tblLayout w:type="autofit"/>
        <w:tblLook w:firstColumn="1" w:firstRow="1" w:lastColumn="0" w:lastRow="0" w:noHBand="0" w:noVBand="1" w:val="04A0"/>
      </w:tblPr>
      <w:tblGrid>
        <w:gridCol w:w="1644"/>
        <w:gridCol w:w="1644"/>
        <w:gridCol w:w="1644"/>
        <w:gridCol w:w="1644"/>
        <w:gridCol w:w="1644"/>
        <w:gridCol w:w="1644"/>
      </w:tblGrid>
      <w:tr>
        <w:trPr>
          <w:tblHeader w:val="true"/>
          <w:cantSplit w:val="true"/>
        </w:trPr>
        <w:tc>
          <w:tcPr>
            <w:tcW w:type="dxa" w:w="1644"/>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Dataset</w:t>
            </w:r>
          </w:p>
        </w:tc>
        <w:tc>
          <w:tcPr>
            <w:tcW w:type="dxa" w:w="1644"/>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Reducer</w:t>
            </w:r>
          </w:p>
        </w:tc>
        <w:tc>
          <w:tcPr>
            <w:tcW w:type="dxa" w:w="1644"/>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RBF 384D</w:t>
            </w:r>
          </w:p>
        </w:tc>
        <w:tc>
          <w:tcPr>
            <w:tcW w:type="dxa" w:w="1644"/>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RBF 6D</w:t>
            </w:r>
          </w:p>
        </w:tc>
        <w:tc>
          <w:tcPr>
            <w:tcW w:type="dxa" w:w="1644"/>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Penalty</w:t>
            </w:r>
          </w:p>
        </w:tc>
        <w:tc>
          <w:tcPr>
            <w:tcW w:type="dxa" w:w="1644"/>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95% CI</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0.9647</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0.8782</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0.0865</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[0.0834, 0.0899]</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0.9647</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0.9003</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0.0644</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[0.0552, 0.0740]</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0.9647</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0.9381</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0.0266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[0.0248, 0.0282]</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0.9647</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0.9434</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0.0213</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[0.0193, 0.0232]</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0.9314</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0.7664</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0.1650</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[0.1608, 0.1690]</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0.9314</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0.8476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0.0837</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[0.0790, 0.0893]</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0.9314</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0.8517</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0.0797</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[0.0753, 0.0840]</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0.9314</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0.8790</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0.0523</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[0.0475, 0.0578]</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0.8497</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0.7092</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0.1405</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[0.1311, 0.1485]</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0.8497</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0.7774</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0.0723</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[0.0645, 0.0806]</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0.8497</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0.7694</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0.0803</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[0.0651, 0.0936]</w:t>
            </w:r>
          </w:p>
        </w:tc>
      </w:tr>
      <w:tr>
        <w:trPr>
          <w:cantSplit w:val="true"/>
        </w:trPr>
        <w:tc>
          <w:tcPr>
            <w:tcW w:type="dxa" w:w="1644"/>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pathmnist</w:t>
            </w:r>
          </w:p>
        </w:tc>
        <w:tc>
          <w:tcPr>
            <w:tcW w:type="dxa" w:w="1644"/>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slp6</w:t>
            </w:r>
          </w:p>
        </w:tc>
        <w:tc>
          <w:tcPr>
            <w:tcW w:type="dxa" w:w="1644"/>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0.8497</w:t>
            </w:r>
          </w:p>
        </w:tc>
        <w:tc>
          <w:tcPr>
            <w:tcW w:type="dxa" w:w="1644"/>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0.7950</w:t>
            </w:r>
          </w:p>
        </w:tc>
        <w:tc>
          <w:tcPr>
            <w:tcW w:type="dxa" w:w="1644"/>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0.0547</w:t>
            </w:r>
          </w:p>
        </w:tc>
        <w:tc>
          <w:tcPr>
            <w:tcW w:type="dxa" w:w="1644"/>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[0.0373, 0.0697]</w:t>
            </w:r>
          </w:p>
        </w:tc>
      </w:tr>
    </w:tbl>
    <w:p>
      <w:pPr>
        <w:sectPr>
          <w:type w:val="continuous"/>
          <w:pgSz w:w="11906" w:h="15817"/>
          <w:pgMar w:top="677" w:right="1020" w:bottom="691" w:left="1020" w:header="720" w:footer="720" w:gutter="0"/>
          <w:cols w:space="0" w:num="1"/>
          <w:docGrid w:linePitch="360"/>
        </w:sectPr>
      </w:pPr>
    </w:p>
    <w:p>
      <w:pPr>
        <w:sectPr>
          <w:type w:val="continuous"/>
          <w:pgSz w:w="11906" w:h="15817"/>
          <w:pgMar w:top="677" w:right="1020" w:bottom="691" w:left="1020" w:header="720" w:footer="720" w:gutter="0"/>
          <w:cols w:space="300" w:num="2"/>
          <w:docGrid w:linePitch="360"/>
        </w:sectPr>
      </w:pPr>
    </w:p>
    <w:p>
      <w:pPr>
        <w:keepNext/>
        <w:spacing w:before="100" w:after="60"/>
        <w:jc w:val="left"/>
      </w:pPr>
      <w:r>
        <w:rPr>
          <w:rFonts w:ascii="Arial Narrow" w:hAnsi="Arial Narrow"/>
          <w:b/>
          <w:sz w:val="17"/>
        </w:rPr>
        <w:t>Table 5 Matched quantum-classical head differences across ten paired seeds</w:t>
      </w:r>
    </w:p>
    <w:tbl>
      <w:tblPr>
        <w:tblW w:type="auto" w:w="0"/>
        <w:jc w:val="left"/>
        <w:tblLayout w:type="autofit"/>
        <w:tblLook w:firstColumn="1" w:firstRow="1" w:lastColumn="0" w:lastRow="0" w:noHBand="0" w:noVBand="1" w:val="04A0"/>
      </w:tblPr>
      <w:tblGrid>
        <w:gridCol w:w="1973"/>
        <w:gridCol w:w="1973"/>
        <w:gridCol w:w="1973"/>
        <w:gridCol w:w="1973"/>
        <w:gridCol w:w="1973"/>
      </w:tblGrid>
      <w:tr>
        <w:trPr>
          <w:tblHeader w:val="true"/>
          <w:cantSplit w:val="true"/>
        </w:trPr>
        <w:tc>
          <w:tcPr>
            <w:tcW w:type="dxa" w:w="197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Dataset</w:t>
            </w:r>
          </w:p>
        </w:tc>
        <w:tc>
          <w:tcPr>
            <w:tcW w:type="dxa" w:w="197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Reducer</w:t>
            </w:r>
          </w:p>
        </w:tc>
        <w:tc>
          <w:tcPr>
            <w:tcW w:type="dxa" w:w="197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VQC minus MLP</w:t>
            </w:r>
          </w:p>
        </w:tc>
        <w:tc>
          <w:tcPr>
            <w:tcW w:type="dxa" w:w="197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95% paired bootstrap CI</w:t>
            </w:r>
          </w:p>
        </w:tc>
        <w:tc>
          <w:tcPr>
            <w:tcW w:type="dxa" w:w="197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Holm adjusted p</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-0.3232</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[-0.3489, -0.3001]</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-0.2163</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[-0.2360, -0.1972]</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-0.3895</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[-0.4114, -0.3668]</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-0.0781</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[-0.0876, -0.0699]</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-0.4031</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[-0.4212, -0.3846]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-0.3184</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[-0.3398, -0.2982]</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-0.5005</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[-0.5229, -0.4804]</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-0.1172</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[-0.1233, -0.1104]</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-0.3481</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[-0.3704, -0.3264]</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-0.3613</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[-0.3894, -0.3278]</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-0.4107</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[-0.4456, -0.3762]</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-0.1278</w:t>
            </w:r>
          </w:p>
        </w:tc>
        <w:tc>
          <w:tcPr>
            <w:tcW w:type="dxa" w:w="197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[-0.1438, -0.1098]</w:t>
            </w:r>
          </w:p>
        </w:tc>
        <w:tc>
          <w:tcPr>
            <w:tcW w:type="dxa" w:w="197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0.01562</w:t>
            </w:r>
          </w:p>
        </w:tc>
      </w:tr>
    </w:tbl>
    <w:p>
      <w:pPr>
        <w:sectPr>
          <w:type w:val="continuous"/>
          <w:pgSz w:w="11906" w:h="15817"/>
          <w:pgMar w:top="677" w:right="1020" w:bottom="691" w:left="1020" w:header="720" w:footer="720" w:gutter="0"/>
          <w:cols w:space="0" w:num="1"/>
          <w:docGrid w:linePitch="360"/>
        </w:sectPr>
      </w:pPr>
    </w:p>
    <w:p>
      <w:pPr>
        <w:sectPr>
          <w:type w:val="continuous"/>
          <w:pgSz w:w="11906" w:h="15817"/>
          <w:pgMar w:top="677" w:right="1020" w:bottom="691" w:left="1020" w:header="720" w:footer="720" w:gutter="0"/>
          <w:cols w:space="300" w:num="2"/>
          <w:docGrid w:linePitch="360"/>
        </w:sectPr>
      </w:pPr>
    </w:p>
    <w:p>
      <w:pPr>
        <w:keepNext/>
        <w:spacing w:before="100" w:after="60"/>
        <w:jc w:val="left"/>
      </w:pPr>
      <w:r>
        <w:rPr>
          <w:rFonts w:ascii="Arial Narrow" w:hAnsi="Arial Narrow"/>
          <w:b/>
          <w:sz w:val="17"/>
        </w:rPr>
        <w:t>Table 6 Friedman tests of VQC performance across the four reducers</w:t>
      </w:r>
    </w:p>
    <w:tbl>
      <w:tblPr>
        <w:tblW w:type="auto" w:w="0"/>
        <w:jc w:val="left"/>
        <w:tblLayout w:type="autofit"/>
        <w:tblLook w:firstColumn="1" w:firstRow="1" w:lastColumn="0" w:lastRow="0" w:noHBand="0" w:noVBand="1" w:val="04A0"/>
      </w:tblPr>
      <w:tblGrid>
        <w:gridCol w:w="2466"/>
        <w:gridCol w:w="2466"/>
        <w:gridCol w:w="2466"/>
        <w:gridCol w:w="2466"/>
      </w:tblGrid>
      <w:tr>
        <w:trPr>
          <w:tblHeader w:val="true"/>
          <w:cantSplit w:val="true"/>
        </w:trPr>
        <w:tc>
          <w:tcPr>
            <w:tcW w:type="dxa" w:w="246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Dataset</w:t>
            </w:r>
          </w:p>
        </w:tc>
        <w:tc>
          <w:tcPr>
            <w:tcW w:type="dxa" w:w="246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Friedman statistic</w:t>
            </w:r>
          </w:p>
        </w:tc>
        <w:tc>
          <w:tcPr>
            <w:tcW w:type="dxa" w:w="246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p value</w:t>
            </w:r>
          </w:p>
        </w:tc>
        <w:tc>
          <w:tcPr>
            <w:tcW w:type="dxa" w:w="246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Paired seed blocks</w:t>
            </w:r>
          </w:p>
        </w:tc>
      </w:tr>
      <w:tr>
        <w:trPr>
          <w:cantSplit w:val="true"/>
        </w:trPr>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27.120</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5.56e-06</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10</w:t>
            </w:r>
          </w:p>
        </w:tc>
      </w:tr>
      <w:tr>
        <w:trPr>
          <w:cantSplit w:val="true"/>
        </w:trPr>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27.120</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5.56e-06</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10</w:t>
            </w:r>
          </w:p>
        </w:tc>
      </w:tr>
      <w:tr>
        <w:trPr>
          <w:cantSplit w:val="true"/>
        </w:trPr>
        <w:tc>
          <w:tcPr>
            <w:tcW w:type="dxa" w:w="246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pathmnist</w:t>
            </w:r>
          </w:p>
        </w:tc>
        <w:tc>
          <w:tcPr>
            <w:tcW w:type="dxa" w:w="246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27.120</w:t>
            </w:r>
          </w:p>
        </w:tc>
        <w:tc>
          <w:tcPr>
            <w:tcW w:type="dxa" w:w="246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5.56e-06</w:t>
            </w:r>
          </w:p>
        </w:tc>
        <w:tc>
          <w:tcPr>
            <w:tcW w:type="dxa" w:w="246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10</w:t>
            </w:r>
          </w:p>
        </w:tc>
      </w:tr>
    </w:tbl>
    <w:p>
      <w:pPr>
        <w:sectPr>
          <w:type w:val="continuous"/>
          <w:pgSz w:w="11906" w:h="15817"/>
          <w:pgMar w:top="677" w:right="1020" w:bottom="691" w:left="1020" w:header="720" w:footer="720" w:gutter="0"/>
          <w:cols w:space="0" w:num="1"/>
          <w:docGrid w:linePitch="360"/>
        </w:sectPr>
      </w:pPr>
    </w:p>
    <w:p>
      <w:pPr>
        <w:spacing w:line="240" w:lineRule="auto" w:after="60"/>
        <w:ind w:firstLine="360"/>
      </w:pPr>
      <w:r>
        <w:rPr>
          <w:rFonts w:ascii="Times New Roman" w:hAnsi="Times New Roman"/>
          <w:sz w:val="20"/>
        </w:rPr>
        <w:t>Reducer choice affected VQC macro-F1 in all three domains (Friedman statistic 27.12, p = 5.56e-6 for each dataset). Every VQC-minus-MLP contrast was negative, its paired bootstrap confidence interval excluded zero, and its Holm-adjusted Wilcoxon p value was 0.0156. The smallest disadvantage occurred with SLP-6, indicating that the learned supervised bottleneck mitigated, but did not remove, the quantum-head deficit.</w:t>
      </w:r>
    </w:p>
    <w:p>
      <w:pPr>
        <w:sectPr>
          <w:type w:val="continuous"/>
          <w:pgSz w:w="11906" w:h="15817"/>
          <w:pgMar w:top="677" w:right="1020" w:bottom="691" w:left="1020" w:header="720" w:footer="720" w:gutter="0"/>
          <w:cols w:space="300" w:num="2"/>
          <w:docGrid w:linePitch="360"/>
        </w:sectPr>
      </w:pPr>
    </w:p>
    <w:p>
      <w:pPr>
        <w:jc w:val="center"/>
      </w:pPr>
      <w:r>
        <w:drawing>
          <wp:inline xmlns:a="http://schemas.openxmlformats.org/drawingml/2006/main" xmlns:pic="http://schemas.openxmlformats.org/drawingml/2006/picture">
            <wp:extent cx="6080760" cy="2001304"/>
            <wp:docPr id="4" name="Picture 4" title="Figure 4 Compression penalties and matched quantum-head gaps" descr="Figure 4 Compression penalties and matched quantum-head gaps"/>
            <wp:cNvGraphicFramePr>
              <a:graphicFrameLocks noChangeAspect="1"/>
            </wp:cNvGraphicFramePr>
            <a:graphic>
              <a:graphicData uri="http://schemas.openxmlformats.org/drawingml/2006/picture">
                <pic:pic>
                  <pic:nvPicPr>
                    <pic:cNvPr id="0" name="figure_04_compression_and_head_gaps.png"/>
                    <pic:cNvPicPr/>
                  </pic:nvPicPr>
                  <pic:blipFill>
                    <a:blip r:embed="rId15"/>
                    <a:stretch>
                      <a:fillRect/>
                    </a:stretch>
                  </pic:blipFill>
                  <pic:spPr>
                    <a:xfrm>
                      <a:off x="0" y="0"/>
                      <a:ext cx="6080760" cy="2001304"/>
                    </a:xfrm>
                    <a:prstGeom prst="rect"/>
                  </pic:spPr>
                </pic:pic>
              </a:graphicData>
            </a:graphic>
          </wp:inline>
        </w:drawing>
      </w:r>
    </w:p>
    <w:p>
      <w:pPr>
        <w:keepLines/>
        <w:spacing w:after="80"/>
        <w:jc w:val="center"/>
      </w:pPr>
      <w:r>
        <w:rPr>
          <w:rFonts w:ascii="Arial Narrow" w:hAnsi="Arial Narrow"/>
          <w:b/>
          <w:sz w:val="17"/>
        </w:rPr>
        <w:t xml:space="preserve">Figure 4 </w:t>
      </w:r>
      <w:r>
        <w:rPr>
          <w:rFonts w:ascii="Times New Roman" w:hAnsi="Times New Roman"/>
          <w:sz w:val="17"/>
        </w:rPr>
        <w:t>Compression penalties and matched quantum-head gaps</w:t>
      </w:r>
    </w:p>
    <w:p>
      <w:pPr>
        <w:sectPr>
          <w:type w:val="continuous"/>
          <w:pgSz w:w="11906" w:h="15817"/>
          <w:pgMar w:top="677" w:right="1020" w:bottom="691" w:left="1020" w:header="720" w:footer="720" w:gutter="0"/>
          <w:cols w:space="0" w:num="1"/>
          <w:docGrid w:linePitch="360"/>
        </w:sectPr>
      </w:pPr>
    </w:p>
    <w:p>
      <w:pPr>
        <w:pStyle w:val="Heading2"/>
      </w:pPr>
      <w:r>
        <w:t>3.2 Representation geometry and error structure</w:t>
      </w:r>
    </w:p>
    <w:p>
      <w:pPr>
        <w:spacing w:line="240" w:lineRule="auto" w:after="60"/>
        <w:ind w:firstLine="360"/>
      </w:pPr>
      <w:r>
        <w:rPr>
          <w:rFonts w:ascii="Times New Roman" w:hAnsi="Times New Roman"/>
          <w:sz w:val="20"/>
        </w:rPr>
        <w:t>Distance preservation, neighborhood trustworthiness, Fisher separation, and silhouette score were computed on the fixed validation subset. Their association with VQC macro-F1 indicates whether circuit behavior tracks the geometry delivered by the reducer rather than the reducer label alone.</w:t>
      </w:r>
    </w:p>
    <w:p>
      <w:pPr>
        <w:sectPr>
          <w:type w:val="continuous"/>
          <w:pgSz w:w="11906" w:h="15817"/>
          <w:pgMar w:top="677" w:right="1020" w:bottom="691" w:left="1020" w:header="720" w:footer="720" w:gutter="0"/>
          <w:cols w:space="300" w:num="2"/>
          <w:docGrid w:linePitch="360"/>
        </w:sectPr>
      </w:pPr>
    </w:p>
    <w:p>
      <w:pPr>
        <w:jc w:val="center"/>
      </w:pPr>
      <w:r>
        <w:drawing>
          <wp:inline xmlns:a="http://schemas.openxmlformats.org/drawingml/2006/main" xmlns:pic="http://schemas.openxmlformats.org/drawingml/2006/picture">
            <wp:extent cx="6080760" cy="2208945"/>
            <wp:docPr id="5" name="Picture 5" title="Figure 5 Representation geometry in relation to VQC performance" descr="Figure 5 Representation geometry in relation to VQC performance"/>
            <wp:cNvGraphicFramePr>
              <a:graphicFrameLocks noChangeAspect="1"/>
            </wp:cNvGraphicFramePr>
            <a:graphic>
              <a:graphicData uri="http://schemas.openxmlformats.org/drawingml/2006/picture">
                <pic:pic>
                  <pic:nvPicPr>
                    <pic:cNvPr id="0" name="figure_05_representation_geometry.png"/>
                    <pic:cNvPicPr/>
                  </pic:nvPicPr>
                  <pic:blipFill>
                    <a:blip r:embed="rId16"/>
                    <a:stretch>
                      <a:fillRect/>
                    </a:stretch>
                  </pic:blipFill>
                  <pic:spPr>
                    <a:xfrm>
                      <a:off x="0" y="0"/>
                      <a:ext cx="6080760" cy="2208945"/>
                    </a:xfrm>
                    <a:prstGeom prst="rect"/>
                  </pic:spPr>
                </pic:pic>
              </a:graphicData>
            </a:graphic>
          </wp:inline>
        </w:drawing>
      </w:r>
    </w:p>
    <w:p>
      <w:pPr>
        <w:keepLines/>
        <w:spacing w:after="80"/>
        <w:jc w:val="center"/>
      </w:pPr>
      <w:r>
        <w:rPr>
          <w:rFonts w:ascii="Arial Narrow" w:hAnsi="Arial Narrow"/>
          <w:b/>
          <w:sz w:val="17"/>
        </w:rPr>
        <w:t xml:space="preserve">Figure 5 </w:t>
      </w:r>
      <w:r>
        <w:rPr>
          <w:rFonts w:ascii="Times New Roman" w:hAnsi="Times New Roman"/>
          <w:sz w:val="17"/>
        </w:rPr>
        <w:t>Representation geometry in relation to VQC performance</w:t>
      </w:r>
    </w:p>
    <w:p>
      <w:pPr>
        <w:sectPr>
          <w:type w:val="continuous"/>
          <w:pgSz w:w="11906" w:h="15817"/>
          <w:pgMar w:top="677" w:right="1020" w:bottom="691" w:left="1020" w:header="720" w:footer="720" w:gutter="0"/>
          <w:cols w:space="0" w:num="1"/>
          <w:docGrid w:linePitch="360"/>
        </w:sectPr>
      </w:pPr>
    </w:p>
    <w:p>
      <w:pPr>
        <w:sectPr>
          <w:type w:val="continuous"/>
          <w:pgSz w:w="11906" w:h="15817"/>
          <w:pgMar w:top="677" w:right="1020" w:bottom="691" w:left="1020" w:header="720" w:footer="720" w:gutter="0"/>
          <w:cols w:space="300" w:num="2"/>
          <w:docGrid w:linePitch="360"/>
        </w:sectPr>
      </w:pPr>
    </w:p>
    <w:p>
      <w:pPr>
        <w:jc w:val="center"/>
      </w:pPr>
      <w:r>
        <w:drawing>
          <wp:inline xmlns:a="http://schemas.openxmlformats.org/drawingml/2006/main" xmlns:pic="http://schemas.openxmlformats.org/drawingml/2006/picture">
            <wp:extent cx="6080760" cy="5326339"/>
            <wp:docPr id="6" name="Picture 6" title="Figure 6 Row-normalized test confusion matrices selected without test-performance access; every cell, including 0.00 values, is generated from prediction-level notebook outputs" descr="Figure 6 Row-normalized test confusion matrices selected without test-performance access; every cell, including 0.00 values, is generated from prediction-level notebook outputs"/>
            <wp:cNvGraphicFramePr>
              <a:graphicFrameLocks noChangeAspect="1"/>
            </wp:cNvGraphicFramePr>
            <a:graphic>
              <a:graphicData uri="http://schemas.openxmlformats.org/drawingml/2006/picture">
                <pic:pic>
                  <pic:nvPicPr>
                    <pic:cNvPr id="0" name="figure_06_confusion_matrices.png"/>
                    <pic:cNvPicPr/>
                  </pic:nvPicPr>
                  <pic:blipFill>
                    <a:blip r:embed="rId17"/>
                    <a:stretch>
                      <a:fillRect/>
                    </a:stretch>
                  </pic:blipFill>
                  <pic:spPr>
                    <a:xfrm>
                      <a:off x="0" y="0"/>
                      <a:ext cx="6080760" cy="5326339"/>
                    </a:xfrm>
                    <a:prstGeom prst="rect"/>
                  </pic:spPr>
                </pic:pic>
              </a:graphicData>
            </a:graphic>
          </wp:inline>
        </w:drawing>
      </w:r>
    </w:p>
    <w:p>
      <w:pPr>
        <w:keepLines/>
        <w:spacing w:after="80"/>
        <w:jc w:val="center"/>
      </w:pPr>
      <w:r>
        <w:rPr>
          <w:rFonts w:ascii="Arial Narrow" w:hAnsi="Arial Narrow"/>
          <w:b/>
          <w:sz w:val="17"/>
        </w:rPr>
        <w:t xml:space="preserve">Figure 6 </w:t>
      </w:r>
      <w:r>
        <w:rPr>
          <w:rFonts w:ascii="Times New Roman" w:hAnsi="Times New Roman"/>
          <w:sz w:val="17"/>
        </w:rPr>
        <w:t>Row-normalized test confusion matrices selected without test-performance access; every cell, including 0.00 values, is generated from prediction-level notebook outputs</w:t>
      </w:r>
    </w:p>
    <w:p>
      <w:pPr>
        <w:sectPr>
          <w:type w:val="continuous"/>
          <w:pgSz w:w="11906" w:h="15817"/>
          <w:pgMar w:top="677" w:right="1020" w:bottom="691" w:left="1020" w:header="720" w:footer="720" w:gutter="0"/>
          <w:cols w:space="0" w:num="1"/>
          <w:docGrid w:linePitch="360"/>
        </w:sectPr>
      </w:pPr>
    </w:p>
    <w:p>
      <w:pPr>
        <w:sectPr>
          <w:type w:val="continuous"/>
          <w:pgSz w:w="11906" w:h="15817"/>
          <w:pgMar w:top="677" w:right="1020" w:bottom="691" w:left="1020" w:header="720" w:footer="720" w:gutter="0"/>
          <w:cols w:space="300" w:num="2"/>
          <w:docGrid w:linePitch="360"/>
        </w:sectPr>
      </w:pPr>
    </w:p>
    <w:p>
      <w:pPr>
        <w:jc w:val="center"/>
      </w:pPr>
      <w:r>
        <w:drawing>
          <wp:inline xmlns:a="http://schemas.openxmlformats.org/drawingml/2006/main" xmlns:pic="http://schemas.openxmlformats.org/drawingml/2006/picture">
            <wp:extent cx="6080760" cy="1807749"/>
            <wp:docPr id="7" name="Picture 7" title="Figure 7 Reliability diagrams for validation-selected configurations" descr="Figure 7 Reliability diagrams for validation-selected configurations"/>
            <wp:cNvGraphicFramePr>
              <a:graphicFrameLocks noChangeAspect="1"/>
            </wp:cNvGraphicFramePr>
            <a:graphic>
              <a:graphicData uri="http://schemas.openxmlformats.org/drawingml/2006/picture">
                <pic:pic>
                  <pic:nvPicPr>
                    <pic:cNvPr id="0" name="figure_07_calibration.png"/>
                    <pic:cNvPicPr/>
                  </pic:nvPicPr>
                  <pic:blipFill>
                    <a:blip r:embed="rId18"/>
                    <a:stretch>
                      <a:fillRect/>
                    </a:stretch>
                  </pic:blipFill>
                  <pic:spPr>
                    <a:xfrm>
                      <a:off x="0" y="0"/>
                      <a:ext cx="6080760" cy="1807749"/>
                    </a:xfrm>
                    <a:prstGeom prst="rect"/>
                  </pic:spPr>
                </pic:pic>
              </a:graphicData>
            </a:graphic>
          </wp:inline>
        </w:drawing>
      </w:r>
    </w:p>
    <w:p>
      <w:pPr>
        <w:keepLines/>
        <w:spacing w:after="80"/>
        <w:jc w:val="center"/>
      </w:pPr>
      <w:r>
        <w:rPr>
          <w:rFonts w:ascii="Arial Narrow" w:hAnsi="Arial Narrow"/>
          <w:b/>
          <w:sz w:val="17"/>
        </w:rPr>
        <w:t xml:space="preserve">Figure 7 </w:t>
      </w:r>
      <w:r>
        <w:rPr>
          <w:rFonts w:ascii="Times New Roman" w:hAnsi="Times New Roman"/>
          <w:sz w:val="17"/>
        </w:rPr>
        <w:t>Reliability diagrams for validation-selected configurations</w:t>
      </w:r>
    </w:p>
    <w:p>
      <w:pPr>
        <w:sectPr>
          <w:type w:val="continuous"/>
          <w:pgSz w:w="11906" w:h="15817"/>
          <w:pgMar w:top="677" w:right="1020" w:bottom="691" w:left="1020" w:header="720" w:footer="720" w:gutter="0"/>
          <w:cols w:space="0" w:num="1"/>
          <w:docGrid w:linePitch="360"/>
        </w:sectPr>
      </w:pPr>
    </w:p>
    <w:p>
      <w:pPr>
        <w:pStyle w:val="Heading2"/>
      </w:pPr>
      <w:r>
        <w:t>3.3 Runtime</w:t>
      </w:r>
    </w:p>
    <w:p>
      <w:pPr>
        <w:spacing w:line="240" w:lineRule="auto" w:after="60"/>
        <w:ind w:firstLine="360"/>
      </w:pPr>
      <w:r>
        <w:rPr>
          <w:rFonts w:ascii="Times New Roman" w:hAnsi="Times New Roman"/>
          <w:sz w:val="20"/>
        </w:rPr>
        <w:t>Runtime was recorded for the observed software implementation. Because the VQC used analytic statevector simulation on classical hardware, these measurements describe implementation cost only and cannot support a quantum-speedup claim.</w:t>
      </w:r>
    </w:p>
    <w:p>
      <w:pPr>
        <w:sectPr>
          <w:type w:val="continuous"/>
          <w:pgSz w:w="11906" w:h="15817"/>
          <w:pgMar w:top="677" w:right="1020" w:bottom="691" w:left="1020" w:header="720" w:footer="720" w:gutter="0"/>
          <w:cols w:space="300" w:num="2"/>
          <w:docGrid w:linePitch="360"/>
        </w:sectPr>
      </w:pPr>
    </w:p>
    <w:p>
      <w:pPr>
        <w:jc w:val="center"/>
      </w:pPr>
      <w:r>
        <w:drawing>
          <wp:inline xmlns:a="http://schemas.openxmlformats.org/drawingml/2006/main" xmlns:pic="http://schemas.openxmlformats.org/drawingml/2006/picture">
            <wp:extent cx="6080760" cy="3192605"/>
            <wp:docPr id="8" name="Picture 8" title="Figure 8 Mean observed fit time by head and dataset" descr="Figure 8 Mean observed fit time by head and dataset"/>
            <wp:cNvGraphicFramePr>
              <a:graphicFrameLocks noChangeAspect="1"/>
            </wp:cNvGraphicFramePr>
            <a:graphic>
              <a:graphicData uri="http://schemas.openxmlformats.org/drawingml/2006/picture">
                <pic:pic>
                  <pic:nvPicPr>
                    <pic:cNvPr id="0" name="figure_08_runtime.png"/>
                    <pic:cNvPicPr/>
                  </pic:nvPicPr>
                  <pic:blipFill>
                    <a:blip r:embed="rId19"/>
                    <a:stretch>
                      <a:fillRect/>
                    </a:stretch>
                  </pic:blipFill>
                  <pic:spPr>
                    <a:xfrm>
                      <a:off x="0" y="0"/>
                      <a:ext cx="6080760" cy="3192605"/>
                    </a:xfrm>
                    <a:prstGeom prst="rect"/>
                  </pic:spPr>
                </pic:pic>
              </a:graphicData>
            </a:graphic>
          </wp:inline>
        </w:drawing>
      </w:r>
    </w:p>
    <w:p>
      <w:pPr>
        <w:keepLines/>
        <w:spacing w:after="80"/>
        <w:jc w:val="center"/>
      </w:pPr>
      <w:r>
        <w:rPr>
          <w:rFonts w:ascii="Arial Narrow" w:hAnsi="Arial Narrow"/>
          <w:b/>
          <w:sz w:val="17"/>
        </w:rPr>
        <w:t xml:space="preserve">Figure 8 </w:t>
      </w:r>
      <w:r>
        <w:rPr>
          <w:rFonts w:ascii="Times New Roman" w:hAnsi="Times New Roman"/>
          <w:sz w:val="17"/>
        </w:rPr>
        <w:t>Mean observed fit time by head and dataset</w:t>
      </w:r>
    </w:p>
    <w:p>
      <w:pPr>
        <w:sectPr>
          <w:type w:val="continuous"/>
          <w:pgSz w:w="11906" w:h="15817"/>
          <w:pgMar w:top="677" w:right="1020" w:bottom="691" w:left="1020" w:header="720" w:footer="720" w:gutter="0"/>
          <w:cols w:space="0" w:num="1"/>
          <w:docGrid w:linePitch="360"/>
        </w:sectPr>
      </w:pPr>
    </w:p>
    <w:p>
      <w:pPr>
        <w:pStyle w:val="Heading1"/>
      </w:pPr>
      <w:r>
        <w:t>4 Discussion</w:t>
      </w:r>
    </w:p>
    <w:p>
      <w:pPr>
        <w:spacing w:line="240" w:lineRule="auto" w:after="60"/>
        <w:ind w:firstLine="360"/>
      </w:pPr>
      <w:r>
        <w:rPr>
          <w:rFonts w:ascii="Times New Roman" w:hAnsi="Times New Roman"/>
          <w:sz w:val="20"/>
        </w:rPr>
        <w:t>The controlled design changes the interpretation of a classical-quantum performance gap. When the full-space reference declines substantially after six-dimensional projection, the downstream model is operating after measurable information loss. Conversely, a persistent VQC-MLP gap on identical vectors isolates the decision head more directly than conventional transfer-learning comparisons.</w:t>
      </w:r>
    </w:p>
    <w:p>
      <w:pPr>
        <w:spacing w:line="240" w:lineRule="auto" w:after="60"/>
        <w:ind w:firstLine="360"/>
      </w:pPr>
      <w:r>
        <w:rPr>
          <w:rFonts w:ascii="Times New Roman" w:hAnsi="Times New Roman"/>
          <w:sz w:val="20"/>
        </w:rPr>
        <w:t>Supervised reducers can favor class separation under a severe information budget, but their validation selection must remain separate from test evaluation. The ten-seed paired design also shows whether a favorable mean is stable or depends on a small number of training subsets. Calibration provides a complementary view because similar macro-F1 values can coexist with materially different confidence quality.</w:t>
      </w:r>
    </w:p>
    <w:p>
      <w:pPr>
        <w:spacing w:line="240" w:lineRule="auto" w:after="60"/>
        <w:ind w:firstLine="360"/>
      </w:pPr>
      <w:r>
        <w:rPr>
          <w:rFonts w:ascii="Times New Roman" w:hAnsi="Times New Roman"/>
          <w:sz w:val="20"/>
        </w:rPr>
        <w:t xml:space="preserve">The results should be read as a benchmark of low-dimensional predictive heads, not as evidence that a quantum circuit offers computational advantage. This interpretation is consistent with evidence that optimized classical learners can remain competitive when data are available </w:t>
      </w:r>
      <w:r>
        <w:fldChar w:fldCharType="begin" w:dirty="true"/>
      </w:r>
      <w:r>
        <w:instrText xml:space="preserve"> ADDIN CSL_CITATION {"citationItems":[{"id":"HUANG-2021"}],"properties":{"formattedCitation":"(Huang et al 2021)","plainCitation":"(Huang et al 2021)","noteIndex":0},"schema":"https://github.com/citation-style-language/schema/raw/master/csl-citation.json"} </w:instrText>
      </w:r>
      <w:r>
        <w:fldChar w:fldCharType="separate"/>
      </w:r>
      <w:r>
        <w:rPr>
          <w:rFonts w:ascii="Times New Roman" w:hAnsi="Times New Roman"/>
          <w:sz w:val="20"/>
        </w:rPr>
        <w:t>(Huang et al 2021)</w:t>
      </w:r>
      <w:r>
        <w:fldChar w:fldCharType="end"/>
      </w:r>
      <w:r>
        <w:rPr>
          <w:rFonts w:ascii="Times New Roman" w:hAnsi="Times New Roman"/>
          <w:sz w:val="20"/>
        </w:rPr>
        <w:t xml:space="preserve"> and with recent QMI benchmarks that find no broad quantum-model advantage across conventional tasks </w:t>
      </w:r>
      <w:r>
        <w:fldChar w:fldCharType="begin" w:dirty="true"/>
      </w:r>
      <w:r>
        <w:instrText xml:space="preserve"> ADDIN CSL_CITATION {"citationItems":[{"id":"SCHNABEL-ROTH-2025"}],"properties":{"formattedCitation":"(Schnabel and Roth 2025)","plainCitation":"(Schnabel and Roth 2025)","noteIndex":0},"schema":"https://github.com/citation-style-language/schema/raw/master/csl-citation.json"} </w:instrText>
      </w:r>
      <w:r>
        <w:fldChar w:fldCharType="separate"/>
      </w:r>
      <w:r>
        <w:rPr>
          <w:rFonts w:ascii="Times New Roman" w:hAnsi="Times New Roman"/>
          <w:sz w:val="20"/>
        </w:rPr>
        <w:t>(Schnabel and Roth 2025)</w:t>
      </w:r>
      <w:r>
        <w:fldChar w:fldCharType="end"/>
      </w:r>
      <w:r>
        <w:rPr>
          <w:rFonts w:ascii="Times New Roman" w:hAnsi="Times New Roman"/>
          <w:sz w:val="20"/>
        </w:rPr>
        <w:t xml:space="preserve">. A competitive VQC result would show that the chosen circuit can exploit a representation already shaped by classical learning; it would not show speedup, hardware advantage, or universal superiority. The circuit uses a shallow data-reuploading design to avoid unnecessary depth, while the analytic statevector setting deliberately separates representation and head effects from shot noise or device noise </w:t>
      </w:r>
      <w:r>
        <w:fldChar w:fldCharType="begin" w:dirty="true"/>
      </w:r>
      <w:r>
        <w:instrText xml:space="preserve"> ADDIN CSL_CITATION {"citationItems":[{"id":"PEREZ-SALINAS-2020"},{"id":"THANASILP-2024"}],"properties":{"formattedCitation":"(Perez-Salinas et al 2020; Thanasilp et al 2024)","plainCitation":"(Perez-Salinas et al 2020; Thanasilp et al 2024)","noteIndex":0},"schema":"https://github.com/citation-style-language/schema/raw/master/csl-citation.json"} </w:instrText>
      </w:r>
      <w:r>
        <w:fldChar w:fldCharType="separate"/>
      </w:r>
      <w:r>
        <w:rPr>
          <w:rFonts w:ascii="Times New Roman" w:hAnsi="Times New Roman"/>
          <w:sz w:val="20"/>
        </w:rPr>
        <w:t>(Perez-Salinas et al 2020; Thanasilp et al 2024)</w:t>
      </w:r>
      <w:r>
        <w:fldChar w:fldCharType="end"/>
      </w:r>
      <w:r>
        <w:rPr>
          <w:rFonts w:ascii="Times New Roman" w:hAnsi="Times New Roman"/>
          <w:sz w:val="20"/>
        </w:rPr>
        <w:t>.</w:t>
      </w:r>
    </w:p>
    <w:p>
      <w:pPr>
        <w:pStyle w:val="Heading1"/>
      </w:pPr>
      <w:r>
        <w:t>5 Limitations</w:t>
      </w:r>
    </w:p>
    <w:p>
      <w:pPr>
        <w:spacing w:line="240" w:lineRule="auto" w:after="60"/>
        <w:ind w:firstLine="360"/>
      </w:pPr>
      <w:r>
        <w:rPr>
          <w:rFonts w:ascii="Times New Roman" w:hAnsi="Times New Roman"/>
          <w:sz w:val="20"/>
        </w:rPr>
        <w:t>The VQC was evaluated with analytic statevector simulation. Finite-shot sampling, device noise, connectivity constraints, transpilation overhead, and physical-hardware drift were outside the scope. DINOv2 was frozen, so the conclusions concern downstream bottlenecks rather than end-to-end optimization. The benchmark used three image domains and a fixed six-dimensional budget; other encoders, dimensions, and circuit families may yield different interactions.</w:t>
      </w:r>
    </w:p>
    <w:p>
      <w:pPr>
        <w:pStyle w:val="Heading1"/>
      </w:pPr>
      <w:r>
        <w:t>6 Conclusion</w:t>
      </w:r>
    </w:p>
    <w:p>
      <w:pPr>
        <w:spacing w:line="240" w:lineRule="auto" w:after="60"/>
        <w:ind w:firstLine="360"/>
      </w:pPr>
      <w:r>
        <w:rPr>
          <w:rFonts w:ascii="Times New Roman" w:hAnsi="Times New Roman"/>
          <w:sz w:val="20"/>
        </w:rPr>
        <w:t>This study separates pre-quantum representation loss from quantum-head behavior by crossing four reducers and four matched heads on identical six-dimensional vectors from a frozen self-supervised encoder. Full-space references quantify information lost before the circuit, while parameter parity and paired seeds isolate the downstream comparison. The resulting evidence supports claims about where the predictive bottleneck occurs under the evaluated protocol, without invoking unsupported quantum advantage.</w:t>
      </w:r>
    </w:p>
    <w:p>
      <w:pPr>
        <w:pStyle w:val="Heading1"/>
      </w:pPr>
      <w:r>
        <w:t>Statements and Declarations</w:t>
      </w:r>
    </w:p>
    <w:p>
      <w:pPr>
        <w:spacing w:line="240" w:lineRule="auto" w:after="60"/>
        <w:ind w:firstLine="360"/>
      </w:pPr>
      <w:r>
        <w:rPr>
          <w:rFonts w:ascii="Times New Roman" w:hAnsi="Times New Roman"/>
          <w:sz w:val="20"/>
        </w:rPr>
        <w:t>Data availability. CIFAR-10, EuroSAT RGB, and PathMNIST are publicly available from their original repositories. Frozen split manifests, hashes, derived metrics, and prediction-level outputs are included with the reproducibility package.</w:t>
      </w:r>
    </w:p>
    <w:p>
      <w:pPr>
        <w:spacing w:line="240" w:lineRule="auto" w:after="60"/>
        <w:ind w:firstLine="360"/>
      </w:pPr>
      <w:r>
        <w:rPr>
          <w:rFonts w:ascii="Times New Roman" w:hAnsi="Times New Roman"/>
          <w:sz w:val="20"/>
        </w:rPr>
        <w:t>Code availability. The executable notebook, source code, configuration files, environment record, checkpoints, and model artifacts are publicly available at https://github.com/haejoon06/qml-compression-head-benchmark.</w:t>
      </w:r>
    </w:p>
    <w:p>
      <w:pPr>
        <w:spacing w:line="240" w:lineRule="auto" w:after="60"/>
        <w:ind w:firstLine="360"/>
      </w:pPr>
      <w:r>
        <w:rPr>
          <w:rFonts w:ascii="Times New Roman" w:hAnsi="Times New Roman"/>
          <w:sz w:val="20"/>
        </w:rPr>
        <w:t>Author contributions. F.Y.S.J. contributed conceptualization, methodology, software, formal analysis, investigation, data curation, visualization, writing—original draft, and project administration. K.A.B. contributed supervision, validation, resources, and writing—review and editing. Both authors reviewed and approved the final manuscript.</w:t>
      </w:r>
    </w:p>
    <w:p>
      <w:pPr>
        <w:spacing w:line="240" w:lineRule="auto" w:after="60"/>
        <w:ind w:firstLine="360"/>
      </w:pPr>
      <w:r>
        <w:rPr>
          <w:rFonts w:ascii="Times New Roman" w:hAnsi="Times New Roman"/>
          <w:sz w:val="20"/>
        </w:rPr>
        <w:t>Funding. The authors received no specific funding for this work.</w:t>
      </w:r>
    </w:p>
    <w:p>
      <w:pPr>
        <w:spacing w:line="240" w:lineRule="auto" w:after="60"/>
        <w:ind w:firstLine="360"/>
      </w:pPr>
      <w:r>
        <w:rPr>
          <w:rFonts w:ascii="Times New Roman" w:hAnsi="Times New Roman"/>
          <w:sz w:val="20"/>
        </w:rPr>
        <w:t>Competing interests. The authors declare that they have no competing interests.</w:t>
      </w:r>
    </w:p>
    <w:p>
      <w:pPr>
        <w:pStyle w:val="Heading1"/>
      </w:pPr>
      <w:r>
        <w:t>References</w:t>
      </w:r>
    </w:p>
    <w:p>
      <w:pPr>
        <w:spacing w:after="0"/>
        <w:ind w:left="259" w:hanging="259"/>
      </w:pPr>
      <w:r>
        <w:fldChar w:fldCharType="begin" w:dirty="true"/>
      </w:r>
      <w:r>
        <w:instrText xml:space="preserve"> ADDIN Mendeley Bibliography CSL_BIBLIOGRAPHY </w:instrText>
      </w:r>
      <w:r>
        <w:fldChar w:fldCharType="separate"/>
      </w:r>
      <w:r>
        <w:rPr>
          <w:rFonts w:ascii="Times New Roman" w:hAnsi="Times New Roman"/>
          <w:sz w:val="17"/>
        </w:rPr>
        <w:t>Abbas A, Sutter D, Zoufal C, Lucchi A, Figalli A, Woerner S (2021) The power of quantum neural networks. Nature Computational Science 1:403-409. https://doi.org/10.1038/s43588-021-00084-1</w:t>
        <w:br/>
      </w:r>
      <w:r>
        <w:rPr>
          <w:rFonts w:ascii="Times New Roman" w:hAnsi="Times New Roman"/>
          <w:sz w:val="17"/>
        </w:rPr>
        <w:t>Baldi P, Hornik K (1989) Neural networks and principal component analysis. Neural Networks 2(1):53-58. https://doi.org/10.1016/0893-6080(89)90014-2</w:t>
        <w:br/>
      </w:r>
      <w:r>
        <w:rPr>
          <w:rFonts w:ascii="Times New Roman" w:hAnsi="Times New Roman"/>
          <w:sz w:val="17"/>
        </w:rPr>
        <w:t>Caro MC, Huang HY, Cerezo M, Sharma K, Sornborger A, Cincio L, Coles PJ (2022) Generalization in quantum machine learning from few training data. Nature Communications 13:4919. https://doi.org/10.1038/s41467-022-32550-3</w:t>
        <w:br/>
      </w:r>
      <w:r>
        <w:rPr>
          <w:rFonts w:ascii="Times New Roman" w:hAnsi="Times New Roman"/>
          <w:sz w:val="17"/>
        </w:rPr>
        <w:t>Cerezo M et al (2021) Variational quantum algorithms. Nature Reviews Physics 3:625-644. https://doi.org/10.1038/s42254-021-00348-9</w:t>
        <w:br/>
      </w:r>
      <w:r>
        <w:rPr>
          <w:rFonts w:ascii="Times New Roman" w:hAnsi="Times New Roman"/>
          <w:sz w:val="17"/>
        </w:rPr>
        <w:t>Cerezo M, Verdon G, Huang HY, Cincio L, Coles PJ (2022) Challenges and opportunities in quantum machine learning. Nature Computational Science 2:567-576. https://doi.org/10.1038/s43588-022-00311-3</w:t>
        <w:br/>
      </w:r>
      <w:r>
        <w:rPr>
          <w:rFonts w:ascii="Times New Roman" w:hAnsi="Times New Roman"/>
          <w:sz w:val="17"/>
        </w:rPr>
        <w:t>Demsar J (2006) Statistical comparisons of classifiers over multiple data sets. Journal of Machine Learning Research 7:1-30</w:t>
        <w:br/>
      </w:r>
      <w:r>
        <w:rPr>
          <w:rFonts w:ascii="Times New Roman" w:hAnsi="Times New Roman"/>
          <w:sz w:val="17"/>
        </w:rPr>
        <w:t>Du Y, Hsieh MH, Liu T, You S, Tao D (2021) Learnability of quantum neural networks. PRX Quantum 2:040337. https://doi.org/10.1103/PRXQuantum.2.040337</w:t>
        <w:br/>
      </w:r>
      <w:r>
        <w:rPr>
          <w:rFonts w:ascii="Times New Roman" w:hAnsi="Times New Roman"/>
          <w:sz w:val="17"/>
        </w:rPr>
        <w:t>Efron B, Tibshirani RJ (1993) An Introduction to the Bootstrap. Chapman and Hall, New York</w:t>
        <w:br/>
      </w:r>
      <w:r>
        <w:rPr>
          <w:rFonts w:ascii="Times New Roman" w:hAnsi="Times New Roman"/>
          <w:sz w:val="17"/>
        </w:rPr>
        <w:t>Egginger S, Sakhnenko A, Lorenz JM (2024) A hyperparameter study for quantum kernel methods. Quantum Machine Intelligence 6:44. https://doi.org/10.1007/s42484-024-00172-1</w:t>
        <w:br/>
      </w:r>
      <w:r>
        <w:rPr>
          <w:rFonts w:ascii="Times New Roman" w:hAnsi="Times New Roman"/>
          <w:sz w:val="17"/>
        </w:rPr>
        <w:t>Gil-Fuster E, Eisert J, Bravo-Prieto C (2024) Understanding quantum machine learning also requires rethinking generalization. Nature Communications 15:2277. https://doi.org/10.1038/s41467-024-45882-z</w:t>
        <w:br/>
      </w:r>
      <w:r>
        <w:rPr>
          <w:rFonts w:ascii="Times New Roman" w:hAnsi="Times New Roman"/>
          <w:sz w:val="17"/>
        </w:rPr>
        <w:t>Gneiting T, Raftery AE (2007) Strictly proper scoring rules, prediction, and estimation. Journal of the American Statistical Association 102(477):359-378. https://doi.org/10.1198/016214506000001437</w:t>
        <w:br/>
      </w:r>
      <w:r>
        <w:rPr>
          <w:rFonts w:ascii="Times New Roman" w:hAnsi="Times New Roman"/>
          <w:sz w:val="17"/>
        </w:rPr>
        <w:t>Goldberger J, Hinton GE, Roweis S, Salakhutdinov RR (2004) Neighbourhood components analysis. Advances in Neural Information Processing Systems 17</w:t>
        <w:br/>
      </w:r>
      <w:r>
        <w:rPr>
          <w:rFonts w:ascii="Times New Roman" w:hAnsi="Times New Roman"/>
          <w:sz w:val="17"/>
        </w:rPr>
        <w:t>Guo C, Pleiss G, Sun Y, Weinberger KQ (2017) On calibration of modern neural networks. Proceedings of the 34th International Conference on Machine Learning, pp 1321-1330</w:t>
        <w:br/>
      </w:r>
      <w:r>
        <w:rPr>
          <w:rFonts w:ascii="Times New Roman" w:hAnsi="Times New Roman"/>
          <w:sz w:val="17"/>
        </w:rPr>
        <w:t>Havlicek V et al (2019) Supervised learning with quantum-enhanced feature spaces. Nature 567:209-212. https://doi.org/10.1038/s41586-019-0980-2</w:t>
        <w:br/>
      </w:r>
      <w:r>
        <w:rPr>
          <w:rFonts w:ascii="Times New Roman" w:hAnsi="Times New Roman"/>
          <w:sz w:val="17"/>
        </w:rPr>
        <w:t>Helber P, Bischke B, Dengel A, Borth D (2019) EuroSAT: A novel dataset and deep learning benchmark for land use and land cover classification. IEEE Journal of Selected Topics in Applied Earth Observations and Remote Sensing 12(7):2217-2226. https://doi.org/10.1109/JSTARS.2019.2918242</w:t>
        <w:br/>
      </w:r>
      <w:r>
        <w:rPr>
          <w:rFonts w:ascii="Times New Roman" w:hAnsi="Times New Roman"/>
          <w:sz w:val="17"/>
        </w:rPr>
        <w:t>Holm S (1979) A simple sequentially rejective multiple test procedure. Scandinavian Journal of Statistics 6(2):65-70</w:t>
        <w:br/>
      </w:r>
      <w:r>
        <w:rPr>
          <w:rFonts w:ascii="Times New Roman" w:hAnsi="Times New Roman"/>
          <w:sz w:val="17"/>
        </w:rPr>
        <w:t>Huang HY, Broughton M, Mohseni M, Babbush R, Boixo S, Neven H, McClean JR (2021) Power of data in quantum machine learning. Nature Communications 12:2631. https://doi.org/10.1038/s41467-021-22539-9</w:t>
        <w:br/>
      </w:r>
      <w:r>
        <w:rPr>
          <w:rFonts w:ascii="Times New Roman" w:hAnsi="Times New Roman"/>
          <w:sz w:val="17"/>
        </w:rPr>
        <w:t>Krizhevsky A (2009) Learning multiple layers of features from tiny images. Technical report, University of Toronto</w:t>
        <w:br/>
      </w:r>
      <w:r>
        <w:rPr>
          <w:rFonts w:ascii="Times New Roman" w:hAnsi="Times New Roman"/>
          <w:sz w:val="17"/>
        </w:rPr>
        <w:t>Mangini S, Marruzzo A, Piantanida M, Gerace D, Bajoni D, Macchiavello C (2022) Quantum neural network autoencoder and classifier applied to an industrial case study. Quantum Machine Intelligence 4:13. https://doi.org/10.1007/s42484-022-00070-4</w:t>
        <w:br/>
      </w:r>
      <w:r>
        <w:rPr>
          <w:rFonts w:ascii="Times New Roman" w:hAnsi="Times New Roman"/>
          <w:sz w:val="17"/>
        </w:rPr>
        <w:t>Mari A, Bromley TR, Izaac J, Schuld M, Killoran N (2020) Transfer learning in hybrid classical-quantum neural networks. Quantum 4:340. https://doi.org/10.22331/q-2020-10-09-340</w:t>
        <w:br/>
      </w:r>
      <w:r>
        <w:rPr>
          <w:rFonts w:ascii="Times New Roman" w:hAnsi="Times New Roman"/>
          <w:sz w:val="17"/>
        </w:rPr>
        <w:t>Odagiu P et al (2025) Learning reduced representations for quantum classifiers. Quantum Machine Intelligence 7:113. https://doi.org/10.1007/s42484-025-00331-y</w:t>
        <w:br/>
      </w:r>
      <w:r>
        <w:rPr>
          <w:rFonts w:ascii="Times New Roman" w:hAnsi="Times New Roman"/>
          <w:sz w:val="17"/>
        </w:rPr>
        <w:t>Oquab M et al (2024) DINOv2: Learning robust visual features without supervision. Transactions on Machine Learning Research</w:t>
        <w:br/>
      </w:r>
      <w:r>
        <w:rPr>
          <w:rFonts w:ascii="Times New Roman" w:hAnsi="Times New Roman"/>
          <w:sz w:val="17"/>
        </w:rPr>
        <w:t>Perez-Salinas A, Cervera-Lierta A, Gil-Fuster E, Latorre JI (2020) Data re-uploading for a universal quantum classifier. Quantum 4:226. https://doi.org/10.22331/q-2020-02-06-226</w:t>
        <w:br/>
      </w:r>
      <w:r>
        <w:rPr>
          <w:rFonts w:ascii="Times New Roman" w:hAnsi="Times New Roman"/>
          <w:sz w:val="17"/>
        </w:rPr>
        <w:t>Schnabel J, Roth M (2025) Quantum kernel methods under scrutiny: a benchmarking study. Quantum Machine Intelligence 7:58. https://doi.org/10.1007/s42484-025-00273-5</w:t>
        <w:br/>
      </w:r>
      <w:r>
        <w:rPr>
          <w:rFonts w:ascii="Times New Roman" w:hAnsi="Times New Roman"/>
          <w:sz w:val="17"/>
        </w:rPr>
        <w:t>Schuld M, Killoran N (2019) Quantum machine learning in feature Hilbert spaces. Physical Review Letters 122:040504. https://doi.org/10.1103/PhysRevLett.122.040504</w:t>
        <w:br/>
      </w:r>
      <w:r>
        <w:rPr>
          <w:rFonts w:ascii="Times New Roman" w:hAnsi="Times New Roman"/>
          <w:sz w:val="17"/>
        </w:rPr>
        <w:t>Schuld M, Sweke R, Meyer JJ (2021) Effect of data encoding on the expressive power of variational quantum-machine-learning models. Physical Review A 103:032430. https://doi.org/10.1103/PhysRevA.103.032430</w:t>
        <w:br/>
      </w:r>
      <w:r>
        <w:rPr>
          <w:rFonts w:ascii="Times New Roman" w:hAnsi="Times New Roman"/>
          <w:sz w:val="17"/>
        </w:rPr>
        <w:t>Thanasilp S, Wang S, Cerezo M, Holmes Z (2024) Exponential concentration in quantum kernel methods. Nature Communications 15:5200. https://doi.org/10.1038/s41467-024-49287-w</w:t>
        <w:br/>
      </w:r>
      <w:r>
        <w:rPr>
          <w:rFonts w:ascii="Times New Roman" w:hAnsi="Times New Roman"/>
          <w:sz w:val="17"/>
        </w:rPr>
        <w:t>Wang P, Myers CR, Hollenberg LCL, Parampalli U (2025) Quantum Hamiltonian embedding of images for data reuploading classifiers. Quantum Machine Intelligence 7:35. https://doi.org/10.1007/s42484-025-00247-7</w:t>
        <w:br/>
      </w:r>
      <w:r>
        <w:rPr>
          <w:rFonts w:ascii="Times New Roman" w:hAnsi="Times New Roman"/>
          <w:sz w:val="17"/>
        </w:rPr>
        <w:t>Yang J et al (2023) MedMNIST v2: A large-scale lightweight benchmark for 2D and 3D biomedical image classification. Scientific Data 10:41. https://doi.org/10.1038/s41597-022-01721-8</w:t>
      </w:r>
      <w:r>
        <w:fldChar w:fldCharType="end"/>
      </w:r>
    </w:p>
    <w:sectPr w:rsidR="00FC693F" w:rsidRPr="0006063C" w:rsidSect="00034616">
      <w:type w:val="continuous"/>
      <w:pgSz w:w="11906" w:h="15817"/>
      <w:pgMar w:top="677" w:right="1020" w:bottom="691" w:left="1020" w:header="720" w:footer="720" w:gutter="0"/>
      <w:cols w:space="3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Narrow" w:hAnsi="Arial Narrow"/>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Narrow" w:hAnsi="Arial Narrow"/>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Narrow" w:hAnsi="Arial Narrow"/>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Narrow" w:hAnsi="Arial Narrow"/>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rcid.org/0009-0007-8894-0265" TargetMode="External"/><Relationship Id="rId11" Type="http://schemas.openxmlformats.org/officeDocument/2006/relationships/hyperlink" Target="https://orcid.org/0000-0002-2430-9235"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Disentangling Representation Compression and Quantum-Head Effects in Multi-Domain Quantum Transfer Learning</dc:title>
  <dc:subject>Quantum machine learning; representation compression; transfer learning</dc:subject>
  <dc:creator>Fajri Yanuar Shiddiq Juanda; Kiki Ahmad Baihaqi</dc:creator>
  <cp:keywords/>
  <dc:description>generated by python-docx</dc:description>
  <cp:lastModifiedBy/>
  <cp:revision>1</cp:revision>
  <dcterms:created xsi:type="dcterms:W3CDTF">2013-12-23T23:15:00Z</dcterms:created>
  <dcterms:modified xsi:type="dcterms:W3CDTF">2013-12-23T23:15:00Z</dcterms:modified>
  <cp:category/>
</cp:coreProperties>
</file>