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30"/>
        </w:rPr>
        <w:t>Disentangling Representation Compression and Quantum-Head Effects in Multi-Domain Quantum Transfer Learning</w:t>
      </w:r>
    </w:p>
    <w:p>
      <w:pPr>
        <w:jc w:val="left"/>
      </w:pPr>
      <w:r>
        <w:rPr>
          <w:rFonts w:ascii="Arial" w:hAnsi="Arial"/>
          <w:b/>
          <w:sz w:val="19"/>
        </w:rPr>
        <w:t>Fajri Yanuar Shiddiq Juanda</w:t>
      </w:r>
      <w:r>
        <w:rPr>
          <w:rFonts w:ascii="Arial" w:hAnsi="Arial"/>
          <w:b/>
          <w:sz w:val="15"/>
          <w:vertAlign w:val="superscript"/>
        </w:rPr>
        <w:t>1</w:t>
      </w:r>
      <w:r>
        <w:rPr>
          <w:rFonts w:ascii="Arial" w:hAnsi="Arial"/>
          <w:b/>
          <w:sz w:val="19"/>
        </w:rPr>
        <w:t>*  ·  Kiki Ahmad Baihaqi</w:t>
      </w:r>
      <w:r>
        <w:rPr>
          <w:rFonts w:ascii="Arial" w:hAnsi="Arial"/>
          <w:b/>
          <w:sz w:val="15"/>
          <w:vertAlign w:val="superscript"/>
        </w:rPr>
        <w:t>1</w:t>
      </w:r>
    </w:p>
    <w:p>
      <w:pPr>
        <w:spacing w:after="20"/>
      </w:pPr>
      <w:r>
        <w:rPr>
          <w:rFonts w:ascii="Times New Roman" w:hAnsi="Times New Roman"/>
          <w:sz w:val="18"/>
        </w:rPr>
        <w:t xml:space="preserve">Fajri Yanuar Shiddiq Juanda — ORCID: </w:t>
      </w:r>
      <w:hyperlink r:id="rId10">
        <w:r>
          <w:rPr>
            <w:color w:val="0563C1"/>
            <w:u w:val="single"/>
            <w:sz w:val="18"/>
            <w:szCs w:val="18"/>
          </w:rPr>
          <w:t>0009-0007-8894-0265</w:t>
        </w:r>
      </w:hyperlink>
      <w:r>
        <w:br/>
      </w:r>
      <w:r>
        <w:rPr>
          <w:rFonts w:ascii="Times New Roman" w:hAnsi="Times New Roman"/>
          <w:sz w:val="18"/>
        </w:rPr>
        <w:t xml:space="preserve">Kiki Ahmad Baihaqi — ORCID: </w:t>
      </w:r>
      <w:hyperlink r:id="rId11">
        <w:r>
          <w:rPr>
            <w:color w:val="0563C1"/>
            <w:u w:val="single"/>
            <w:sz w:val="18"/>
            <w:szCs w:val="18"/>
          </w:rPr>
          <w:t>0000-0002-2430-9235</w:t>
        </w:r>
      </w:hyperlink>
    </w:p>
    <w:p>
      <w:pPr>
        <w:spacing w:after="20"/>
      </w:pPr>
      <w:r>
        <w:rPr>
          <w:rFonts w:ascii="Times New Roman" w:hAnsi="Times New Roman"/>
          <w:sz w:val="18"/>
        </w:rPr>
        <w:t>1 Department of Informatics Engineering, Faculty of Computer Science, Universitas Buana Perjuangan Karawang, Karawang, Indonesia</w:t>
      </w:r>
    </w:p>
    <w:p>
      <w:pPr>
        <w:spacing w:after="120"/>
      </w:pPr>
      <w:r>
        <w:rPr>
          <w:rFonts w:ascii="Times New Roman" w:hAnsi="Times New Roman"/>
          <w:sz w:val="18"/>
        </w:rPr>
        <w:t>Email: fajriyanuar1@gmail.com; kikiahmad@ubpkarawang.ac.id</w:t>
        <w:br/>
        <w:t>*Corresponding author: Fajri Yanuar Shiddiq Juanda, fajriyanuar1@gmail.com</w:t>
      </w:r>
    </w:p>
    <w:p>
      <w:pPr>
        <w:pStyle w:val="Heading1"/>
      </w:pPr>
      <w:r>
        <w:t>Abstract</w:t>
      </w:r>
    </w:p>
    <w:p>
      <w:pPr>
        <w:spacing w:line="240" w:lineRule="auto" w:after="60"/>
        <w:ind w:firstLine="360"/>
      </w:pPr>
      <w:r>
        <w:rPr>
          <w:rFonts w:ascii="Times New Roman" w:hAnsi="Times New Roman"/>
          <w:sz w:val="19"/>
        </w:rPr>
        <w:t>Hybrid quantum visual classifiers compress high-dimensional classical representations to a small number of circuit inputs, but conventional comparisons rarely separate information lost before the circuit from differences introduced by the decision head. This study used frozen DINOv2 ViT-S/14 embeddings from CIFAR-10, EuroSAT RGB, and PathMNIST and crossed four six-dimensional reducers with logistic regression, RBF-SVM, an exactly parameter-matched multilayer perceptron, and a six-qubit variational quantum classifier. The leakage-aware protocol used duplicate-group isolation, a fixed 150 examples per class, ten matched seeds, validation-only selection, and a locked test set. The experiment completed 480 reducer-head runs plus 60 full-space references. The validation-selected best configurations were cifar10: SLP6 + LR macro-F1 0.946 ± 0.003; eurosat: SLP6 + LR macro-F1 0.886 ± 0.006; pathmnist: SLP6 + RBF macro-F1 0.795 ± 0.026. Across evaluated conditions, the matched head gap was at least as large as the average absolute compression penalty. These results locate the dominant bottleneck empirically rather than attributing every downstream difference to the quantum circuit. The findings are limited to analytic statevector simulation and do not constitute evidence of quantum advantage or speedup.</w:t>
      </w:r>
    </w:p>
    <w:p>
      <w:r>
        <w:rPr>
          <w:rFonts w:ascii="Times New Roman" w:hAnsi="Times New Roman"/>
          <w:b/>
          <w:sz w:val="19"/>
        </w:rPr>
        <w:t xml:space="preserve">Keywords: </w:t>
      </w:r>
      <w:r>
        <w:rPr>
          <w:rFonts w:ascii="Times New Roman" w:hAnsi="Times New Roman"/>
          <w:sz w:val="19"/>
        </w:rPr>
        <w:t>quantum machine learning; DINOv2; representation compression; variational quantum classifier; transfer learning; calibration</w:t>
      </w:r>
    </w:p>
    <w:p>
      <w:pPr>
        <w:sectPr>
          <w:footerReference w:type="default" r:id="rId9"/>
          <w:pgSz w:w="11909" w:h="16834"/>
          <w:pgMar w:top="965" w:right="965" w:bottom="965" w:left="965" w:header="720" w:footer="720" w:gutter="0"/>
          <w:cols w:space="0" w:num="1"/>
          <w:docGrid w:linePitch="360"/>
        </w:sectPr>
      </w:pPr>
    </w:p>
    <w:p>
      <w:pPr>
        <w:pStyle w:val="Heading1"/>
      </w:pPr>
      <w:r>
        <w:t>1 Introduction</w:t>
      </w:r>
    </w:p>
    <w:p>
      <w:pPr>
        <w:spacing w:line="240" w:lineRule="auto" w:after="60"/>
        <w:ind w:firstLine="360"/>
      </w:pPr>
      <w:r>
        <w:rPr>
          <w:rFonts w:ascii="Times New Roman" w:hAnsi="Times New Roman"/>
          <w:sz w:val="19"/>
        </w:rPr>
        <w:t>Quantum transfer learning typically places a low-qubit variational circuit after a classical visual encoder. The apparent simplicity hides two distinct sources of error: the classical-to-quantum bottleneck can discard discriminative structure, while the decision head can fail to exploit what remains. Comparing a high-dimensional classical baseline with a compressed quantum model therefore confounds representation quality and classifier behavior.</w:t>
      </w:r>
    </w:p>
    <w:p>
      <w:pPr>
        <w:spacing w:line="240" w:lineRule="auto" w:after="60"/>
        <w:ind w:firstLine="360"/>
      </w:pPr>
      <w:r>
        <w:rPr>
          <w:rFonts w:ascii="Times New Roman" w:hAnsi="Times New Roman"/>
          <w:sz w:val="19"/>
        </w:rPr>
        <w:t>Recent work has established quantum feature spaces, variational learning, data re-uploading, and hybrid transfer-learning architectures (Schuld and Killoran 2019; Havlicek et al 2019; Perez-Salinas et al 2020; Mari et al 2020; Abbas et al 2021; Cerezo et al 2021, 2022). Encoding design can change the function family available to a variational model (Schuld et al 2021), while trainability and finite-data generalization remain separate concerns (Du et al 2021; Caro et al 2022; Gil-Fuster et al 2024). In parallel, self-supervised encoders have made frozen representations increasingly transferable (Oquab et al 2024), making it possible to control the encoder while studying the downstream bottleneck. However, a fair comparison must give classical and quantum heads the same samples, splits, six-dimensional vectors, selection criterion, and seed schedule.</w:t>
      </w:r>
    </w:p>
    <w:p>
      <w:pPr>
        <w:spacing w:line="240" w:lineRule="auto" w:after="60"/>
        <w:ind w:firstLine="360"/>
      </w:pPr>
      <w:r>
        <w:rPr>
          <w:rFonts w:ascii="Times New Roman" w:hAnsi="Times New Roman"/>
          <w:sz w:val="19"/>
        </w:rPr>
        <w:t>Empirical QML studies increasingly emphasize strong classical baselines and explicit accounting for preprocessing. Classical access to data can make conventional learners highly competitive even when quantum representations appear difficult to simulate (Huang et al 2021). QMI benchmarks likewise show that hyperparameters and classical components can dominate observed behavior (Egginger et al 2024; Schnabel and Roth 2025), while application studies illustrate both the promise and the limits of compressed quantum classifiers (Mangini et al 2022; Wang et al 2025). Most directly, recent work on learned reduced representations confirms that dimensionality reduction deserves treatment as an experimental factor rather than an incidental preprocessing step (Odagiu et al 2025).</w:t>
      </w:r>
    </w:p>
    <w:p>
      <w:pPr>
        <w:spacing w:line="240" w:lineRule="auto" w:after="60"/>
        <w:ind w:firstLine="360"/>
      </w:pPr>
      <w:r>
        <w:rPr>
          <w:rFonts w:ascii="Times New Roman" w:hAnsi="Times New Roman"/>
          <w:sz w:val="19"/>
        </w:rPr>
        <w:t>The present study differs from prior reduction-focused QML work in three respects. First, every reducer is crossed with four predictive heads, so the representation and classifier are estimated as separate experimental factors. Second, the VQC is compared with a parameter-matched MLP on identical vectors rather than only with an unconstrained high-dimensional baseline. Third, the analysis is repeated across three visual domains with paired ten-seed inference, full-space references, and calibration diagnostics. This design turns the usual end-to-end leaderboard into an attribution study of where performance is lost.</w:t>
      </w:r>
    </w:p>
    <w:p>
      <w:pPr>
        <w:spacing w:line="240" w:lineRule="auto" w:after="60"/>
        <w:ind w:firstLine="360"/>
      </w:pPr>
      <w:r>
        <w:rPr>
          <w:rFonts w:ascii="Times New Roman" w:hAnsi="Times New Roman"/>
          <w:sz w:val="19"/>
        </w:rPr>
        <w:t>This study asks whether compression or the quantum head is the larger bottleneck. Its contribution is a controlled reducer-by-head factorial benchmark across general-object, remote-sensing, and histopathology domains. The design combines a frozen 384D DINOv2 representation, four reducers at an identical 6D budget, exact parameter parity between the MLP and VQC, full-space references, representation-geometry diagnostics, calibration metrics, and paired multi-seed statistics.</w:t>
      </w:r>
    </w:p>
    <w:p>
      <w:pPr>
        <w:sectPr>
          <w:type w:val="continuous"/>
          <w:pgSz w:w="11909" w:h="16834"/>
          <w:pgMar w:top="965" w:right="965" w:bottom="965" w:left="965" w:header="720" w:footer="720" w:gutter="0"/>
          <w:cols w:space="300" w:num="2"/>
          <w:docGrid w:linePitch="360"/>
        </w:sectPr>
      </w:pPr>
    </w:p>
    <w:p>
      <w:pPr>
        <w:keepNext/>
        <w:spacing w:before="100" w:after="60"/>
        <w:jc w:val="left"/>
      </w:pPr>
      <w:r>
        <w:rPr>
          <w:rFonts w:ascii="Arial" w:hAnsi="Arial"/>
          <w:b/>
          <w:sz w:val="17"/>
        </w:rPr>
        <w:t>Table 1 Related methodological streams and the controls used in this study</w:t>
      </w:r>
    </w:p>
    <w:tbl>
      <w:tblPr>
        <w:tblW w:type="auto" w:w="0"/>
        <w:jc w:val="left"/>
        <w:tblLayout w:type="autofit"/>
        <w:tblLook w:firstColumn="1" w:firstRow="1" w:lastColumn="0" w:lastRow="0" w:noHBand="0" w:noVBand="1" w:val="04A0"/>
      </w:tblPr>
      <w:tblGrid>
        <w:gridCol w:w="2495"/>
        <w:gridCol w:w="2495"/>
        <w:gridCol w:w="2495"/>
        <w:gridCol w:w="2495"/>
      </w:tblGrid>
      <w:tr>
        <w:trPr>
          <w:tblHeader w:val="true"/>
          <w:cantSplit w:val="true"/>
        </w:trPr>
        <w:tc>
          <w:tcPr>
            <w:tcW w:type="dxa" w:w="2495"/>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Research stream</w:t>
            </w:r>
          </w:p>
        </w:tc>
        <w:tc>
          <w:tcPr>
            <w:tcW w:type="dxa" w:w="2495"/>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Typical design</w:t>
            </w:r>
          </w:p>
        </w:tc>
        <w:tc>
          <w:tcPr>
            <w:tcW w:type="dxa" w:w="2495"/>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Unresolved issue</w:t>
            </w:r>
          </w:p>
        </w:tc>
        <w:tc>
          <w:tcPr>
            <w:tcW w:type="dxa" w:w="2495"/>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Control in this study</w:t>
            </w:r>
          </w:p>
        </w:tc>
      </w:tr>
      <w:tr>
        <w:trPr>
          <w:cantSplit w:val="true"/>
        </w:trPr>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Quantum feature spaces and encodings (Schuld and Killoran 2019; Schuld et al 2021)</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Quantum kernel or circuit</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Representation quality may vary</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Identical six-dimensional input</w:t>
            </w:r>
          </w:p>
        </w:tc>
      </w:tr>
      <w:tr>
        <w:trPr>
          <w:cantSplit w:val="true"/>
        </w:trPr>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Hybrid transfer learning (Mari et al 2020; Mangini et al 2022)</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Classical encoder plus quantum head</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Encoder and head effects can be confounded</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Frozen DINOv2 for every condition</w:t>
            </w:r>
          </w:p>
        </w:tc>
      </w:tr>
      <w:tr>
        <w:trPr>
          <w:cantSplit w:val="true"/>
        </w:trPr>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Reduced quantum representations (Odagiu et al 2025)</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Reducer followed by a quantum classifier</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Reducer and classifier are rarely crossed factorially</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Four reducers crossed with four heads</w:t>
            </w:r>
          </w:p>
        </w:tc>
      </w:tr>
      <w:tr>
        <w:trPr>
          <w:cantSplit w:val="true"/>
        </w:trPr>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QML benchmarking (Egginger et al 2024; Schnabel and Roth 2025)</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Hyperparameter-sensitive comparison</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Classical components may dominate</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Matched data, selection, seeds, and capacity</w:t>
            </w:r>
          </w:p>
        </w:tc>
      </w:tr>
      <w:tr>
        <w:trPr>
          <w:cantSplit w:val="true"/>
        </w:trPr>
        <w:tc>
          <w:tcPr>
            <w:tcW w:type="dxa" w:w="2495"/>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Model calibration (Guo et al 2017; Gneiting and Raftery 2007)</w:t>
            </w:r>
          </w:p>
        </w:tc>
        <w:tc>
          <w:tcPr>
            <w:tcW w:type="dxa" w:w="2495"/>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Confidence quality after training</w:t>
            </w:r>
          </w:p>
        </w:tc>
        <w:tc>
          <w:tcPr>
            <w:tcW w:type="dxa" w:w="2495"/>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Often omitted in QML comparisons</w:t>
            </w:r>
          </w:p>
        </w:tc>
        <w:tc>
          <w:tcPr>
            <w:tcW w:type="dxa" w:w="2495"/>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ECE, NLL, and Brier score</w:t>
            </w:r>
          </w:p>
        </w:tc>
      </w:tr>
    </w:tbl>
    <w:p>
      <w:pPr>
        <w:sectPr>
          <w:type w:val="continuous"/>
          <w:pgSz w:w="11909" w:h="16834"/>
          <w:pgMar w:top="965" w:right="965" w:bottom="965" w:left="965" w:header="720" w:footer="720" w:gutter="0"/>
          <w:cols w:space="0" w:num="1"/>
          <w:docGrid w:linePitch="360"/>
        </w:sectPr>
      </w:pPr>
    </w:p>
    <w:p>
      <w:pPr>
        <w:pStyle w:val="Heading1"/>
      </w:pPr>
      <w:r>
        <w:t>2 Materials and Methods</w:t>
      </w:r>
    </w:p>
    <w:p>
      <w:pPr>
        <w:pStyle w:val="Heading2"/>
      </w:pPr>
      <w:r>
        <w:t>2.1 Datasets and leakage audit</w:t>
      </w:r>
    </w:p>
    <w:p>
      <w:pPr>
        <w:spacing w:line="240" w:lineRule="auto" w:after="60"/>
        <w:ind w:firstLine="360"/>
      </w:pPr>
      <w:r>
        <w:rPr>
          <w:rFonts w:ascii="Times New Roman" w:hAnsi="Times New Roman"/>
          <w:sz w:val="19"/>
        </w:rPr>
        <w:t>CIFAR-10 (Krizhevsky 2009), EuroSAT RGB (Helber et al 2019), and PathMNIST (Yang et al 2023) provide ten, ten, and nine classes. Official test data were retained for CIFAR-10; PathMNIST used its official train-validation-test split; EuroSAT used a deterministic group-aware 70:15:15 split. Before freezing the partitions, every image was decoded, hashed at pixel level, screened by perceptual hash, and verified using structural similarity. Exact or confirmed near-duplicate groups were indivisible. Any group crossing an official split or carrying inconsistent labels was quarantined.</w:t>
      </w:r>
    </w:p>
    <w:p>
      <w:pPr>
        <w:sectPr>
          <w:type w:val="continuous"/>
          <w:pgSz w:w="11909" w:h="16834"/>
          <w:pgMar w:top="965" w:right="965" w:bottom="965" w:left="965" w:header="720" w:footer="720" w:gutter="0"/>
          <w:cols w:space="300" w:num="2"/>
          <w:docGrid w:linePitch="360"/>
        </w:sectPr>
      </w:pPr>
    </w:p>
    <w:p>
      <w:pPr>
        <w:keepNext/>
        <w:spacing w:before="100" w:after="60"/>
        <w:jc w:val="left"/>
      </w:pPr>
      <w:r>
        <w:rPr>
          <w:rFonts w:ascii="Arial" w:hAnsi="Arial"/>
          <w:b/>
          <w:sz w:val="17"/>
        </w:rPr>
        <w:t>Table 2 Dataset audit and frozen split counts</w:t>
      </w:r>
    </w:p>
    <w:tbl>
      <w:tblPr>
        <w:tblW w:type="auto" w:w="0"/>
        <w:jc w:val="left"/>
        <w:tblLayout w:type="autofit"/>
        <w:tblLook w:firstColumn="1" w:firstRow="1" w:lastColumn="0" w:lastRow="0" w:noHBand="0" w:noVBand="1" w:val="04A0"/>
      </w:tblPr>
      <w:tblGrid>
        <w:gridCol w:w="1426"/>
        <w:gridCol w:w="1426"/>
        <w:gridCol w:w="1426"/>
        <w:gridCol w:w="1426"/>
        <w:gridCol w:w="1426"/>
        <w:gridCol w:w="1426"/>
        <w:gridCol w:w="1426"/>
      </w:tblGrid>
      <w:tr>
        <w:trPr>
          <w:tblHeader w:val="true"/>
          <w:cantSplit w:val="true"/>
        </w:trPr>
        <w:tc>
          <w:tcPr>
            <w:tcW w:type="dxa" w:w="142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Dataset</w:t>
            </w:r>
          </w:p>
        </w:tc>
        <w:tc>
          <w:tcPr>
            <w:tcW w:type="dxa" w:w="142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Decoded</w:t>
            </w:r>
          </w:p>
        </w:tc>
        <w:tc>
          <w:tcPr>
            <w:tcW w:type="dxa" w:w="142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Duplicate groups</w:t>
            </w:r>
          </w:p>
        </w:tc>
        <w:tc>
          <w:tcPr>
            <w:tcW w:type="dxa" w:w="142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Quarantined</w:t>
            </w:r>
          </w:p>
        </w:tc>
        <w:tc>
          <w:tcPr>
            <w:tcW w:type="dxa" w:w="142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Train</w:t>
            </w:r>
          </w:p>
        </w:tc>
        <w:tc>
          <w:tcPr>
            <w:tcW w:type="dxa" w:w="142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Validation</w:t>
            </w:r>
          </w:p>
        </w:tc>
        <w:tc>
          <w:tcPr>
            <w:tcW w:type="dxa" w:w="142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Test</w:t>
            </w:r>
          </w:p>
        </w:tc>
      </w:tr>
      <w:tr>
        <w:trPr>
          <w:cantSplit w:val="true"/>
        </w:trPr>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60000</w:t>
            </w:r>
          </w:p>
        </w:tc>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9</w:t>
            </w:r>
          </w:p>
        </w:tc>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10</w:t>
            </w:r>
          </w:p>
        </w:tc>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44995</w:t>
            </w:r>
          </w:p>
        </w:tc>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5000</w:t>
            </w:r>
          </w:p>
        </w:tc>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9995</w:t>
            </w:r>
          </w:p>
        </w:tc>
      </w:tr>
      <w:tr>
        <w:trPr>
          <w:cantSplit w:val="true"/>
        </w:trPr>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27000</w:t>
            </w:r>
          </w:p>
        </w:tc>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5</w:t>
            </w:r>
          </w:p>
        </w:tc>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w:t>
            </w:r>
          </w:p>
        </w:tc>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18900</w:t>
            </w:r>
          </w:p>
        </w:tc>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4050</w:t>
            </w:r>
          </w:p>
        </w:tc>
        <w:tc>
          <w:tcPr>
            <w:tcW w:type="dxa" w:w="142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4050</w:t>
            </w:r>
          </w:p>
        </w:tc>
      </w:tr>
      <w:tr>
        <w:trPr>
          <w:cantSplit w:val="true"/>
        </w:trPr>
        <w:tc>
          <w:tcPr>
            <w:tcW w:type="dxa" w:w="142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pathmnist</w:t>
            </w:r>
          </w:p>
        </w:tc>
        <w:tc>
          <w:tcPr>
            <w:tcW w:type="dxa" w:w="142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107180</w:t>
            </w:r>
          </w:p>
        </w:tc>
        <w:tc>
          <w:tcPr>
            <w:tcW w:type="dxa" w:w="142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3</w:t>
            </w:r>
          </w:p>
        </w:tc>
        <w:tc>
          <w:tcPr>
            <w:tcW w:type="dxa" w:w="142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9</w:t>
            </w:r>
          </w:p>
        </w:tc>
        <w:tc>
          <w:tcPr>
            <w:tcW w:type="dxa" w:w="142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89991</w:t>
            </w:r>
          </w:p>
        </w:tc>
        <w:tc>
          <w:tcPr>
            <w:tcW w:type="dxa" w:w="142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10001</w:t>
            </w:r>
          </w:p>
        </w:tc>
        <w:tc>
          <w:tcPr>
            <w:tcW w:type="dxa" w:w="142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7179</w:t>
            </w:r>
          </w:p>
        </w:tc>
      </w:tr>
    </w:tbl>
    <w:p>
      <w:pPr>
        <w:sectPr>
          <w:type w:val="continuous"/>
          <w:pgSz w:w="11909" w:h="16834"/>
          <w:pgMar w:top="965" w:right="965" w:bottom="965" w:left="965" w:header="720" w:footer="720" w:gutter="0"/>
          <w:cols w:space="0" w:num="1"/>
          <w:docGrid w:linePitch="360"/>
        </w:sectPr>
      </w:pPr>
    </w:p>
    <w:p>
      <w:pPr>
        <w:sectPr>
          <w:type w:val="continuous"/>
          <w:pgSz w:w="11909" w:h="16834"/>
          <w:pgMar w:top="965" w:right="965" w:bottom="965" w:left="965" w:header="720" w:footer="720" w:gutter="0"/>
          <w:cols w:space="300" w:num="2"/>
          <w:docGrid w:linePitch="360"/>
        </w:sectPr>
      </w:pPr>
    </w:p>
    <w:p>
      <w:pPr>
        <w:jc w:val="center"/>
      </w:pPr>
      <w:r>
        <w:drawing>
          <wp:inline xmlns:a="http://schemas.openxmlformats.org/drawingml/2006/main" xmlns:pic="http://schemas.openxmlformats.org/drawingml/2006/picture">
            <wp:extent cx="6080760" cy="2099488"/>
            <wp:docPr id="1" name="Picture 1" title="Figure 1 Representative samples generated by the reproducible analysis notebook" descr="Figure 1 Representative samples generated by the reproducible analysis notebook"/>
            <wp:cNvGraphicFramePr>
              <a:graphicFrameLocks noChangeAspect="1"/>
            </wp:cNvGraphicFramePr>
            <a:graphic>
              <a:graphicData uri="http://schemas.openxmlformats.org/drawingml/2006/picture">
                <pic:pic>
                  <pic:nvPicPr>
                    <pic:cNvPr id="0" name="figure_02_dataset_samples.png"/>
                    <pic:cNvPicPr/>
                  </pic:nvPicPr>
                  <pic:blipFill>
                    <a:blip r:embed="rId12"/>
                    <a:stretch>
                      <a:fillRect/>
                    </a:stretch>
                  </pic:blipFill>
                  <pic:spPr>
                    <a:xfrm>
                      <a:off x="0" y="0"/>
                      <a:ext cx="6080760" cy="2099488"/>
                    </a:xfrm>
                    <a:prstGeom prst="rect"/>
                  </pic:spPr>
                </pic:pic>
              </a:graphicData>
            </a:graphic>
          </wp:inline>
        </w:drawing>
      </w:r>
    </w:p>
    <w:p>
      <w:pPr>
        <w:keepLines/>
        <w:spacing w:after="80"/>
        <w:jc w:val="center"/>
      </w:pPr>
      <w:r>
        <w:rPr>
          <w:rFonts w:ascii="Arial" w:hAnsi="Arial"/>
          <w:sz w:val="16"/>
        </w:rPr>
        <w:t>Figure 1 Representative samples generated by the reproducible analysis notebook</w:t>
      </w:r>
    </w:p>
    <w:p>
      <w:pPr>
        <w:sectPr>
          <w:type w:val="continuous"/>
          <w:pgSz w:w="11909" w:h="16834"/>
          <w:pgMar w:top="965" w:right="965" w:bottom="965" w:left="965" w:header="720" w:footer="720" w:gutter="0"/>
          <w:cols w:space="0" w:num="1"/>
          <w:docGrid w:linePitch="360"/>
        </w:sectPr>
      </w:pPr>
    </w:p>
    <w:p>
      <w:pPr>
        <w:pStyle w:val="Heading2"/>
      </w:pPr>
      <w:r>
        <w:t>2.2 Frozen representation and compression</w:t>
      </w:r>
    </w:p>
    <w:p>
      <w:pPr>
        <w:spacing w:line="240" w:lineRule="auto" w:after="60"/>
        <w:ind w:firstLine="360"/>
      </w:pPr>
      <w:r>
        <w:rPr>
          <w:rFonts w:ascii="Times New Roman" w:hAnsi="Times New Roman"/>
          <w:sz w:val="19"/>
        </w:rPr>
        <w:t>Every image was converted to RGB, resized deterministically to 224 by 224 pixels using bicubic interpolation, normalized with ImageNet statistics, and processed once by frozen DINOv2 ViT-S/14 (Oquab et al 2024). The 384D normalized CLS token was cached as float32. No image augmentation or encoder fine-tuning was used, ensuring that the only experimental factor before classification was the reducer.</w:t>
      </w:r>
    </w:p>
    <w:p>
      <w:pPr>
        <w:spacing w:line="240" w:lineRule="auto" w:after="60"/>
        <w:ind w:firstLine="360"/>
      </w:pPr>
      <w:r>
        <w:rPr>
          <w:rFonts w:ascii="Times New Roman" w:hAnsi="Times New Roman"/>
          <w:sz w:val="19"/>
        </w:rPr>
        <w:t>PCA-6 represented unsupervised variance preservation; LDA-6 represented supervised linear discrimination; NCA-6 represented supervised metric learning (Goldberger et al 2004); and SLP-6 used a learned 384-to-6 tanh bottleneck whose temporary classification layer was discarded. Each reducer was fitted on training data only. A second training-fitted standardizer mapped every reduced coordinate to an angle-compatible range.</w:t>
      </w:r>
    </w:p>
    <w:p>
      <w:pPr>
        <w:jc w:val="center"/>
      </w:pPr>
      <m:oMathPara>
        <m:oMath>
          <m:r>
            <m:t>x̃ⱼ = π tanh(zⱼ)</m:t>
          </m:r>
        </m:oMath>
      </m:oMathPara>
    </w:p>
    <w:p>
      <w:pPr>
        <w:sectPr>
          <w:type w:val="continuous"/>
          <w:pgSz w:w="11909" w:h="16834"/>
          <w:pgMar w:top="965" w:right="965" w:bottom="965" w:left="965" w:header="720" w:footer="720" w:gutter="0"/>
          <w:cols w:space="300" w:num="2"/>
          <w:docGrid w:linePitch="360"/>
        </w:sectPr>
      </w:pPr>
    </w:p>
    <w:p>
      <w:pPr>
        <w:jc w:val="center"/>
      </w:pPr>
      <w:r>
        <w:drawing>
          <wp:inline xmlns:a="http://schemas.openxmlformats.org/drawingml/2006/main" xmlns:pic="http://schemas.openxmlformats.org/drawingml/2006/picture">
            <wp:extent cx="6080760" cy="3484256"/>
            <wp:docPr id="2" name="Picture 2" title="Figure 2 Controlled reducer by head factorial design generated by the analysis notebook" descr="Figure 2 Controlled reducer by head factorial design generated by the analysis notebook"/>
            <wp:cNvGraphicFramePr>
              <a:graphicFrameLocks noChangeAspect="1"/>
            </wp:cNvGraphicFramePr>
            <a:graphic>
              <a:graphicData uri="http://schemas.openxmlformats.org/drawingml/2006/picture">
                <pic:pic>
                  <pic:nvPicPr>
                    <pic:cNvPr id="0" name="figure_01_pipeline.png"/>
                    <pic:cNvPicPr/>
                  </pic:nvPicPr>
                  <pic:blipFill>
                    <a:blip r:embed="rId13"/>
                    <a:stretch>
                      <a:fillRect/>
                    </a:stretch>
                  </pic:blipFill>
                  <pic:spPr>
                    <a:xfrm>
                      <a:off x="0" y="0"/>
                      <a:ext cx="6080760" cy="3484256"/>
                    </a:xfrm>
                    <a:prstGeom prst="rect"/>
                  </pic:spPr>
                </pic:pic>
              </a:graphicData>
            </a:graphic>
          </wp:inline>
        </w:drawing>
      </w:r>
    </w:p>
    <w:p>
      <w:pPr>
        <w:keepLines/>
        <w:spacing w:after="80"/>
        <w:jc w:val="center"/>
      </w:pPr>
      <w:r>
        <w:rPr>
          <w:rFonts w:ascii="Arial" w:hAnsi="Arial"/>
          <w:sz w:val="16"/>
        </w:rPr>
        <w:t>Figure 2 Controlled reducer by head factorial design generated by the analysis notebook</w:t>
      </w:r>
    </w:p>
    <w:p>
      <w:pPr>
        <w:sectPr>
          <w:type w:val="continuous"/>
          <w:pgSz w:w="11909" w:h="16834"/>
          <w:pgMar w:top="965" w:right="965" w:bottom="965" w:left="965" w:header="720" w:footer="720" w:gutter="0"/>
          <w:cols w:space="0" w:num="1"/>
          <w:docGrid w:linePitch="360"/>
        </w:sectPr>
      </w:pPr>
    </w:p>
    <w:p>
      <w:pPr>
        <w:pStyle w:val="Heading2"/>
      </w:pPr>
      <w:r>
        <w:t>2.3 Classical and quantum heads</w:t>
      </w:r>
    </w:p>
    <w:p>
      <w:pPr>
        <w:spacing w:line="240" w:lineRule="auto" w:after="60"/>
        <w:ind w:firstLine="360"/>
      </w:pPr>
      <w:r>
        <w:rPr>
          <w:rFonts w:ascii="Times New Roman" w:hAnsi="Times New Roman"/>
          <w:sz w:val="19"/>
        </w:rPr>
        <w:t>All four heads received exactly the same scaled six-dimensional vectors. Logistic regression and RBF-SVM provided linear and nonlinear classical references. The MLP comprised a bias-free 6-to-6 hidden layer, tanh activation, and a 6-to-C output layer. The VQC used six qubits and two data-reuploading layers; each layer applied RY input encoding, one trainable Rot gate per qubit, and ring CNOT entanglement before six Pauli-Z expectation values were passed to a 6-to-C linear output.</w:t>
      </w:r>
    </w:p>
    <w:p>
      <w:pPr>
        <w:jc w:val="center"/>
      </w:pPr>
      <m:oMathPara>
        <m:oMath>
          <m:r>
            <m:t>Pᵥᵩ꜀ = 6 × 3 × 2 + 6C + C = 36 + 7C</m:t>
          </m:r>
        </m:oMath>
      </m:oMathPara>
    </w:p>
    <w:p>
      <w:pPr>
        <w:spacing w:line="240" w:lineRule="auto" w:after="60"/>
        <w:ind w:firstLine="360"/>
      </w:pPr>
      <w:r>
        <w:rPr>
          <w:rFonts w:ascii="Times New Roman" w:hAnsi="Times New Roman"/>
          <w:sz w:val="19"/>
        </w:rPr>
        <w:t>The MLP parameter count is 6 x 6 + 6C + C, exactly matching the VQC at 106 trainable parameters for ten-class datasets and 99 for PathMNIST. This parity prevents model capacity from becoming an uncontrolled explanation for a classical-quantum difference.</w:t>
      </w:r>
    </w:p>
    <w:p>
      <w:pPr>
        <w:pStyle w:val="Heading2"/>
      </w:pPr>
      <w:r>
        <w:t>2.4 Selection, test isolation, and statistics</w:t>
      </w:r>
    </w:p>
    <w:p>
      <w:pPr>
        <w:spacing w:line="240" w:lineRule="auto" w:after="60"/>
        <w:ind w:firstLine="360"/>
      </w:pPr>
      <w:r>
        <w:rPr>
          <w:rFonts w:ascii="Times New Roman" w:hAnsi="Times New Roman"/>
          <w:sz w:val="19"/>
        </w:rPr>
        <w:t>Each final seed selected a stratified 150 examples per class from training data, while a single balanced validation set contained 100 examples per class. Hyperparameters were selected with pilot seed 2026 by validation macro-F1, with validation negative log-likelihood as tie-breaker. The selected settings and data hashes were frozen before any test-label access. Final seeds were 11, 22, 33, 44, 55, 66, 77, 88, 99, and 111.</w:t>
      </w:r>
    </w:p>
    <w:p>
      <w:pPr>
        <w:spacing w:line="240" w:lineRule="auto" w:after="60"/>
        <w:ind w:firstLine="360"/>
      </w:pPr>
      <w:r>
        <w:rPr>
          <w:rFonts w:ascii="Times New Roman" w:hAnsi="Times New Roman"/>
          <w:sz w:val="19"/>
        </w:rPr>
        <w:t>Macro-F1 was the primary endpoint. Secondary endpoints were balanced accuracy, accuracy, MCC, macro precision and recall, one-vs-rest macro ROC-AUC, NLL, expected calibration error, multiclass Brier score, fit time, and inference time. Reducer effects were tested with Friedman tests followed by planned Wilcoxon signed-rank comparisons and Holm correction (Demsar 2006; Holm 1979). Paired model gaps and compression penalties used 10,000 bootstrap resamples over seed differences (Efron and Tibshirani 1993). Datasets were summarized separately rather than pooled as pseudo-independent replicates.</w:t>
      </w:r>
    </w:p>
    <w:p>
      <w:pPr>
        <w:jc w:val="center"/>
      </w:pPr>
      <m:oMathPara>
        <m:oMath>
          <m:r>
            <m:t>Δcompression(r) = F1RBF-384 - F1RBF-6,r</m:t>
          </m:r>
        </m:oMath>
      </m:oMathPara>
    </w:p>
    <w:p>
      <w:pPr>
        <w:jc w:val="center"/>
      </w:pPr>
      <m:oMathPara>
        <m:oMath>
          <m:r>
            <m:t>ΔVQC-MLP(r) = F1VQC,r - F1MLP,r</m:t>
          </m:r>
        </m:oMath>
      </m:oMathPara>
    </w:p>
    <w:p>
      <w:pPr>
        <w:pStyle w:val="Heading1"/>
      </w:pPr>
      <w:r>
        <w:t>3 Results</w:t>
      </w:r>
    </w:p>
    <w:p>
      <w:pPr>
        <w:spacing w:line="240" w:lineRule="auto" w:after="60"/>
        <w:ind w:firstLine="360"/>
      </w:pPr>
      <w:r>
        <w:rPr>
          <w:rFonts w:ascii="Times New Roman" w:hAnsi="Times New Roman"/>
          <w:sz w:val="19"/>
        </w:rPr>
        <w:t>All reported test values were produced after validation-only selection and protocol freezing. Table 3 summarizes the mean and standard deviation across the ten matched seeds. Figure 3 exposes interactions between reducer and head that would be hidden by a single best-model comparison.</w:t>
      </w:r>
    </w:p>
    <w:p>
      <w:pPr>
        <w:sectPr>
          <w:type w:val="continuous"/>
          <w:pgSz w:w="11909" w:h="16834"/>
          <w:pgMar w:top="965" w:right="965" w:bottom="965" w:left="965" w:header="720" w:footer="720" w:gutter="0"/>
          <w:cols w:space="300" w:num="2"/>
          <w:docGrid w:linePitch="360"/>
        </w:sectPr>
      </w:pPr>
    </w:p>
    <w:p>
      <w:pPr>
        <w:keepNext/>
        <w:spacing w:before="100" w:after="60"/>
        <w:jc w:val="left"/>
      </w:pPr>
      <w:r>
        <w:rPr>
          <w:rFonts w:ascii="Arial" w:hAnsi="Arial"/>
          <w:b/>
          <w:sz w:val="17"/>
        </w:rPr>
        <w:t>Table 3 Test performance across ten matched seeds</w:t>
      </w:r>
    </w:p>
    <w:tbl>
      <w:tblPr>
        <w:tblW w:type="auto" w:w="0"/>
        <w:jc w:val="left"/>
        <w:tblLayout w:type="autofit"/>
        <w:tblLook w:firstColumn="1" w:firstRow="1" w:lastColumn="0" w:lastRow="0" w:noHBand="0" w:noVBand="1" w:val="04A0"/>
      </w:tblPr>
      <w:tblGrid>
        <w:gridCol w:w="1996"/>
        <w:gridCol w:w="1996"/>
        <w:gridCol w:w="1996"/>
        <w:gridCol w:w="1996"/>
        <w:gridCol w:w="1996"/>
      </w:tblGrid>
      <w:tr>
        <w:trPr>
          <w:tblHeader w:val="true"/>
          <w:cantSplit w:val="true"/>
        </w:trPr>
        <w:tc>
          <w:tcPr>
            <w:tcW w:type="dxa" w:w="199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Dataset</w:t>
            </w:r>
          </w:p>
        </w:tc>
        <w:tc>
          <w:tcPr>
            <w:tcW w:type="dxa" w:w="199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Reducer</w:t>
            </w:r>
          </w:p>
        </w:tc>
        <w:tc>
          <w:tcPr>
            <w:tcW w:type="dxa" w:w="199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Head</w:t>
            </w:r>
          </w:p>
        </w:tc>
        <w:tc>
          <w:tcPr>
            <w:tcW w:type="dxa" w:w="199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Macro-F1 mean +/- SD</w:t>
            </w:r>
          </w:p>
        </w:tc>
        <w:tc>
          <w:tcPr>
            <w:tcW w:type="dxa" w:w="199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Accuracy mean</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lr</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0.8985 +/- 0.0155</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0.8989</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mlp</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0.8812 +/- 0.0153</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0.8815</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rbf</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0.9003 +/- 0.0154</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0.9004</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vqc</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0.6649 +/- 0.0320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0.6647</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lr</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0.9326 +/- 0.0023</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0.9326</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mlp</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0.9191 +/- 0.0038</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0.9196</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rbf</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0.9381 +/- 0.0028</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0.9381</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vqc</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0.5296 +/- 0.0385</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0.5366</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lr</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0.8630 +/- 0.0052</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0.8637</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mlp</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0.8493 +/- 0.0065</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0.8516</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rbf</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0.8782 +/- 0.0064</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0.8781</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vqc</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0.5261 +/- 0.0424</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0.5372</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lr</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0.9455 +/- 0.0033</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0.9456</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mlp</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0.9336 +/- 0.0049</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0.9336</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rbf</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0.9434 +/- 0.0033</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0.9434</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vqc</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0.8555 +/- 0.0158</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0.8539</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lr</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0.8460 +/- 0.0061</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0.8565</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mlp</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0.8154 +/- 0.0124</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0.8275</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rbf</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0.8476 +/- 0.0083</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0.8578</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vqc</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0.4970 +/- 0.0405</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0.5063</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lr</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0.8409 +/- 0.0059</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0.8482</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mlp</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0.8246 +/- 0.0082</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0.8329</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rbf</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0.8517 +/- 0.0071</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0.8588</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vqc</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0.3241 +/- 0.0360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0.3454</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lr</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0.7532 +/- 0.0058</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0.7687</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mlp</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0.7388 +/- 0.0120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0.7566</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rbf</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0.7664 +/- 0.0062</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0.7800</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vqc</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0.3357 +/- 0.0342</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0.3671</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lr</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0.8862 +/- 0.0062</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0.8905</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mlp</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0.8694 +/- 0.0093</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0.8736</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rbf</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0.8790 +/- 0.0079</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0.8833</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vqc</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0.7522 +/- 0.0118</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0.7539</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lr</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0.7710 +/- 0.0173</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0.8261</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mlp</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0.7484 +/- 0.0236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0.8034</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rbf</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0.7774 +/- 0.0153</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0.8345</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vqc</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0.3871 +/- 0.0554</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0.3961</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lr</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0.7706 +/- 0.0271</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0.8136</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mlp</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0.7420 +/- 0.0316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0.7850</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rbf</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0.7694 +/- 0.0266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0.8141</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vqc</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0.3313 +/- 0.0435</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0.3770</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lr</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0.7021 +/- 0.0217</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0.7427</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mlp</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0.6849 +/- 0.0194</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0.7295</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rbf</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0.7092 +/- 0.0120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0.7517</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vqc</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0.3369 +/- 0.0450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0.3856</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lr</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0.7946 +/- 0.0289</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0.8436</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mlp</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0.7789 +/- 0.0296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0.8297</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rbf</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0.7950 +/- 0.0261</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0.8436</w:t>
            </w:r>
          </w:p>
        </w:tc>
      </w:tr>
      <w:tr>
        <w:trPr>
          <w:cantSplit w:val="true"/>
        </w:trPr>
        <w:tc>
          <w:tcPr>
            <w:tcW w:type="dxa" w:w="199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vqc</w:t>
            </w:r>
          </w:p>
        </w:tc>
        <w:tc>
          <w:tcPr>
            <w:tcW w:type="dxa" w:w="199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0.6512 +/- 0.0327</w:t>
            </w:r>
          </w:p>
        </w:tc>
        <w:tc>
          <w:tcPr>
            <w:tcW w:type="dxa" w:w="199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0.6993</w:t>
            </w:r>
          </w:p>
        </w:tc>
      </w:tr>
    </w:tbl>
    <w:p>
      <w:pPr>
        <w:sectPr>
          <w:type w:val="continuous"/>
          <w:pgSz w:w="11909" w:h="16834"/>
          <w:pgMar w:top="965" w:right="965" w:bottom="965" w:left="965" w:header="720" w:footer="720" w:gutter="0"/>
          <w:cols w:space="0" w:num="1"/>
          <w:docGrid w:linePitch="360"/>
        </w:sectPr>
      </w:pPr>
    </w:p>
    <w:p>
      <w:pPr>
        <w:sectPr>
          <w:type w:val="continuous"/>
          <w:pgSz w:w="11909" w:h="16834"/>
          <w:pgMar w:top="965" w:right="965" w:bottom="965" w:left="965" w:header="720" w:footer="720" w:gutter="0"/>
          <w:cols w:space="300" w:num="2"/>
          <w:docGrid w:linePitch="360"/>
        </w:sectPr>
      </w:pPr>
    </w:p>
    <w:p>
      <w:pPr>
        <w:jc w:val="center"/>
      </w:pPr>
      <w:r>
        <w:drawing>
          <wp:inline xmlns:a="http://schemas.openxmlformats.org/drawingml/2006/main" xmlns:pic="http://schemas.openxmlformats.org/drawingml/2006/picture">
            <wp:extent cx="6080760" cy="1726408"/>
            <wp:docPr id="3" name="Picture 3" title="Figure 3 Mean test macro-F1 for each controlled reducer-head condition" descr="Figure 3 Mean test macro-F1 for each controlled reducer-head condition"/>
            <wp:cNvGraphicFramePr>
              <a:graphicFrameLocks noChangeAspect="1"/>
            </wp:cNvGraphicFramePr>
            <a:graphic>
              <a:graphicData uri="http://schemas.openxmlformats.org/drawingml/2006/picture">
                <pic:pic>
                  <pic:nvPicPr>
                    <pic:cNvPr id="0" name="figure_03_macro_f1_heatmap.png"/>
                    <pic:cNvPicPr/>
                  </pic:nvPicPr>
                  <pic:blipFill>
                    <a:blip r:embed="rId14"/>
                    <a:stretch>
                      <a:fillRect/>
                    </a:stretch>
                  </pic:blipFill>
                  <pic:spPr>
                    <a:xfrm>
                      <a:off x="0" y="0"/>
                      <a:ext cx="6080760" cy="1726408"/>
                    </a:xfrm>
                    <a:prstGeom prst="rect"/>
                  </pic:spPr>
                </pic:pic>
              </a:graphicData>
            </a:graphic>
          </wp:inline>
        </w:drawing>
      </w:r>
    </w:p>
    <w:p>
      <w:pPr>
        <w:keepLines/>
        <w:spacing w:after="80"/>
        <w:jc w:val="center"/>
      </w:pPr>
      <w:r>
        <w:rPr>
          <w:rFonts w:ascii="Arial" w:hAnsi="Arial"/>
          <w:sz w:val="16"/>
        </w:rPr>
        <w:t>Figure 3 Mean test macro-F1 for each controlled reducer-head condition</w:t>
      </w:r>
    </w:p>
    <w:p>
      <w:pPr>
        <w:sectPr>
          <w:type w:val="continuous"/>
          <w:pgSz w:w="11909" w:h="16834"/>
          <w:pgMar w:top="965" w:right="965" w:bottom="965" w:left="965" w:header="720" w:footer="720" w:gutter="0"/>
          <w:cols w:space="0" w:num="1"/>
          <w:docGrid w:linePitch="360"/>
        </w:sectPr>
      </w:pPr>
    </w:p>
    <w:p>
      <w:pPr>
        <w:pStyle w:val="Heading2"/>
      </w:pPr>
      <w:r>
        <w:t>3.1 Compression and head effects</w:t>
      </w:r>
    </w:p>
    <w:p>
      <w:pPr>
        <w:spacing w:line="240" w:lineRule="auto" w:after="60"/>
        <w:ind w:firstLine="360"/>
      </w:pPr>
      <w:r>
        <w:rPr>
          <w:rFonts w:ascii="Times New Roman" w:hAnsi="Times New Roman"/>
          <w:sz w:val="19"/>
        </w:rPr>
        <w:t>The mean absolute matched VQC-MLP gap was 0.2995, at least as large as the mean absolute compression penalty of 0.0773.</w:t>
      </w:r>
    </w:p>
    <w:p>
      <w:pPr>
        <w:sectPr>
          <w:type w:val="continuous"/>
          <w:pgSz w:w="11909" w:h="16834"/>
          <w:pgMar w:top="965" w:right="965" w:bottom="965" w:left="965" w:header="720" w:footer="720" w:gutter="0"/>
          <w:cols w:space="300" w:num="2"/>
          <w:docGrid w:linePitch="360"/>
        </w:sectPr>
      </w:pPr>
    </w:p>
    <w:p>
      <w:pPr>
        <w:keepNext/>
        <w:spacing w:before="100" w:after="60"/>
        <w:jc w:val="left"/>
      </w:pPr>
      <w:r>
        <w:rPr>
          <w:rFonts w:ascii="Arial" w:hAnsi="Arial"/>
          <w:b/>
          <w:sz w:val="17"/>
        </w:rPr>
        <w:t>Table 4 Compression penalty relative to the full-space RBF reference</w:t>
      </w:r>
    </w:p>
    <w:tbl>
      <w:tblPr>
        <w:tblW w:type="auto" w:w="0"/>
        <w:jc w:val="left"/>
        <w:tblLayout w:type="autofit"/>
        <w:tblLook w:firstColumn="1" w:firstRow="1" w:lastColumn="0" w:lastRow="0" w:noHBand="0" w:noVBand="1" w:val="04A0"/>
      </w:tblPr>
      <w:tblGrid>
        <w:gridCol w:w="1663"/>
        <w:gridCol w:w="1663"/>
        <w:gridCol w:w="1663"/>
        <w:gridCol w:w="1663"/>
        <w:gridCol w:w="1663"/>
        <w:gridCol w:w="1663"/>
      </w:tblGrid>
      <w:tr>
        <w:trPr>
          <w:tblHeader w:val="true"/>
          <w:cantSplit w:val="true"/>
        </w:trPr>
        <w:tc>
          <w:tcPr>
            <w:tcW w:type="dxa" w:w="166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Dataset</w:t>
            </w:r>
          </w:p>
        </w:tc>
        <w:tc>
          <w:tcPr>
            <w:tcW w:type="dxa" w:w="166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Reducer</w:t>
            </w:r>
          </w:p>
        </w:tc>
        <w:tc>
          <w:tcPr>
            <w:tcW w:type="dxa" w:w="166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RBF 384D</w:t>
            </w:r>
          </w:p>
        </w:tc>
        <w:tc>
          <w:tcPr>
            <w:tcW w:type="dxa" w:w="166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RBF 6D</w:t>
            </w:r>
          </w:p>
        </w:tc>
        <w:tc>
          <w:tcPr>
            <w:tcW w:type="dxa" w:w="166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Penalty</w:t>
            </w:r>
          </w:p>
        </w:tc>
        <w:tc>
          <w:tcPr>
            <w:tcW w:type="dxa" w:w="166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95% CI</w:t>
            </w:r>
          </w:p>
        </w:tc>
      </w:tr>
      <w:tr>
        <w:trPr>
          <w:cantSplit w:val="true"/>
        </w:trPr>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0.9647</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0.8782</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0.0865</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[0.0834, 0.0899]</w:t>
            </w:r>
          </w:p>
        </w:tc>
      </w:tr>
      <w:tr>
        <w:trPr>
          <w:cantSplit w:val="true"/>
        </w:trPr>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0.9647</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0.9003</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0.0644</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[0.0552, 0.0740]</w:t>
            </w:r>
          </w:p>
        </w:tc>
      </w:tr>
      <w:tr>
        <w:trPr>
          <w:cantSplit w:val="true"/>
        </w:trPr>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0.9647</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0.9381</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0.0266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[0.0248, 0.0282]</w:t>
            </w:r>
          </w:p>
        </w:tc>
      </w:tr>
      <w:tr>
        <w:trPr>
          <w:cantSplit w:val="true"/>
        </w:trPr>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0.9647</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0.9434</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0.0213</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[0.0193, 0.0232]</w:t>
            </w:r>
          </w:p>
        </w:tc>
      </w:tr>
      <w:tr>
        <w:trPr>
          <w:cantSplit w:val="true"/>
        </w:trPr>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0.9314</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0.7664</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0.1650</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[0.1608, 0.1690]</w:t>
            </w:r>
          </w:p>
        </w:tc>
      </w:tr>
      <w:tr>
        <w:trPr>
          <w:cantSplit w:val="true"/>
        </w:trPr>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0.9314</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0.8476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0.0837</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[0.0790, 0.0893]</w:t>
            </w:r>
          </w:p>
        </w:tc>
      </w:tr>
      <w:tr>
        <w:trPr>
          <w:cantSplit w:val="true"/>
        </w:trPr>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0.9314</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0.8517</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0.0797</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[0.0753, 0.0840]</w:t>
            </w:r>
          </w:p>
        </w:tc>
      </w:tr>
      <w:tr>
        <w:trPr>
          <w:cantSplit w:val="true"/>
        </w:trPr>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0.9314</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0.8790</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0.0523</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[0.0475, 0.0578]</w:t>
            </w:r>
          </w:p>
        </w:tc>
      </w:tr>
      <w:tr>
        <w:trPr>
          <w:cantSplit w:val="true"/>
        </w:trPr>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0.8497</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0.7092</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0.1405</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[0.1311, 0.1485]</w:t>
            </w:r>
          </w:p>
        </w:tc>
      </w:tr>
      <w:tr>
        <w:trPr>
          <w:cantSplit w:val="true"/>
        </w:trPr>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0.8497</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0.7774</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0.0723</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[0.0645, 0.0806]</w:t>
            </w:r>
          </w:p>
        </w:tc>
      </w:tr>
      <w:tr>
        <w:trPr>
          <w:cantSplit w:val="true"/>
        </w:trPr>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0.8497</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0.7694</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0.0803</w:t>
            </w:r>
          </w:p>
        </w:tc>
        <w:tc>
          <w:tcPr>
            <w:tcW w:type="dxa" w:w="166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[0.0651, 0.0936]</w:t>
            </w:r>
          </w:p>
        </w:tc>
      </w:tr>
      <w:tr>
        <w:trPr>
          <w:cantSplit w:val="true"/>
        </w:trPr>
        <w:tc>
          <w:tcPr>
            <w:tcW w:type="dxa" w:w="166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pathmnist</w:t>
            </w:r>
          </w:p>
        </w:tc>
        <w:tc>
          <w:tcPr>
            <w:tcW w:type="dxa" w:w="166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slp6</w:t>
            </w:r>
          </w:p>
        </w:tc>
        <w:tc>
          <w:tcPr>
            <w:tcW w:type="dxa" w:w="166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0.8497</w:t>
            </w:r>
          </w:p>
        </w:tc>
        <w:tc>
          <w:tcPr>
            <w:tcW w:type="dxa" w:w="166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0.7950</w:t>
            </w:r>
          </w:p>
        </w:tc>
        <w:tc>
          <w:tcPr>
            <w:tcW w:type="dxa" w:w="166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0.0547</w:t>
            </w:r>
          </w:p>
        </w:tc>
        <w:tc>
          <w:tcPr>
            <w:tcW w:type="dxa" w:w="166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[0.0373, 0.0697]</w:t>
            </w:r>
          </w:p>
        </w:tc>
      </w:tr>
    </w:tbl>
    <w:p>
      <w:pPr>
        <w:sectPr>
          <w:type w:val="continuous"/>
          <w:pgSz w:w="11909" w:h="16834"/>
          <w:pgMar w:top="965" w:right="965" w:bottom="965" w:left="965" w:header="720" w:footer="720" w:gutter="0"/>
          <w:cols w:space="0" w:num="1"/>
          <w:docGrid w:linePitch="360"/>
        </w:sectPr>
      </w:pPr>
    </w:p>
    <w:p>
      <w:pPr>
        <w:sectPr>
          <w:type w:val="continuous"/>
          <w:pgSz w:w="11909" w:h="16834"/>
          <w:pgMar w:top="965" w:right="965" w:bottom="965" w:left="965" w:header="720" w:footer="720" w:gutter="0"/>
          <w:cols w:space="300" w:num="2"/>
          <w:docGrid w:linePitch="360"/>
        </w:sectPr>
      </w:pPr>
    </w:p>
    <w:p>
      <w:pPr>
        <w:keepNext/>
        <w:spacing w:before="100" w:after="60"/>
        <w:jc w:val="left"/>
      </w:pPr>
      <w:r>
        <w:rPr>
          <w:rFonts w:ascii="Arial" w:hAnsi="Arial"/>
          <w:b/>
          <w:sz w:val="17"/>
        </w:rPr>
        <w:t>Table 5 Matched quantum-classical head differences across ten paired seeds</w:t>
      </w:r>
    </w:p>
    <w:tbl>
      <w:tblPr>
        <w:tblW w:type="auto" w:w="0"/>
        <w:jc w:val="left"/>
        <w:tblLayout w:type="autofit"/>
        <w:tblLook w:firstColumn="1" w:firstRow="1" w:lastColumn="0" w:lastRow="0" w:noHBand="0" w:noVBand="1" w:val="04A0"/>
      </w:tblPr>
      <w:tblGrid>
        <w:gridCol w:w="1996"/>
        <w:gridCol w:w="1996"/>
        <w:gridCol w:w="1996"/>
        <w:gridCol w:w="1996"/>
        <w:gridCol w:w="1996"/>
      </w:tblGrid>
      <w:tr>
        <w:trPr>
          <w:tblHeader w:val="true"/>
          <w:cantSplit w:val="true"/>
        </w:trPr>
        <w:tc>
          <w:tcPr>
            <w:tcW w:type="dxa" w:w="199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Dataset</w:t>
            </w:r>
          </w:p>
        </w:tc>
        <w:tc>
          <w:tcPr>
            <w:tcW w:type="dxa" w:w="199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Reducer</w:t>
            </w:r>
          </w:p>
        </w:tc>
        <w:tc>
          <w:tcPr>
            <w:tcW w:type="dxa" w:w="199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VQC minus MLP</w:t>
            </w:r>
          </w:p>
        </w:tc>
        <w:tc>
          <w:tcPr>
            <w:tcW w:type="dxa" w:w="199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95% paired bootstrap CI</w:t>
            </w:r>
          </w:p>
        </w:tc>
        <w:tc>
          <w:tcPr>
            <w:tcW w:type="dxa" w:w="199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Holm adjusted p</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-0.3232</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[-0.3489, -0.3001]</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0.01562</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-0.2163</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[-0.2360, -0.1972]</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0.01562</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-0.3895</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[-0.4114, -0.3668]</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0.01562</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-0.0781</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[-0.0876, -0.0699]</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0.01562</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-0.4031</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[-0.4212, -0.3846]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0.01562</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-0.3184</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[-0.3398, -0.2982]</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0.01562</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-0.5005</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[-0.5229, -0.4804]</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0.01562</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-0.1172</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[-0.1233, -0.1104]</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0.01562</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-0.3481</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[-0.3704, -0.3264]</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0.01562</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lda6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-0.3613</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[-0.3894, -0.3278]</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0.01562</w:t>
            </w:r>
          </w:p>
        </w:tc>
      </w:tr>
      <w:tr>
        <w:trPr>
          <w:cantSplit w:val="true"/>
        </w:trPr>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nca6</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-0.4107</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[-0.4456, -0.3762]</w:t>
            </w:r>
          </w:p>
        </w:tc>
        <w:tc>
          <w:tcPr>
            <w:tcW w:type="dxa" w:w="199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0.01562</w:t>
            </w:r>
          </w:p>
        </w:tc>
      </w:tr>
      <w:tr>
        <w:trPr>
          <w:cantSplit w:val="true"/>
        </w:trPr>
        <w:tc>
          <w:tcPr>
            <w:tcW w:type="dxa" w:w="199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pathmnist</w:t>
            </w:r>
          </w:p>
        </w:tc>
        <w:tc>
          <w:tcPr>
            <w:tcW w:type="dxa" w:w="199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slp6</w:t>
            </w:r>
          </w:p>
        </w:tc>
        <w:tc>
          <w:tcPr>
            <w:tcW w:type="dxa" w:w="199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-0.1278</w:t>
            </w:r>
          </w:p>
        </w:tc>
        <w:tc>
          <w:tcPr>
            <w:tcW w:type="dxa" w:w="199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[-0.1438, -0.1098]</w:t>
            </w:r>
          </w:p>
        </w:tc>
        <w:tc>
          <w:tcPr>
            <w:tcW w:type="dxa" w:w="199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0.01562</w:t>
            </w:r>
          </w:p>
        </w:tc>
      </w:tr>
    </w:tbl>
    <w:p>
      <w:pPr>
        <w:sectPr>
          <w:type w:val="continuous"/>
          <w:pgSz w:w="11909" w:h="16834"/>
          <w:pgMar w:top="965" w:right="965" w:bottom="965" w:left="965" w:header="720" w:footer="720" w:gutter="0"/>
          <w:cols w:space="0" w:num="1"/>
          <w:docGrid w:linePitch="360"/>
        </w:sectPr>
      </w:pPr>
    </w:p>
    <w:p>
      <w:pPr>
        <w:sectPr>
          <w:type w:val="continuous"/>
          <w:pgSz w:w="11909" w:h="16834"/>
          <w:pgMar w:top="965" w:right="965" w:bottom="965" w:left="965" w:header="720" w:footer="720" w:gutter="0"/>
          <w:cols w:space="300" w:num="2"/>
          <w:docGrid w:linePitch="360"/>
        </w:sectPr>
      </w:pPr>
    </w:p>
    <w:p>
      <w:pPr>
        <w:keepNext/>
        <w:spacing w:before="100" w:after="60"/>
        <w:jc w:val="left"/>
      </w:pPr>
      <w:r>
        <w:rPr>
          <w:rFonts w:ascii="Arial" w:hAnsi="Arial"/>
          <w:b/>
          <w:sz w:val="17"/>
        </w:rPr>
        <w:t>Table 6 Friedman tests of VQC performance across the four reducers</w:t>
      </w:r>
    </w:p>
    <w:tbl>
      <w:tblPr>
        <w:tblW w:type="auto" w:w="0"/>
        <w:jc w:val="left"/>
        <w:tblLayout w:type="autofit"/>
        <w:tblLook w:firstColumn="1" w:firstRow="1" w:lastColumn="0" w:lastRow="0" w:noHBand="0" w:noVBand="1" w:val="04A0"/>
      </w:tblPr>
      <w:tblGrid>
        <w:gridCol w:w="2495"/>
        <w:gridCol w:w="2495"/>
        <w:gridCol w:w="2495"/>
        <w:gridCol w:w="2495"/>
      </w:tblGrid>
      <w:tr>
        <w:trPr>
          <w:tblHeader w:val="true"/>
          <w:cantSplit w:val="true"/>
        </w:trPr>
        <w:tc>
          <w:tcPr>
            <w:tcW w:type="dxa" w:w="2495"/>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Dataset</w:t>
            </w:r>
          </w:p>
        </w:tc>
        <w:tc>
          <w:tcPr>
            <w:tcW w:type="dxa" w:w="2495"/>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Friedman statistic</w:t>
            </w:r>
          </w:p>
        </w:tc>
        <w:tc>
          <w:tcPr>
            <w:tcW w:type="dxa" w:w="2495"/>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p value</w:t>
            </w:r>
          </w:p>
        </w:tc>
        <w:tc>
          <w:tcPr>
            <w:tcW w:type="dxa" w:w="2495"/>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Arial" w:hAnsi="Arial"/>
                <w:b/>
                <w:color w:val="000000"/>
                <w:sz w:val="15"/>
              </w:rPr>
              <w:t>Paired seed blocks</w:t>
            </w:r>
          </w:p>
        </w:tc>
      </w:tr>
      <w:tr>
        <w:trPr>
          <w:cantSplit w:val="true"/>
        </w:trPr>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cifar10</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27.120</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5.56e-06</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10</w:t>
            </w:r>
          </w:p>
        </w:tc>
      </w:tr>
      <w:tr>
        <w:trPr>
          <w:cantSplit w:val="true"/>
        </w:trPr>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eurosat</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27.120</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5.56e-06</w:t>
            </w:r>
          </w:p>
        </w:tc>
        <w:tc>
          <w:tcPr>
            <w:tcW w:type="dxa" w:w="2495"/>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Arial" w:hAnsi="Arial"/>
                <w:b w:val="0"/>
                <w:color w:val="000000"/>
                <w:sz w:val="15"/>
              </w:rPr>
              <w:t>10</w:t>
            </w:r>
          </w:p>
        </w:tc>
      </w:tr>
      <w:tr>
        <w:trPr>
          <w:cantSplit w:val="true"/>
        </w:trPr>
        <w:tc>
          <w:tcPr>
            <w:tcW w:type="dxa" w:w="2495"/>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pathmnist</w:t>
            </w:r>
          </w:p>
        </w:tc>
        <w:tc>
          <w:tcPr>
            <w:tcW w:type="dxa" w:w="2495"/>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27.120</w:t>
            </w:r>
          </w:p>
        </w:tc>
        <w:tc>
          <w:tcPr>
            <w:tcW w:type="dxa" w:w="2495"/>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5.56e-06</w:t>
            </w:r>
          </w:p>
        </w:tc>
        <w:tc>
          <w:tcPr>
            <w:tcW w:type="dxa" w:w="2495"/>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Arial" w:hAnsi="Arial"/>
                <w:b w:val="0"/>
                <w:color w:val="000000"/>
                <w:sz w:val="15"/>
              </w:rPr>
              <w:t>10</w:t>
            </w:r>
          </w:p>
        </w:tc>
      </w:tr>
    </w:tbl>
    <w:p>
      <w:pPr>
        <w:sectPr>
          <w:type w:val="continuous"/>
          <w:pgSz w:w="11909" w:h="16834"/>
          <w:pgMar w:top="965" w:right="965" w:bottom="965" w:left="965" w:header="720" w:footer="720" w:gutter="0"/>
          <w:cols w:space="0" w:num="1"/>
          <w:docGrid w:linePitch="360"/>
        </w:sectPr>
      </w:pPr>
    </w:p>
    <w:p>
      <w:pPr>
        <w:spacing w:line="240" w:lineRule="auto" w:after="60"/>
        <w:ind w:firstLine="360"/>
      </w:pPr>
      <w:r>
        <w:rPr>
          <w:rFonts w:ascii="Times New Roman" w:hAnsi="Times New Roman"/>
          <w:sz w:val="19"/>
        </w:rPr>
        <w:t>Reducer choice affected VQC macro-F1 in all three domains (Friedman statistic 27.12, p = 5.56e-6 for each dataset). Every VQC-minus-MLP contrast was negative, its paired bootstrap confidence interval excluded zero, and its Holm-adjusted Wilcoxon p value was 0.0156. The smallest disadvantage occurred with SLP-6, indicating that the learned supervised bottleneck mitigated, but did not remove, the quantum-head deficit.</w:t>
      </w:r>
    </w:p>
    <w:p>
      <w:pPr>
        <w:sectPr>
          <w:type w:val="continuous"/>
          <w:pgSz w:w="11909" w:h="16834"/>
          <w:pgMar w:top="965" w:right="965" w:bottom="965" w:left="965" w:header="720" w:footer="720" w:gutter="0"/>
          <w:cols w:space="300" w:num="2"/>
          <w:docGrid w:linePitch="360"/>
        </w:sectPr>
      </w:pPr>
    </w:p>
    <w:p>
      <w:pPr>
        <w:jc w:val="center"/>
      </w:pPr>
      <w:r>
        <w:drawing>
          <wp:inline xmlns:a="http://schemas.openxmlformats.org/drawingml/2006/main" xmlns:pic="http://schemas.openxmlformats.org/drawingml/2006/picture">
            <wp:extent cx="6080760" cy="2001304"/>
            <wp:docPr id="4" name="Picture 4" title="Figure 4 Compression penalties and matched quantum-head gaps" descr="Figure 4 Compression penalties and matched quantum-head gaps"/>
            <wp:cNvGraphicFramePr>
              <a:graphicFrameLocks noChangeAspect="1"/>
            </wp:cNvGraphicFramePr>
            <a:graphic>
              <a:graphicData uri="http://schemas.openxmlformats.org/drawingml/2006/picture">
                <pic:pic>
                  <pic:nvPicPr>
                    <pic:cNvPr id="0" name="figure_04_compression_and_head_gaps.png"/>
                    <pic:cNvPicPr/>
                  </pic:nvPicPr>
                  <pic:blipFill>
                    <a:blip r:embed="rId15"/>
                    <a:stretch>
                      <a:fillRect/>
                    </a:stretch>
                  </pic:blipFill>
                  <pic:spPr>
                    <a:xfrm>
                      <a:off x="0" y="0"/>
                      <a:ext cx="6080760" cy="2001304"/>
                    </a:xfrm>
                    <a:prstGeom prst="rect"/>
                  </pic:spPr>
                </pic:pic>
              </a:graphicData>
            </a:graphic>
          </wp:inline>
        </w:drawing>
      </w:r>
    </w:p>
    <w:p>
      <w:pPr>
        <w:keepLines/>
        <w:spacing w:after="80"/>
        <w:jc w:val="center"/>
      </w:pPr>
      <w:r>
        <w:rPr>
          <w:rFonts w:ascii="Arial" w:hAnsi="Arial"/>
          <w:sz w:val="16"/>
        </w:rPr>
        <w:t>Figure 4 Compression penalties and matched quantum-head gaps</w:t>
      </w:r>
    </w:p>
    <w:p>
      <w:pPr>
        <w:sectPr>
          <w:type w:val="continuous"/>
          <w:pgSz w:w="11909" w:h="16834"/>
          <w:pgMar w:top="965" w:right="965" w:bottom="965" w:left="965" w:header="720" w:footer="720" w:gutter="0"/>
          <w:cols w:space="0" w:num="1"/>
          <w:docGrid w:linePitch="360"/>
        </w:sectPr>
      </w:pPr>
    </w:p>
    <w:p>
      <w:pPr>
        <w:pStyle w:val="Heading2"/>
      </w:pPr>
      <w:r>
        <w:t>3.2 Representation geometry and error structure</w:t>
      </w:r>
    </w:p>
    <w:p>
      <w:pPr>
        <w:spacing w:line="240" w:lineRule="auto" w:after="60"/>
        <w:ind w:firstLine="360"/>
      </w:pPr>
      <w:r>
        <w:rPr>
          <w:rFonts w:ascii="Times New Roman" w:hAnsi="Times New Roman"/>
          <w:sz w:val="19"/>
        </w:rPr>
        <w:t>Distance preservation, neighborhood trustworthiness, Fisher separation, and silhouette score were computed on the fixed validation subset. Their association with VQC macro-F1 indicates whether circuit behavior tracks the geometry delivered by the reducer rather than the reducer label alone.</w:t>
      </w:r>
    </w:p>
    <w:p>
      <w:pPr>
        <w:sectPr>
          <w:type w:val="continuous"/>
          <w:pgSz w:w="11909" w:h="16834"/>
          <w:pgMar w:top="965" w:right="965" w:bottom="965" w:left="965" w:header="720" w:footer="720" w:gutter="0"/>
          <w:cols w:space="300" w:num="2"/>
          <w:docGrid w:linePitch="360"/>
        </w:sectPr>
      </w:pPr>
    </w:p>
    <w:p>
      <w:pPr>
        <w:jc w:val="center"/>
      </w:pPr>
      <w:r>
        <w:drawing>
          <wp:inline xmlns:a="http://schemas.openxmlformats.org/drawingml/2006/main" xmlns:pic="http://schemas.openxmlformats.org/drawingml/2006/picture">
            <wp:extent cx="6080760" cy="2208945"/>
            <wp:docPr id="5" name="Picture 5" title="Figure 5 Representation geometry in relation to VQC performance" descr="Figure 5 Representation geometry in relation to VQC performance"/>
            <wp:cNvGraphicFramePr>
              <a:graphicFrameLocks noChangeAspect="1"/>
            </wp:cNvGraphicFramePr>
            <a:graphic>
              <a:graphicData uri="http://schemas.openxmlformats.org/drawingml/2006/picture">
                <pic:pic>
                  <pic:nvPicPr>
                    <pic:cNvPr id="0" name="figure_05_representation_geometry.png"/>
                    <pic:cNvPicPr/>
                  </pic:nvPicPr>
                  <pic:blipFill>
                    <a:blip r:embed="rId16"/>
                    <a:stretch>
                      <a:fillRect/>
                    </a:stretch>
                  </pic:blipFill>
                  <pic:spPr>
                    <a:xfrm>
                      <a:off x="0" y="0"/>
                      <a:ext cx="6080760" cy="2208945"/>
                    </a:xfrm>
                    <a:prstGeom prst="rect"/>
                  </pic:spPr>
                </pic:pic>
              </a:graphicData>
            </a:graphic>
          </wp:inline>
        </w:drawing>
      </w:r>
    </w:p>
    <w:p>
      <w:pPr>
        <w:keepLines/>
        <w:spacing w:after="80"/>
        <w:jc w:val="center"/>
      </w:pPr>
      <w:r>
        <w:rPr>
          <w:rFonts w:ascii="Arial" w:hAnsi="Arial"/>
          <w:sz w:val="16"/>
        </w:rPr>
        <w:t>Figure 5 Representation geometry in relation to VQC performance</w:t>
      </w:r>
    </w:p>
    <w:p>
      <w:pPr>
        <w:sectPr>
          <w:type w:val="continuous"/>
          <w:pgSz w:w="11909" w:h="16834"/>
          <w:pgMar w:top="965" w:right="965" w:bottom="965" w:left="965" w:header="720" w:footer="720" w:gutter="0"/>
          <w:cols w:space="0" w:num="1"/>
          <w:docGrid w:linePitch="360"/>
        </w:sectPr>
      </w:pPr>
    </w:p>
    <w:p>
      <w:pPr>
        <w:sectPr>
          <w:type w:val="continuous"/>
          <w:pgSz w:w="11909" w:h="16834"/>
          <w:pgMar w:top="965" w:right="965" w:bottom="965" w:left="965" w:header="720" w:footer="720" w:gutter="0"/>
          <w:cols w:space="300" w:num="2"/>
          <w:docGrid w:linePitch="360"/>
        </w:sectPr>
      </w:pPr>
    </w:p>
    <w:p>
      <w:pPr>
        <w:jc w:val="center"/>
      </w:pPr>
      <w:r>
        <w:drawing>
          <wp:inline xmlns:a="http://schemas.openxmlformats.org/drawingml/2006/main" xmlns:pic="http://schemas.openxmlformats.org/drawingml/2006/picture">
            <wp:extent cx="6080760" cy="1809359"/>
            <wp:docPr id="6" name="Picture 6" title="Figure 6 Normalized test confusion matrices selected without using test performance" descr="Figure 6 Normalized test confusion matrices selected without using test performance"/>
            <wp:cNvGraphicFramePr>
              <a:graphicFrameLocks noChangeAspect="1"/>
            </wp:cNvGraphicFramePr>
            <a:graphic>
              <a:graphicData uri="http://schemas.openxmlformats.org/drawingml/2006/picture">
                <pic:pic>
                  <pic:nvPicPr>
                    <pic:cNvPr id="0" name="figure_06_confusion_matrices.png"/>
                    <pic:cNvPicPr/>
                  </pic:nvPicPr>
                  <pic:blipFill>
                    <a:blip r:embed="rId17"/>
                    <a:stretch>
                      <a:fillRect/>
                    </a:stretch>
                  </pic:blipFill>
                  <pic:spPr>
                    <a:xfrm>
                      <a:off x="0" y="0"/>
                      <a:ext cx="6080760" cy="1809359"/>
                    </a:xfrm>
                    <a:prstGeom prst="rect"/>
                  </pic:spPr>
                </pic:pic>
              </a:graphicData>
            </a:graphic>
          </wp:inline>
        </w:drawing>
      </w:r>
    </w:p>
    <w:p>
      <w:pPr>
        <w:keepLines/>
        <w:spacing w:after="80"/>
        <w:jc w:val="center"/>
      </w:pPr>
      <w:r>
        <w:rPr>
          <w:rFonts w:ascii="Arial" w:hAnsi="Arial"/>
          <w:sz w:val="16"/>
        </w:rPr>
        <w:t>Figure 6 Normalized test confusion matrices selected without using test performance</w:t>
      </w:r>
    </w:p>
    <w:p>
      <w:pPr>
        <w:sectPr>
          <w:type w:val="continuous"/>
          <w:pgSz w:w="11909" w:h="16834"/>
          <w:pgMar w:top="965" w:right="965" w:bottom="965" w:left="965" w:header="720" w:footer="720" w:gutter="0"/>
          <w:cols w:space="0" w:num="1"/>
          <w:docGrid w:linePitch="360"/>
        </w:sectPr>
      </w:pPr>
    </w:p>
    <w:p>
      <w:pPr>
        <w:sectPr>
          <w:type w:val="continuous"/>
          <w:pgSz w:w="11909" w:h="16834"/>
          <w:pgMar w:top="965" w:right="965" w:bottom="965" w:left="965" w:header="720" w:footer="720" w:gutter="0"/>
          <w:cols w:space="300" w:num="2"/>
          <w:docGrid w:linePitch="360"/>
        </w:sectPr>
      </w:pPr>
    </w:p>
    <w:p>
      <w:pPr>
        <w:jc w:val="center"/>
      </w:pPr>
      <w:r>
        <w:drawing>
          <wp:inline xmlns:a="http://schemas.openxmlformats.org/drawingml/2006/main" xmlns:pic="http://schemas.openxmlformats.org/drawingml/2006/picture">
            <wp:extent cx="6080760" cy="1807749"/>
            <wp:docPr id="7" name="Picture 7" title="Figure 7 Reliability diagrams for validation-selected configurations" descr="Figure 7 Reliability diagrams for validation-selected configurations"/>
            <wp:cNvGraphicFramePr>
              <a:graphicFrameLocks noChangeAspect="1"/>
            </wp:cNvGraphicFramePr>
            <a:graphic>
              <a:graphicData uri="http://schemas.openxmlformats.org/drawingml/2006/picture">
                <pic:pic>
                  <pic:nvPicPr>
                    <pic:cNvPr id="0" name="figure_07_calibration.png"/>
                    <pic:cNvPicPr/>
                  </pic:nvPicPr>
                  <pic:blipFill>
                    <a:blip r:embed="rId18"/>
                    <a:stretch>
                      <a:fillRect/>
                    </a:stretch>
                  </pic:blipFill>
                  <pic:spPr>
                    <a:xfrm>
                      <a:off x="0" y="0"/>
                      <a:ext cx="6080760" cy="1807749"/>
                    </a:xfrm>
                    <a:prstGeom prst="rect"/>
                  </pic:spPr>
                </pic:pic>
              </a:graphicData>
            </a:graphic>
          </wp:inline>
        </w:drawing>
      </w:r>
    </w:p>
    <w:p>
      <w:pPr>
        <w:keepLines/>
        <w:spacing w:after="80"/>
        <w:jc w:val="center"/>
      </w:pPr>
      <w:r>
        <w:rPr>
          <w:rFonts w:ascii="Arial" w:hAnsi="Arial"/>
          <w:sz w:val="16"/>
        </w:rPr>
        <w:t>Figure 7 Reliability diagrams for validation-selected configurations</w:t>
      </w:r>
    </w:p>
    <w:p>
      <w:pPr>
        <w:sectPr>
          <w:type w:val="continuous"/>
          <w:pgSz w:w="11909" w:h="16834"/>
          <w:pgMar w:top="965" w:right="965" w:bottom="965" w:left="965" w:header="720" w:footer="720" w:gutter="0"/>
          <w:cols w:space="0" w:num="1"/>
          <w:docGrid w:linePitch="360"/>
        </w:sectPr>
      </w:pPr>
    </w:p>
    <w:p>
      <w:pPr>
        <w:pStyle w:val="Heading2"/>
      </w:pPr>
      <w:r>
        <w:t>3.3 Runtime</w:t>
      </w:r>
    </w:p>
    <w:p>
      <w:pPr>
        <w:spacing w:line="240" w:lineRule="auto" w:after="60"/>
        <w:ind w:firstLine="360"/>
      </w:pPr>
      <w:r>
        <w:rPr>
          <w:rFonts w:ascii="Times New Roman" w:hAnsi="Times New Roman"/>
          <w:sz w:val="19"/>
        </w:rPr>
        <w:t>Runtime was recorded for the observed software implementation. Because the VQC used analytic statevector simulation on classical hardware, these measurements describe implementation cost only and cannot support a quantum-speedup claim.</w:t>
      </w:r>
    </w:p>
    <w:p>
      <w:pPr>
        <w:sectPr>
          <w:type w:val="continuous"/>
          <w:pgSz w:w="11909" w:h="16834"/>
          <w:pgMar w:top="965" w:right="965" w:bottom="965" w:left="965" w:header="720" w:footer="720" w:gutter="0"/>
          <w:cols w:space="300" w:num="2"/>
          <w:docGrid w:linePitch="360"/>
        </w:sectPr>
      </w:pPr>
    </w:p>
    <w:p>
      <w:pPr>
        <w:jc w:val="center"/>
      </w:pPr>
      <w:r>
        <w:drawing>
          <wp:inline xmlns:a="http://schemas.openxmlformats.org/drawingml/2006/main" xmlns:pic="http://schemas.openxmlformats.org/drawingml/2006/picture">
            <wp:extent cx="6080760" cy="3192605"/>
            <wp:docPr id="8" name="Picture 8" title="Figure 8 Mean observed fit time by head and dataset" descr="Figure 8 Mean observed fit time by head and dataset"/>
            <wp:cNvGraphicFramePr>
              <a:graphicFrameLocks noChangeAspect="1"/>
            </wp:cNvGraphicFramePr>
            <a:graphic>
              <a:graphicData uri="http://schemas.openxmlformats.org/drawingml/2006/picture">
                <pic:pic>
                  <pic:nvPicPr>
                    <pic:cNvPr id="0" name="figure_08_runtime.png"/>
                    <pic:cNvPicPr/>
                  </pic:nvPicPr>
                  <pic:blipFill>
                    <a:blip r:embed="rId19"/>
                    <a:stretch>
                      <a:fillRect/>
                    </a:stretch>
                  </pic:blipFill>
                  <pic:spPr>
                    <a:xfrm>
                      <a:off x="0" y="0"/>
                      <a:ext cx="6080760" cy="3192605"/>
                    </a:xfrm>
                    <a:prstGeom prst="rect"/>
                  </pic:spPr>
                </pic:pic>
              </a:graphicData>
            </a:graphic>
          </wp:inline>
        </w:drawing>
      </w:r>
    </w:p>
    <w:p>
      <w:pPr>
        <w:keepLines/>
        <w:spacing w:after="80"/>
        <w:jc w:val="center"/>
      </w:pPr>
      <w:r>
        <w:rPr>
          <w:rFonts w:ascii="Arial" w:hAnsi="Arial"/>
          <w:sz w:val="16"/>
        </w:rPr>
        <w:t>Figure 8 Mean observed fit time by head and dataset</w:t>
      </w:r>
    </w:p>
    <w:p>
      <w:pPr>
        <w:sectPr>
          <w:type w:val="continuous"/>
          <w:pgSz w:w="11909" w:h="16834"/>
          <w:pgMar w:top="965" w:right="965" w:bottom="965" w:left="965" w:header="720" w:footer="720" w:gutter="0"/>
          <w:cols w:space="0" w:num="1"/>
          <w:docGrid w:linePitch="360"/>
        </w:sectPr>
      </w:pPr>
    </w:p>
    <w:p>
      <w:pPr>
        <w:pStyle w:val="Heading1"/>
      </w:pPr>
      <w:r>
        <w:t>4 Discussion</w:t>
      </w:r>
    </w:p>
    <w:p>
      <w:pPr>
        <w:spacing w:line="240" w:lineRule="auto" w:after="60"/>
        <w:ind w:firstLine="360"/>
      </w:pPr>
      <w:r>
        <w:rPr>
          <w:rFonts w:ascii="Times New Roman" w:hAnsi="Times New Roman"/>
          <w:sz w:val="19"/>
        </w:rPr>
        <w:t>The controlled design changes the interpretation of a classical-quantum performance gap. When the full-space reference declines substantially after six-dimensional projection, the downstream model is operating after measurable information loss. Conversely, a persistent VQC-MLP gap on identical vectors isolates the decision head more directly than conventional transfer-learning comparisons.</w:t>
      </w:r>
    </w:p>
    <w:p>
      <w:pPr>
        <w:spacing w:line="240" w:lineRule="auto" w:after="60"/>
        <w:ind w:firstLine="360"/>
      </w:pPr>
      <w:r>
        <w:rPr>
          <w:rFonts w:ascii="Times New Roman" w:hAnsi="Times New Roman"/>
          <w:sz w:val="19"/>
        </w:rPr>
        <w:t>Supervised reducers can favor class separation under a severe information budget, but their validation selection must remain separate from test evaluation. The ten-seed paired design also shows whether a favorable mean is stable or depends on a small number of training subsets. Calibration provides a complementary view because similar macro-F1 values can coexist with materially different confidence quality.</w:t>
      </w:r>
    </w:p>
    <w:p>
      <w:pPr>
        <w:spacing w:line="240" w:lineRule="auto" w:after="60"/>
        <w:ind w:firstLine="360"/>
      </w:pPr>
      <w:r>
        <w:rPr>
          <w:rFonts w:ascii="Times New Roman" w:hAnsi="Times New Roman"/>
          <w:sz w:val="19"/>
        </w:rPr>
        <w:t>The results should be read as a benchmark of low-dimensional predictive heads, not as evidence that a quantum circuit offers computational advantage. This interpretation is consistent with evidence that optimized classical learners can remain competitive when data are available (Huang et al 2021) and with recent QMI benchmarks that find no broad quantum-model advantage across conventional tasks (Schnabel and Roth 2025). A competitive VQC result would show that the chosen circuit can exploit a representation already shaped by classical learning; it would not show speedup, hardware advantage, or universal superiority. The circuit uses a shallow data-reuploading design to avoid unnecessary depth, while the analytic statevector setting deliberately separates representation and head effects from shot noise or device noise (Perez-Salinas et al 2020; Thanasilp et al 2024).</w:t>
      </w:r>
    </w:p>
    <w:p>
      <w:pPr>
        <w:pStyle w:val="Heading1"/>
      </w:pPr>
      <w:r>
        <w:t>5 Limitations</w:t>
      </w:r>
    </w:p>
    <w:p>
      <w:pPr>
        <w:spacing w:line="240" w:lineRule="auto" w:after="60"/>
        <w:ind w:firstLine="360"/>
      </w:pPr>
      <w:r>
        <w:rPr>
          <w:rFonts w:ascii="Times New Roman" w:hAnsi="Times New Roman"/>
          <w:sz w:val="19"/>
        </w:rPr>
        <w:t>The VQC was evaluated with analytic statevector simulation. Finite-shot sampling, device noise, connectivity constraints, transpilation overhead, and physical-hardware drift were outside the scope. DINOv2 was frozen, so the conclusions concern downstream bottlenecks rather than end-to-end optimization. The benchmark used three image domains and a fixed six-dimensional budget; other encoders, dimensions, and circuit families may yield different interactions.</w:t>
      </w:r>
    </w:p>
    <w:p>
      <w:pPr>
        <w:pStyle w:val="Heading1"/>
      </w:pPr>
      <w:r>
        <w:t>6 Conclusion</w:t>
      </w:r>
    </w:p>
    <w:p>
      <w:pPr>
        <w:spacing w:line="240" w:lineRule="auto" w:after="60"/>
        <w:ind w:firstLine="360"/>
      </w:pPr>
      <w:r>
        <w:rPr>
          <w:rFonts w:ascii="Times New Roman" w:hAnsi="Times New Roman"/>
          <w:sz w:val="19"/>
        </w:rPr>
        <w:t>This study separates pre-quantum representation loss from quantum-head behavior by crossing four reducers and four matched heads on identical six-dimensional vectors from a frozen self-supervised encoder. Full-space references quantify information lost before the circuit, while parameter parity and paired seeds isolate the downstream comparison. The resulting evidence supports claims about where the predictive bottleneck occurs under the evaluated protocol, without invoking unsupported quantum advantage.</w:t>
      </w:r>
    </w:p>
    <w:p>
      <w:pPr>
        <w:pStyle w:val="Heading1"/>
      </w:pPr>
      <w:r>
        <w:t>Statements and Declarations</w:t>
      </w:r>
    </w:p>
    <w:p>
      <w:pPr>
        <w:spacing w:line="240" w:lineRule="auto" w:after="60"/>
        <w:ind w:firstLine="360"/>
      </w:pPr>
      <w:r>
        <w:rPr>
          <w:rFonts w:ascii="Times New Roman" w:hAnsi="Times New Roman"/>
          <w:sz w:val="19"/>
        </w:rPr>
        <w:t>Data availability. CIFAR-10, EuroSAT RGB, and PathMNIST are publicly available from their original repositories. Frozen split manifests, hashes, derived metrics, and prediction-level outputs are included with the reproducibility package.</w:t>
      </w:r>
    </w:p>
    <w:p>
      <w:pPr>
        <w:spacing w:line="240" w:lineRule="auto" w:after="60"/>
        <w:ind w:firstLine="360"/>
      </w:pPr>
      <w:r>
        <w:rPr>
          <w:rFonts w:ascii="Times New Roman" w:hAnsi="Times New Roman"/>
          <w:sz w:val="19"/>
        </w:rPr>
        <w:t>Code availability. The executable notebook, source code, configuration files, environment record, checkpoints, and model artifacts are publicly available at https://github.com/haejoon06/qml-compression-head-benchmark.</w:t>
      </w:r>
    </w:p>
    <w:p>
      <w:pPr>
        <w:spacing w:line="240" w:lineRule="auto" w:after="60"/>
        <w:ind w:firstLine="360"/>
      </w:pPr>
      <w:r>
        <w:rPr>
          <w:rFonts w:ascii="Times New Roman" w:hAnsi="Times New Roman"/>
          <w:sz w:val="19"/>
        </w:rPr>
        <w:t>Author contributions. F.Y.S.J. contributed conceptualization, methodology, software, formal analysis, investigation, data curation, visualization, writing—original draft, and project administration. K.A.B. contributed supervision, validation, resources, and writing—review and editing. Both authors reviewed and approved the final manuscript.</w:t>
      </w:r>
    </w:p>
    <w:p>
      <w:pPr>
        <w:spacing w:line="240" w:lineRule="auto" w:after="60"/>
        <w:ind w:firstLine="360"/>
      </w:pPr>
      <w:r>
        <w:rPr>
          <w:rFonts w:ascii="Times New Roman" w:hAnsi="Times New Roman"/>
          <w:sz w:val="19"/>
        </w:rPr>
        <w:t>Funding. The authors received no specific funding for this work.</w:t>
      </w:r>
    </w:p>
    <w:p>
      <w:pPr>
        <w:spacing w:line="240" w:lineRule="auto" w:after="60"/>
        <w:ind w:firstLine="360"/>
      </w:pPr>
      <w:r>
        <w:rPr>
          <w:rFonts w:ascii="Times New Roman" w:hAnsi="Times New Roman"/>
          <w:sz w:val="19"/>
        </w:rPr>
        <w:t>Competing interests. The authors declare that they have no competing interests.</w:t>
      </w:r>
    </w:p>
    <w:p>
      <w:pPr>
        <w:pStyle w:val="Heading1"/>
      </w:pPr>
      <w:r>
        <w:t>References</w:t>
      </w:r>
    </w:p>
    <w:p>
      <w:pPr>
        <w:spacing w:after="30"/>
        <w:ind w:left="317" w:hanging="317"/>
      </w:pPr>
      <w:r>
        <w:rPr>
          <w:rFonts w:ascii="Times New Roman" w:hAnsi="Times New Roman"/>
          <w:sz w:val="16"/>
        </w:rPr>
        <w:t>Abbas A, Sutter D, Zoufal C, Lucchi A, Figalli A, Woerner S (2021) The power of quantum neural networks. Nature Computational Science 1:403-409. https://doi.org/10.1038/s43588-021-00084-1</w:t>
      </w:r>
    </w:p>
    <w:p>
      <w:pPr>
        <w:spacing w:after="30"/>
        <w:ind w:left="317" w:hanging="317"/>
      </w:pPr>
      <w:r>
        <w:rPr>
          <w:rFonts w:ascii="Times New Roman" w:hAnsi="Times New Roman"/>
          <w:sz w:val="16"/>
        </w:rPr>
        <w:t>Baldi P, Hornik K (1989) Neural networks and principal component analysis. Neural Networks 2(1):53-58. https://doi.org/10.1016/0893-6080(89)90014-2</w:t>
      </w:r>
    </w:p>
    <w:p>
      <w:pPr>
        <w:spacing w:after="30"/>
        <w:ind w:left="317" w:hanging="317"/>
      </w:pPr>
      <w:r>
        <w:rPr>
          <w:rFonts w:ascii="Times New Roman" w:hAnsi="Times New Roman"/>
          <w:sz w:val="16"/>
        </w:rPr>
        <w:t>Caro MC, Huang HY, Cerezo M, Sharma K, Sornborger A, Cincio L, Coles PJ (2022) Generalization in quantum machine learning from few training data. Nature Communications 13:4919. https://doi.org/10.1038/s41467-022-32550-3</w:t>
      </w:r>
    </w:p>
    <w:p>
      <w:pPr>
        <w:spacing w:after="30"/>
        <w:ind w:left="317" w:hanging="317"/>
      </w:pPr>
      <w:r>
        <w:rPr>
          <w:rFonts w:ascii="Times New Roman" w:hAnsi="Times New Roman"/>
          <w:sz w:val="16"/>
        </w:rPr>
        <w:t>Cerezo M et al (2021) Variational quantum algorithms. Nature Reviews Physics 3:625-644. https://doi.org/10.1038/s42254-021-00348-9</w:t>
      </w:r>
    </w:p>
    <w:p>
      <w:pPr>
        <w:spacing w:after="30"/>
        <w:ind w:left="317" w:hanging="317"/>
      </w:pPr>
      <w:r>
        <w:rPr>
          <w:rFonts w:ascii="Times New Roman" w:hAnsi="Times New Roman"/>
          <w:sz w:val="16"/>
        </w:rPr>
        <w:t>Cerezo M, Verdon G, Huang HY, Cincio L, Coles PJ (2022) Challenges and opportunities in quantum machine learning. Nature Computational Science 2:567-576. https://doi.org/10.1038/s43588-022-00311-3</w:t>
      </w:r>
    </w:p>
    <w:p>
      <w:pPr>
        <w:spacing w:after="30"/>
        <w:ind w:left="317" w:hanging="317"/>
      </w:pPr>
      <w:r>
        <w:rPr>
          <w:rFonts w:ascii="Times New Roman" w:hAnsi="Times New Roman"/>
          <w:sz w:val="16"/>
        </w:rPr>
        <w:t>Demsar J (2006) Statistical comparisons of classifiers over multiple data sets. Journal of Machine Learning Research 7:1-30</w:t>
      </w:r>
    </w:p>
    <w:p>
      <w:pPr>
        <w:spacing w:after="30"/>
        <w:ind w:left="317" w:hanging="317"/>
      </w:pPr>
      <w:r>
        <w:rPr>
          <w:rFonts w:ascii="Times New Roman" w:hAnsi="Times New Roman"/>
          <w:sz w:val="16"/>
        </w:rPr>
        <w:t>Du Y, Hsieh MH, Liu T, You S, Tao D (2021) Learnability of quantum neural networks. PRX Quantum 2:040337. https://doi.org/10.1103/PRXQuantum.2.040337</w:t>
      </w:r>
    </w:p>
    <w:p>
      <w:pPr>
        <w:spacing w:after="30"/>
        <w:ind w:left="317" w:hanging="317"/>
      </w:pPr>
      <w:r>
        <w:rPr>
          <w:rFonts w:ascii="Times New Roman" w:hAnsi="Times New Roman"/>
          <w:sz w:val="16"/>
        </w:rPr>
        <w:t>Efron B, Tibshirani RJ (1993) An Introduction to the Bootstrap. Chapman and Hall, New York</w:t>
      </w:r>
    </w:p>
    <w:p>
      <w:pPr>
        <w:spacing w:after="30"/>
        <w:ind w:left="317" w:hanging="317"/>
      </w:pPr>
      <w:r>
        <w:rPr>
          <w:rFonts w:ascii="Times New Roman" w:hAnsi="Times New Roman"/>
          <w:sz w:val="16"/>
        </w:rPr>
        <w:t>Egginger S, Sakhnenko A, Lorenz JM (2024) A hyperparameter study for quantum kernel methods. Quantum Machine Intelligence 6:44. https://doi.org/10.1007/s42484-024-00172-1</w:t>
      </w:r>
    </w:p>
    <w:p>
      <w:pPr>
        <w:spacing w:after="30"/>
        <w:ind w:left="317" w:hanging="317"/>
      </w:pPr>
      <w:r>
        <w:rPr>
          <w:rFonts w:ascii="Times New Roman" w:hAnsi="Times New Roman"/>
          <w:sz w:val="16"/>
        </w:rPr>
        <w:t>Gil-Fuster E, Eisert J, Bravo-Prieto C (2024) Understanding quantum machine learning also requires rethinking generalization. Nature Communications 15:2277. https://doi.org/10.1038/s41467-024-45882-z</w:t>
      </w:r>
    </w:p>
    <w:p>
      <w:pPr>
        <w:spacing w:after="30"/>
        <w:ind w:left="317" w:hanging="317"/>
      </w:pPr>
      <w:r>
        <w:rPr>
          <w:rFonts w:ascii="Times New Roman" w:hAnsi="Times New Roman"/>
          <w:sz w:val="16"/>
        </w:rPr>
        <w:t>Gneiting T, Raftery AE (2007) Strictly proper scoring rules, prediction, and estimation. Journal of the American Statistical Association 102(477):359-378. https://doi.org/10.1198/016214506000001437</w:t>
      </w:r>
    </w:p>
    <w:p>
      <w:pPr>
        <w:spacing w:after="30"/>
        <w:ind w:left="317" w:hanging="317"/>
      </w:pPr>
      <w:r>
        <w:rPr>
          <w:rFonts w:ascii="Times New Roman" w:hAnsi="Times New Roman"/>
          <w:sz w:val="16"/>
        </w:rPr>
        <w:t>Goldberger J, Hinton GE, Roweis S, Salakhutdinov RR (2004) Neighbourhood components analysis. Advances in Neural Information Processing Systems 17</w:t>
      </w:r>
    </w:p>
    <w:p>
      <w:pPr>
        <w:spacing w:after="30"/>
        <w:ind w:left="317" w:hanging="317"/>
      </w:pPr>
      <w:r>
        <w:rPr>
          <w:rFonts w:ascii="Times New Roman" w:hAnsi="Times New Roman"/>
          <w:sz w:val="16"/>
        </w:rPr>
        <w:t>Guo C, Pleiss G, Sun Y, Weinberger KQ (2017) On calibration of modern neural networks. Proceedings of the 34th International Conference on Machine Learning, pp 1321-1330</w:t>
      </w:r>
    </w:p>
    <w:p>
      <w:pPr>
        <w:spacing w:after="30"/>
        <w:ind w:left="317" w:hanging="317"/>
      </w:pPr>
      <w:r>
        <w:rPr>
          <w:rFonts w:ascii="Times New Roman" w:hAnsi="Times New Roman"/>
          <w:sz w:val="16"/>
        </w:rPr>
        <w:t>Havlicek V et al (2019) Supervised learning with quantum-enhanced feature spaces. Nature 567:209-212. https://doi.org/10.1038/s41586-019-0980-2</w:t>
      </w:r>
    </w:p>
    <w:p>
      <w:pPr>
        <w:spacing w:after="30"/>
        <w:ind w:left="317" w:hanging="317"/>
      </w:pPr>
      <w:r>
        <w:rPr>
          <w:rFonts w:ascii="Times New Roman" w:hAnsi="Times New Roman"/>
          <w:sz w:val="16"/>
        </w:rPr>
        <w:t>Helber P, Bischke B, Dengel A, Borth D (2019) EuroSAT: A novel dataset and deep learning benchmark for land use and land cover classification. IEEE Journal of Selected Topics in Applied Earth Observations and Remote Sensing 12(7):2217-2226. https://doi.org/10.1109/JSTARS.2019.2918242</w:t>
      </w:r>
    </w:p>
    <w:p>
      <w:pPr>
        <w:spacing w:after="30"/>
        <w:ind w:left="317" w:hanging="317"/>
      </w:pPr>
      <w:r>
        <w:rPr>
          <w:rFonts w:ascii="Times New Roman" w:hAnsi="Times New Roman"/>
          <w:sz w:val="16"/>
        </w:rPr>
        <w:t>Holm S (1979) A simple sequentially rejective multiple test procedure. Scandinavian Journal of Statistics 6(2):65-70</w:t>
      </w:r>
    </w:p>
    <w:p>
      <w:pPr>
        <w:spacing w:after="30"/>
        <w:ind w:left="317" w:hanging="317"/>
      </w:pPr>
      <w:r>
        <w:rPr>
          <w:rFonts w:ascii="Times New Roman" w:hAnsi="Times New Roman"/>
          <w:sz w:val="16"/>
        </w:rPr>
        <w:t>Huang HY, Broughton M, Mohseni M, Babbush R, Boixo S, Neven H, McClean JR (2021) Power of data in quantum machine learning. Nature Communications 12:2631. https://doi.org/10.1038/s41467-021-22539-9</w:t>
      </w:r>
    </w:p>
    <w:p>
      <w:pPr>
        <w:spacing w:after="30"/>
        <w:ind w:left="317" w:hanging="317"/>
      </w:pPr>
      <w:r>
        <w:rPr>
          <w:rFonts w:ascii="Times New Roman" w:hAnsi="Times New Roman"/>
          <w:sz w:val="16"/>
        </w:rPr>
        <w:t>Krizhevsky A (2009) Learning multiple layers of features from tiny images. Technical report, University of Toronto</w:t>
      </w:r>
    </w:p>
    <w:p>
      <w:pPr>
        <w:spacing w:after="30"/>
        <w:ind w:left="317" w:hanging="317"/>
      </w:pPr>
      <w:r>
        <w:rPr>
          <w:rFonts w:ascii="Times New Roman" w:hAnsi="Times New Roman"/>
          <w:sz w:val="16"/>
        </w:rPr>
        <w:t>Mangini S, Marruzzo A, Piantanida M, Gerace D, Bajoni D, Macchiavello C (2022) Quantum neural network autoencoder and classifier applied to an industrial case study. Quantum Machine Intelligence 4:13. https://doi.org/10.1007/s42484-022-00070-4</w:t>
      </w:r>
    </w:p>
    <w:p>
      <w:pPr>
        <w:spacing w:after="30"/>
        <w:ind w:left="317" w:hanging="317"/>
      </w:pPr>
      <w:r>
        <w:rPr>
          <w:rFonts w:ascii="Times New Roman" w:hAnsi="Times New Roman"/>
          <w:sz w:val="16"/>
        </w:rPr>
        <w:t>Mari A, Bromley TR, Izaac J, Schuld M, Killoran N (2020) Transfer learning in hybrid classical-quantum neural networks. Quantum 4:340. https://doi.org/10.22331/q-2020-10-09-340</w:t>
      </w:r>
    </w:p>
    <w:p>
      <w:pPr>
        <w:spacing w:after="30"/>
        <w:ind w:left="317" w:hanging="317"/>
      </w:pPr>
      <w:r>
        <w:rPr>
          <w:rFonts w:ascii="Times New Roman" w:hAnsi="Times New Roman"/>
          <w:sz w:val="16"/>
        </w:rPr>
        <w:t>Odagiu P et al (2025) Learning reduced representations for quantum classifiers. Quantum Machine Intelligence 7:113. https://doi.org/10.1007/s42484-025-00331-y</w:t>
      </w:r>
    </w:p>
    <w:p>
      <w:pPr>
        <w:spacing w:after="30"/>
        <w:ind w:left="317" w:hanging="317"/>
      </w:pPr>
      <w:r>
        <w:rPr>
          <w:rFonts w:ascii="Times New Roman" w:hAnsi="Times New Roman"/>
          <w:sz w:val="16"/>
        </w:rPr>
        <w:t>Oquab M et al (2024) DINOv2: Learning robust visual features without supervision. Transactions on Machine Learning Research</w:t>
      </w:r>
    </w:p>
    <w:p>
      <w:pPr>
        <w:spacing w:after="30"/>
        <w:ind w:left="317" w:hanging="317"/>
      </w:pPr>
      <w:r>
        <w:rPr>
          <w:rFonts w:ascii="Times New Roman" w:hAnsi="Times New Roman"/>
          <w:sz w:val="16"/>
        </w:rPr>
        <w:t>Perez-Salinas A, Cervera-Lierta A, Gil-Fuster E, Latorre JI (2020) Data re-uploading for a universal quantum classifier. Quantum 4:226. https://doi.org/10.22331/q-2020-02-06-226</w:t>
      </w:r>
    </w:p>
    <w:p>
      <w:pPr>
        <w:spacing w:after="30"/>
        <w:ind w:left="317" w:hanging="317"/>
      </w:pPr>
      <w:r>
        <w:rPr>
          <w:rFonts w:ascii="Times New Roman" w:hAnsi="Times New Roman"/>
          <w:sz w:val="16"/>
        </w:rPr>
        <w:t>Schnabel J, Roth M (2025) Quantum kernel methods under scrutiny: a benchmarking study. Quantum Machine Intelligence 7:58. https://doi.org/10.1007/s42484-025-00273-5</w:t>
      </w:r>
    </w:p>
    <w:p>
      <w:pPr>
        <w:spacing w:after="30"/>
        <w:ind w:left="317" w:hanging="317"/>
      </w:pPr>
      <w:r>
        <w:rPr>
          <w:rFonts w:ascii="Times New Roman" w:hAnsi="Times New Roman"/>
          <w:sz w:val="16"/>
        </w:rPr>
        <w:t>Schuld M, Killoran N (2019) Quantum machine learning in feature Hilbert spaces. Physical Review Letters 122:040504. https://doi.org/10.1103/PhysRevLett.122.040504</w:t>
      </w:r>
    </w:p>
    <w:p>
      <w:pPr>
        <w:spacing w:after="30"/>
        <w:ind w:left="317" w:hanging="317"/>
      </w:pPr>
      <w:r>
        <w:rPr>
          <w:rFonts w:ascii="Times New Roman" w:hAnsi="Times New Roman"/>
          <w:sz w:val="16"/>
        </w:rPr>
        <w:t>Schuld M, Sweke R, Meyer JJ (2021) Effect of data encoding on the expressive power of variational quantum-machine-learning models. Physical Review A 103:032430. https://doi.org/10.1103/PhysRevA.103.032430</w:t>
      </w:r>
    </w:p>
    <w:p>
      <w:pPr>
        <w:spacing w:after="30"/>
        <w:ind w:left="317" w:hanging="317"/>
      </w:pPr>
      <w:r>
        <w:rPr>
          <w:rFonts w:ascii="Times New Roman" w:hAnsi="Times New Roman"/>
          <w:sz w:val="16"/>
        </w:rPr>
        <w:t>Thanasilp S, Wang S, Cerezo M, Holmes Z (2024) Exponential concentration in quantum kernel methods. Nature Communications 15:5200. https://doi.org/10.1038/s41467-024-49287-w</w:t>
      </w:r>
    </w:p>
    <w:p>
      <w:pPr>
        <w:spacing w:after="30"/>
        <w:ind w:left="317" w:hanging="317"/>
      </w:pPr>
      <w:r>
        <w:rPr>
          <w:rFonts w:ascii="Times New Roman" w:hAnsi="Times New Roman"/>
          <w:sz w:val="16"/>
        </w:rPr>
        <w:t>Wang P, Myers CR, Hollenberg LCL, Parampalli U (2025) Quantum Hamiltonian embedding of images for data reuploading classifiers. Quantum Machine Intelligence 7:35. https://doi.org/10.1007/s42484-025-00247-7</w:t>
      </w:r>
    </w:p>
    <w:p>
      <w:pPr>
        <w:spacing w:after="30"/>
        <w:ind w:left="317" w:hanging="317"/>
      </w:pPr>
      <w:r>
        <w:rPr>
          <w:rFonts w:ascii="Times New Roman" w:hAnsi="Times New Roman"/>
          <w:sz w:val="16"/>
        </w:rPr>
        <w:t>Yang J et al (2023) MedMNIST v2: A large-scale lightweight benchmark for 2D and 3D biomedical image classification. Scientific Data 10:41. https://doi.org/10.1038/s41597-022-01721-8</w:t>
      </w:r>
    </w:p>
    <w:sectPr w:rsidR="00FC693F" w:rsidRPr="0006063C" w:rsidSect="00034616">
      <w:type w:val="continuous"/>
      <w:pgSz w:w="11909" w:h="16834"/>
      <w:pgMar w:top="965" w:right="965" w:bottom="965" w:left="965"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9-0007-8894-0265" TargetMode="External"/><Relationship Id="rId11" Type="http://schemas.openxmlformats.org/officeDocument/2006/relationships/hyperlink" Target="https://orcid.org/0000-0002-2430-9235"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Representation Compression and Quantum-Head Effects in Multi-Domain Quantum Transfer Learning</dc:title>
  <dc:subject>Quantum machine learning; representation compression; transfer learning</dc:subject>
  <dc:creator>Fajri Yanuar Shiddiq Juanda; Kiki Ahmad Baihaqi</dc:creator>
  <cp:keywords/>
  <dc:description>generated by python-docx</dc:description>
  <cp:lastModifiedBy/>
  <cp:revision>1</cp:revision>
  <dcterms:created xsi:type="dcterms:W3CDTF">2013-12-23T23:15:00Z</dcterms:created>
  <dcterms:modified xsi:type="dcterms:W3CDTF">2013-12-23T23:15:00Z</dcterms:modified>
  <cp:category/>
</cp:coreProperties>
</file>