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439F3" w14:textId="1FEA25E8" w:rsidR="0096696D" w:rsidRDefault="008444A5">
      <w:pPr>
        <w:pStyle w:val="Title"/>
      </w:pPr>
      <w:r>
        <w:t xml:space="preserve">Re-design of abinitio3D and </w:t>
      </w:r>
      <w:proofErr w:type="spellStart"/>
      <w:r>
        <w:t>multivol_assign</w:t>
      </w:r>
      <w:proofErr w:type="spellEnd"/>
      <w:r>
        <w:t xml:space="preserve"> to maximally capitalize on the polar=yes mode</w:t>
      </w:r>
    </w:p>
    <w:p w14:paraId="09AFE484" w14:textId="3AA8222A" w:rsidR="0096696D" w:rsidRDefault="008444A5">
      <w:pPr>
        <w:pStyle w:val="Heading1"/>
      </w:pPr>
      <w:r>
        <w:t xml:space="preserve">Draft </w:t>
      </w:r>
      <w:r w:rsidR="00000000">
        <w:t xml:space="preserve">Policy Document </w:t>
      </w:r>
      <w:r>
        <w:t>for Re-design of ab initio codes</w:t>
      </w:r>
    </w:p>
    <w:p w14:paraId="3BDE4923" w14:textId="77777777" w:rsidR="0096696D" w:rsidRDefault="00000000">
      <w:pPr>
        <w:pStyle w:val="Heading2"/>
      </w:pPr>
      <w:r>
        <w:t>Overview</w:t>
      </w:r>
    </w:p>
    <w:p w14:paraId="59A88B7F" w14:textId="78505A56" w:rsidR="0096696D" w:rsidRDefault="008444A5">
      <w:r>
        <w:t xml:space="preserve">In the current implementation of the abinitio3D codes, we can readily obtain 4ish A maps from any non-heterogeneous target with polar=yes. However, the Cartesian implementation with equivalent regularization beats this by quite some margin, enabling 3ish A map reconstruction even without the use of an envelope mask. The polar=yes mode is also rather silent in terms of intermittent results (this is deliberate due to speed optimization). It would be desirable to generate some more high-quality intermittent results (not converted from polar to Cartesian) from a testing/debugging/streaming point of view. Therefore, this draft policy proposes a hybrid approach polar=yes/no which maps neatly onto how the optimization is structured into stages with different degree of </w:t>
      </w:r>
      <w:proofErr w:type="spellStart"/>
      <w:r>
        <w:t>downsampling</w:t>
      </w:r>
      <w:proofErr w:type="spellEnd"/>
      <w:r>
        <w:t xml:space="preserve"> and frequency limitation.</w:t>
      </w:r>
    </w:p>
    <w:p w14:paraId="31FC616D" w14:textId="77777777" w:rsidR="0096696D" w:rsidRDefault="00000000">
      <w:pPr>
        <w:pStyle w:val="Heading2"/>
      </w:pPr>
      <w:r>
        <w:t>Problem Statement</w:t>
      </w:r>
    </w:p>
    <w:p w14:paraId="3A3267B8" w14:textId="7361AD7B" w:rsidR="0096696D" w:rsidRDefault="008444A5">
      <w:r>
        <w:t>We want to combine the best of both worlds: the accuracy of the Cartesian implementation with the speed of the polar common-lines implementation. We also want to periodically generate high-quality intermittent results.</w:t>
      </w:r>
    </w:p>
    <w:p w14:paraId="3AC1BE82" w14:textId="77777777" w:rsidR="0096696D" w:rsidRDefault="00000000">
      <w:pPr>
        <w:pStyle w:val="Heading2"/>
      </w:pPr>
      <w:r>
        <w:t>Principles and Constraints</w:t>
      </w:r>
    </w:p>
    <w:p w14:paraId="673DD93A" w14:textId="56AE2407" w:rsidR="008444A5" w:rsidRDefault="008444A5" w:rsidP="008444A5">
      <w:pPr>
        <w:pStyle w:val="ListParagraph"/>
        <w:numPr>
          <w:ilvl w:val="0"/>
          <w:numId w:val="10"/>
        </w:numPr>
      </w:pPr>
      <w:r>
        <w:t xml:space="preserve">The polar=yes implementation needs to be </w:t>
      </w:r>
      <w:r w:rsidR="00193533">
        <w:t xml:space="preserve">refactored to support the same modes as the Cartesian implementation, including </w:t>
      </w:r>
      <w:proofErr w:type="spellStart"/>
      <w:r w:rsidR="00193533">
        <w:t>lp_auto</w:t>
      </w:r>
      <w:proofErr w:type="spellEnd"/>
      <w:r w:rsidR="00193533">
        <w:t xml:space="preserve"> and multi-state assignment. Generalization of multi-state assignment needs to be validated in the same way as our recent Cartesian multi-particle implementation (see Cong et. al IUCR 2025).</w:t>
      </w:r>
    </w:p>
    <w:p w14:paraId="044D1033" w14:textId="630C29D9" w:rsidR="00193533" w:rsidRDefault="00193533" w:rsidP="008444A5">
      <w:pPr>
        <w:pStyle w:val="ListParagraph"/>
        <w:numPr>
          <w:ilvl w:val="0"/>
          <w:numId w:val="10"/>
        </w:numPr>
      </w:pPr>
      <w:r>
        <w:t xml:space="preserve">The abinitio3D_cavgs code should be refactored to exclusively use polar=yes with </w:t>
      </w:r>
      <w:proofErr w:type="spellStart"/>
      <w:r>
        <w:t>ref_type</w:t>
      </w:r>
      <w:proofErr w:type="spellEnd"/>
      <w:r>
        <w:t>=</w:t>
      </w:r>
      <w:proofErr w:type="spellStart"/>
      <w:r>
        <w:t>comlin_noself</w:t>
      </w:r>
      <w:proofErr w:type="spellEnd"/>
      <w:r>
        <w:t xml:space="preserve"> as the</w:t>
      </w:r>
      <w:r w:rsidR="009566B7">
        <w:t xml:space="preserve"> </w:t>
      </w:r>
      <w:r>
        <w:t>default. The overheads associated with supporting a Cartesian version as well is not worth the effort here.</w:t>
      </w:r>
    </w:p>
    <w:p w14:paraId="32D63733" w14:textId="629A0810" w:rsidR="00193533" w:rsidRDefault="00193533" w:rsidP="00193533">
      <w:pPr>
        <w:pStyle w:val="ListParagraph"/>
        <w:numPr>
          <w:ilvl w:val="0"/>
          <w:numId w:val="10"/>
        </w:numPr>
      </w:pPr>
      <w:r>
        <w:t>Abinitio3D_cavgs should be run with polar=yes up to the stage of symmetry search, then a volume is reconstructed and the symmetry axis geometry propagated to the particles. In the following stages, each stage should start with reconstruction of a Cartesian volume for intermittent output. This volume should also be used to seed the common lines-based refinement, as follows</w:t>
      </w:r>
      <w:r w:rsidR="00221A85">
        <w:t xml:space="preserve">. This was the original Q (re-projection estimate) proposed in our 2025 </w:t>
      </w:r>
      <w:r w:rsidR="009566B7">
        <w:t>study</w:t>
      </w:r>
      <w:r w:rsidR="00221A85">
        <w:t>:</w:t>
      </w:r>
    </w:p>
    <w:bookmarkStart w:id="0" w:name="OLE_LINK12"/>
    <w:p w14:paraId="60D5FE2C" w14:textId="77777777" w:rsidR="00221A85" w:rsidRDefault="00221A85" w:rsidP="00221A85">
      <w:pPr>
        <w:ind w:left="72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m</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m</m:t>
                </m:r>
              </m:sub>
            </m:sSub>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P</m:t>
                    </m:r>
                  </m:e>
                </m:acc>
              </m:e>
              <m:sub>
                <m:r>
                  <w:rPr>
                    <w:rFonts w:ascii="Cambria Math" w:hAnsi="Cambria Math"/>
                  </w:rPr>
                  <m:t>m</m:t>
                </m:r>
              </m:sub>
              <m:sup>
                <m:r>
                  <w:rPr>
                    <w:rFonts w:ascii="Cambria Math" w:hAnsi="Cambria Math"/>
                  </w:rPr>
                  <m:t>c</m:t>
                </m:r>
              </m:sup>
            </m:sSubSup>
            <m:sSubSup>
              <m:sSubSupPr>
                <m:ctrlPr>
                  <w:rPr>
                    <w:rFonts w:ascii="Cambria Math" w:hAnsi="Cambria Math"/>
                    <w:i/>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m</m:t>
                </m:r>
              </m:sub>
              <m:sup>
                <m:r>
                  <w:rPr>
                    <w:rFonts w:ascii="Cambria Math" w:hAnsi="Cambria Math"/>
                  </w:rPr>
                  <m:t>c</m:t>
                </m:r>
              </m:sup>
            </m:sSubSup>
          </m:num>
          <m:den>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m</m:t>
                </m:r>
              </m:sub>
            </m:sSub>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m</m:t>
                </m:r>
              </m:sub>
              <m:sup>
                <m:r>
                  <w:rPr>
                    <w:rFonts w:ascii="Cambria Math" w:hAnsi="Cambria Math"/>
                  </w:rPr>
                  <m:t>c</m:t>
                </m:r>
              </m:sup>
            </m:sSub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τ</m:t>
                    </m:r>
                  </m:e>
                  <m:sup>
                    <m:r>
                      <w:rPr>
                        <w:rFonts w:ascii="Cambria Math" w:hAnsi="Cambria Math"/>
                      </w:rPr>
                      <m:t>2</m:t>
                    </m:r>
                  </m:sup>
                </m:sSup>
              </m:den>
            </m:f>
          </m:den>
        </m:f>
      </m:oMath>
      <w:r>
        <w:tab/>
      </w:r>
      <w:bookmarkEnd w:id="0"/>
      <w:r>
        <w:tab/>
      </w:r>
      <w:r>
        <w:tab/>
      </w:r>
      <w:r>
        <w:tab/>
      </w:r>
      <w:r>
        <w:tab/>
        <w:t>(15)</w:t>
      </w:r>
    </w:p>
    <w:p w14:paraId="029AEAD9" w14:textId="18653C9B" w:rsidR="00221A85" w:rsidRPr="00876629" w:rsidRDefault="00221A85" w:rsidP="00221A85">
      <w:pPr>
        <w:pStyle w:val="ListParagraph"/>
      </w:pPr>
      <w:r w:rsidRPr="00D753B9">
        <w:t xml:space="preserve">Equation 15 is one way to construct the </w:t>
      </w:r>
      <m:oMath>
        <m:r>
          <m:rPr>
            <m:scr m:val="script"/>
            <m:sty m:val="p"/>
          </m:rPr>
          <w:rPr>
            <w:rFonts w:ascii="Cambria Math" w:hAnsi="Cambria Math"/>
          </w:rPr>
          <m:t>E</m:t>
        </m:r>
      </m:oMath>
      <w:r w:rsidRPr="00D753B9">
        <w:t xml:space="preserve"> operator required for fixed-point iteration optimization</w:t>
      </w:r>
      <w:r>
        <w:t xml:space="preserve"> for density volumes exhibiting C1 point-group symmetry (no symmetry). In contrast to volume-based projection matching, the common lines formulation separates the contribution of lines from “self” from the contribution of lines from “others” in the reprojection estimation. This allows us to address the problem of self-</w:t>
      </w:r>
      <w:r w:rsidR="00DB5A0E">
        <w:t>bias by</w:t>
      </w:r>
      <w:r>
        <w:t xml:space="preserve"> removing the contribution from “self”, </w:t>
      </w:r>
      <w:r w:rsidRPr="00221A85">
        <w:rPr>
          <w:i/>
          <w:iCs/>
        </w:rPr>
        <w:t xml:space="preserve">i.e. </w:t>
      </w:r>
      <w:r>
        <w:t>replacing Equation 15 with</w:t>
      </w:r>
    </w:p>
    <w:p w14:paraId="2FBE4B72" w14:textId="77777777" w:rsidR="00221A85" w:rsidRDefault="00221A85" w:rsidP="00221A85">
      <w:pPr>
        <w:ind w:left="360"/>
      </w:pPr>
      <w:r>
        <w:tab/>
      </w: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m</m:t>
            </m:r>
          </m:sub>
        </m:sSub>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acc>
                  <m:accPr>
                    <m:chr m:val="̅"/>
                    <m:ctrlPr>
                      <w:rPr>
                        <w:rFonts w:ascii="Cambria Math" w:hAnsi="Cambria Math"/>
                        <w:i/>
                      </w:rPr>
                    </m:ctrlPr>
                  </m:accPr>
                  <m:e>
                    <m:r>
                      <w:rPr>
                        <w:rFonts w:ascii="Cambria Math" w:hAnsi="Cambria Math"/>
                      </w:rPr>
                      <m:t>P</m:t>
                    </m:r>
                  </m:e>
                </m:acc>
              </m:e>
              <m:sub>
                <m:r>
                  <w:rPr>
                    <w:rFonts w:ascii="Cambria Math" w:hAnsi="Cambria Math"/>
                  </w:rPr>
                  <m:t>m</m:t>
                </m:r>
              </m:sub>
              <m:sup>
                <m:r>
                  <w:rPr>
                    <w:rFonts w:ascii="Cambria Math" w:hAnsi="Cambria Math"/>
                  </w:rPr>
                  <m:t>c</m:t>
                </m:r>
              </m:sup>
            </m:sSubSup>
            <m:sSubSup>
              <m:sSubSupPr>
                <m:ctrlPr>
                  <w:rPr>
                    <w:rFonts w:ascii="Cambria Math" w:hAnsi="Cambria Math"/>
                    <w:i/>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m</m:t>
                </m:r>
              </m:sub>
              <m:sup>
                <m:r>
                  <w:rPr>
                    <w:rFonts w:ascii="Cambria Math" w:hAnsi="Cambria Math"/>
                  </w:rPr>
                  <m:t>c</m:t>
                </m:r>
              </m:sup>
            </m:sSubSup>
          </m:num>
          <m:den>
            <m:sSubSup>
              <m:sSubSupPr>
                <m:ctrlPr>
                  <w:rPr>
                    <w:rFonts w:ascii="Cambria Math" w:hAnsi="Cambria Math"/>
                    <w:i/>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m</m:t>
                </m:r>
              </m:sub>
              <m:sup>
                <m:r>
                  <w:rPr>
                    <w:rFonts w:ascii="Cambria Math" w:hAnsi="Cambria Math"/>
                  </w:rPr>
                  <m:t>c</m:t>
                </m:r>
              </m:sup>
            </m:sSub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τ</m:t>
                    </m:r>
                  </m:e>
                  <m:sup>
                    <m:r>
                      <w:rPr>
                        <w:rFonts w:ascii="Cambria Math" w:hAnsi="Cambria Math"/>
                      </w:rPr>
                      <m:t>2</m:t>
                    </m:r>
                  </m:sup>
                </m:sSup>
              </m:den>
            </m:f>
          </m:den>
        </m:f>
      </m:oMath>
      <w:r>
        <w:tab/>
      </w:r>
      <w:r>
        <w:tab/>
      </w:r>
      <w:r>
        <w:tab/>
      </w:r>
      <w:r>
        <w:tab/>
      </w:r>
      <w:r>
        <w:tab/>
        <w:t>(16)</w:t>
      </w:r>
    </w:p>
    <w:p w14:paraId="32612554" w14:textId="253B5BC2" w:rsidR="00221A85" w:rsidRDefault="009566B7" w:rsidP="009566B7">
      <w:pPr>
        <w:ind w:left="720"/>
      </w:pPr>
      <w:r>
        <w:t>This policy proposes a mode wherein the contributions from “self” comes from the re-projections of an intermittent Cartesian volume:</w:t>
      </w:r>
    </w:p>
    <w:p w14:paraId="3CA9CDB4" w14:textId="73D23A1C" w:rsidR="00193533" w:rsidRDefault="009566B7" w:rsidP="009566B7">
      <w:pPr>
        <w:ind w:left="72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m</m:t>
              </m:r>
            </m:sub>
          </m:sSub>
          <m:r>
            <w:rPr>
              <w:rFonts w:ascii="Cambria Math" w:hAnsi="Cambria Math"/>
            </w:rPr>
            <m:t xml:space="preserve">     =</m:t>
          </m:r>
          <m:f>
            <m:fPr>
              <m:ctrlPr>
                <w:rPr>
                  <w:rFonts w:ascii="Cambria Math" w:hAnsi="Cambria Math"/>
                  <w:i/>
                </w:rPr>
              </m:ctrlPr>
            </m:fPr>
            <m:num>
              <m:sSub>
                <m:sSubPr>
                  <m:ctrlPr>
                    <w:rPr>
                      <w:rFonts w:ascii="Cambria Math" w:hAnsi="Cambria Math"/>
                      <w:i/>
                      <w:color w:val="EE0000"/>
                    </w:rPr>
                  </m:ctrlPr>
                </m:sSubPr>
                <m:e>
                  <m:acc>
                    <m:accPr>
                      <m:chr m:val="̅"/>
                      <m:ctrlPr>
                        <w:rPr>
                          <w:rFonts w:ascii="Cambria Math" w:hAnsi="Cambria Math"/>
                          <w:i/>
                          <w:color w:val="EE0000"/>
                        </w:rPr>
                      </m:ctrlPr>
                    </m:accPr>
                    <m:e>
                      <m:r>
                        <w:rPr>
                          <w:rFonts w:ascii="Cambria Math" w:hAnsi="Cambria Math"/>
                          <w:color w:val="EE0000"/>
                        </w:rPr>
                        <m:t>P</m:t>
                      </m:r>
                    </m:e>
                  </m:acc>
                </m:e>
                <m:sub>
                  <m:r>
                    <w:rPr>
                      <w:rFonts w:ascii="Cambria Math" w:hAnsi="Cambria Math"/>
                      <w:color w:val="EE0000"/>
                    </w:rPr>
                    <m:t>m</m:t>
                  </m:r>
                </m:sub>
              </m:sSub>
              <m:sSub>
                <m:sSubPr>
                  <m:ctrlPr>
                    <w:rPr>
                      <w:rFonts w:ascii="Cambria Math" w:hAnsi="Cambria Math"/>
                      <w:i/>
                      <w:color w:val="EE0000"/>
                    </w:rPr>
                  </m:ctrlPr>
                </m:sSubPr>
                <m:e>
                  <m:acc>
                    <m:accPr>
                      <m:chr m:val="̅"/>
                      <m:ctrlPr>
                        <w:rPr>
                          <w:rFonts w:ascii="Cambria Math" w:hAnsi="Cambria Math"/>
                          <w:i/>
                          <w:color w:val="EE0000"/>
                        </w:rPr>
                      </m:ctrlPr>
                    </m:accPr>
                    <m:e>
                      <m:r>
                        <w:rPr>
                          <w:rFonts w:ascii="Cambria Math" w:hAnsi="Cambria Math"/>
                          <w:color w:val="EE0000"/>
                        </w:rPr>
                        <m:t>H</m:t>
                      </m:r>
                    </m:e>
                  </m:acc>
                </m:e>
                <m:sub>
                  <m:r>
                    <w:rPr>
                      <w:rFonts w:ascii="Cambria Math" w:hAnsi="Cambria Math"/>
                      <w:color w:val="EE0000"/>
                    </w:rPr>
                    <m:t>m</m:t>
                  </m:r>
                </m:sub>
              </m:sSub>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P</m:t>
                      </m:r>
                    </m:e>
                  </m:acc>
                </m:e>
                <m:sub>
                  <m:r>
                    <w:rPr>
                      <w:rFonts w:ascii="Cambria Math" w:hAnsi="Cambria Math"/>
                    </w:rPr>
                    <m:t>m</m:t>
                  </m:r>
                </m:sub>
                <m:sup>
                  <m:r>
                    <w:rPr>
                      <w:rFonts w:ascii="Cambria Math" w:hAnsi="Cambria Math"/>
                    </w:rPr>
                    <m:t>c</m:t>
                  </m:r>
                </m:sup>
              </m:sSubSup>
              <m:sSubSup>
                <m:sSubSupPr>
                  <m:ctrlPr>
                    <w:rPr>
                      <w:rFonts w:ascii="Cambria Math" w:hAnsi="Cambria Math"/>
                      <w:i/>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m</m:t>
                  </m:r>
                </m:sub>
                <m:sup>
                  <m:r>
                    <w:rPr>
                      <w:rFonts w:ascii="Cambria Math" w:hAnsi="Cambria Math"/>
                    </w:rPr>
                    <m:t>c</m:t>
                  </m:r>
                </m:sup>
              </m:sSubSup>
            </m:num>
            <m:den>
              <m:sSub>
                <m:sSubPr>
                  <m:ctrlPr>
                    <w:rPr>
                      <w:rFonts w:ascii="Cambria Math" w:hAnsi="Cambria Math"/>
                      <w:i/>
                      <w:color w:val="EE0000"/>
                    </w:rPr>
                  </m:ctrlPr>
                </m:sSubPr>
                <m:e>
                  <m:acc>
                    <m:accPr>
                      <m:chr m:val="̅"/>
                      <m:ctrlPr>
                        <w:rPr>
                          <w:rFonts w:ascii="Cambria Math" w:hAnsi="Cambria Math"/>
                          <w:i/>
                          <w:color w:val="EE0000"/>
                        </w:rPr>
                      </m:ctrlPr>
                    </m:accPr>
                    <m:e>
                      <m:r>
                        <w:rPr>
                          <w:rFonts w:ascii="Cambria Math" w:hAnsi="Cambria Math"/>
                          <w:color w:val="EE0000"/>
                        </w:rPr>
                        <m:t>H</m:t>
                      </m:r>
                    </m:e>
                  </m:acc>
                </m:e>
                <m:sub>
                  <m:r>
                    <w:rPr>
                      <w:rFonts w:ascii="Cambria Math" w:hAnsi="Cambria Math"/>
                      <w:color w:val="EE0000"/>
                    </w:rPr>
                    <m:t>m</m:t>
                  </m:r>
                </m:sub>
              </m:sSub>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H</m:t>
                      </m:r>
                    </m:e>
                  </m:acc>
                </m:e>
                <m:sub>
                  <m:r>
                    <w:rPr>
                      <w:rFonts w:ascii="Cambria Math" w:hAnsi="Cambria Math"/>
                    </w:rPr>
                    <m:t>m</m:t>
                  </m:r>
                </m:sub>
                <m:sup>
                  <m:r>
                    <w:rPr>
                      <w:rFonts w:ascii="Cambria Math" w:hAnsi="Cambria Math"/>
                    </w:rPr>
                    <m:t>c</m:t>
                  </m:r>
                </m:sup>
              </m:sSub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τ</m:t>
                      </m:r>
                    </m:e>
                    <m:sup>
                      <m:r>
                        <w:rPr>
                          <w:rFonts w:ascii="Cambria Math" w:hAnsi="Cambria Math"/>
                        </w:rPr>
                        <m:t>2</m:t>
                      </m:r>
                    </m:sup>
                  </m:sSup>
                </m:den>
              </m:f>
            </m:den>
          </m:f>
          <m:r>
            <w:br/>
          </m:r>
        </m:oMath>
      </m:oMathPara>
      <w:r>
        <w:t xml:space="preserve">Where the Fourier variables marked in red are polar representations generated through reprojection of the intermittent Cartesian volume in polar coordinates. This ought to be relatively straightforward to implement, requiring a flag to turn on/off cartesian re-projection generation and a </w:t>
      </w:r>
      <w:proofErr w:type="spellStart"/>
      <w:r>
        <w:t>ref_type</w:t>
      </w:r>
      <w:proofErr w:type="spellEnd"/>
      <w:r>
        <w:t xml:space="preserve"> mode that supports this hybrid cost function. The first iteration of each stage should use this scheme and then we fall back on equation 16. Thus, the Cartesian reconstruction acts as a seed for the common lines-based refinement in each stage.</w:t>
      </w:r>
    </w:p>
    <w:p w14:paraId="35B651B3" w14:textId="7BD01962" w:rsidR="0096696D" w:rsidRDefault="00DB5A0E">
      <w:r>
        <w:t>I removed the accelerated projection direction-based reconstruction (</w:t>
      </w:r>
      <w:proofErr w:type="spellStart"/>
      <w:r>
        <w:t>projdirrec</w:t>
      </w:r>
      <w:proofErr w:type="spellEnd"/>
      <w:r>
        <w:t xml:space="preserve">) because it suffers from the same issue as the polar implementation: two interpolation steps. A much better approach for implementing fast 3D reconstruction in the iterations would be to reduce the degree of oversampling used in the gridding interpolation to </w:t>
      </w:r>
      <w:proofErr w:type="gramStart"/>
      <w:r>
        <w:t>sqrt(</w:t>
      </w:r>
      <w:proofErr w:type="gramEnd"/>
      <w:r>
        <w:t xml:space="preserve">2) and update the alpha oversampling factor accordingly. I suggest that </w:t>
      </w:r>
      <w:r w:rsidR="00362201">
        <w:t>this</w:t>
      </w:r>
      <w:r>
        <w:t xml:space="preserve"> should be implemented throughout the refinement and then the final reconstruction is done with alpha=2. </w:t>
      </w:r>
    </w:p>
    <w:p w14:paraId="2E691D04" w14:textId="77777777" w:rsidR="0096696D" w:rsidRDefault="00000000">
      <w:pPr>
        <w:pStyle w:val="Heading2"/>
      </w:pPr>
      <w:r>
        <w:t>Interactions and Assumptions</w:t>
      </w:r>
    </w:p>
    <w:p w14:paraId="118AE5E4" w14:textId="4B2BEAB0" w:rsidR="0096696D" w:rsidRDefault="00DB5A0E">
      <w:r>
        <w:t xml:space="preserve">The code </w:t>
      </w:r>
      <w:r w:rsidR="00000000">
        <w:t>components</w:t>
      </w:r>
      <w:r>
        <w:t xml:space="preserve"> and fundamental data structures for doing this is already in place. The interactions between the different code elements have already been established.</w:t>
      </w:r>
    </w:p>
    <w:p w14:paraId="5752E999" w14:textId="2C6C8CAD" w:rsidR="0096696D" w:rsidRDefault="00DB5A0E" w:rsidP="007A0315">
      <w:pPr>
        <w:pStyle w:val="Heading2"/>
      </w:pPr>
      <w:r>
        <w:t>Summary</w:t>
      </w:r>
    </w:p>
    <w:p w14:paraId="60BC6CCC" w14:textId="225D3043" w:rsidR="00DB5A0E" w:rsidRPr="0045390F" w:rsidRDefault="00DB5A0E" w:rsidP="00DB5A0E">
      <w:r>
        <w:t xml:space="preserve">This is the obvious follow-up study for our </w:t>
      </w:r>
      <w:r w:rsidR="00362201">
        <w:t xml:space="preserve">two </w:t>
      </w:r>
      <w:r>
        <w:t>latest manuscript</w:t>
      </w:r>
      <w:r>
        <w:t>: “</w:t>
      </w:r>
      <w:r w:rsidR="007A0315" w:rsidRPr="007A0315">
        <w:t>A discrete polar Fourier Approach to Multi-particle Ab Initio 3D reconstruction</w:t>
      </w:r>
      <w:r w:rsidR="007A0315">
        <w:t>.</w:t>
      </w:r>
      <w:r>
        <w:t>”</w:t>
      </w:r>
    </w:p>
    <w:p w14:paraId="2E7F966B" w14:textId="77777777" w:rsidR="00DB5A0E" w:rsidRDefault="00DB5A0E"/>
    <w:sectPr w:rsidR="00DB5A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800D8F"/>
    <w:multiLevelType w:val="hybridMultilevel"/>
    <w:tmpl w:val="8788F8F4"/>
    <w:lvl w:ilvl="0" w:tplc="B60EAB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6607E6"/>
    <w:multiLevelType w:val="hybridMultilevel"/>
    <w:tmpl w:val="637ADC80"/>
    <w:lvl w:ilvl="0" w:tplc="B60EA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45030E"/>
    <w:multiLevelType w:val="hybridMultilevel"/>
    <w:tmpl w:val="B6ECEC46"/>
    <w:lvl w:ilvl="0" w:tplc="B60EA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0634078">
    <w:abstractNumId w:val="8"/>
  </w:num>
  <w:num w:numId="2" w16cid:durableId="901057629">
    <w:abstractNumId w:val="6"/>
  </w:num>
  <w:num w:numId="3" w16cid:durableId="844441560">
    <w:abstractNumId w:val="5"/>
  </w:num>
  <w:num w:numId="4" w16cid:durableId="25448504">
    <w:abstractNumId w:val="4"/>
  </w:num>
  <w:num w:numId="5" w16cid:durableId="1527328693">
    <w:abstractNumId w:val="7"/>
  </w:num>
  <w:num w:numId="6" w16cid:durableId="1528836465">
    <w:abstractNumId w:val="3"/>
  </w:num>
  <w:num w:numId="7" w16cid:durableId="1095635389">
    <w:abstractNumId w:val="2"/>
  </w:num>
  <w:num w:numId="8" w16cid:durableId="1774933196">
    <w:abstractNumId w:val="1"/>
  </w:num>
  <w:num w:numId="9" w16cid:durableId="876309980">
    <w:abstractNumId w:val="0"/>
  </w:num>
  <w:num w:numId="10" w16cid:durableId="1763337141">
    <w:abstractNumId w:val="9"/>
  </w:num>
  <w:num w:numId="11" w16cid:durableId="66928322">
    <w:abstractNumId w:val="10"/>
  </w:num>
  <w:num w:numId="12" w16cid:durableId="540940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533"/>
    <w:rsid w:val="00221A85"/>
    <w:rsid w:val="0029639D"/>
    <w:rsid w:val="00326F90"/>
    <w:rsid w:val="00362201"/>
    <w:rsid w:val="007A0315"/>
    <w:rsid w:val="008444A5"/>
    <w:rsid w:val="009566B7"/>
    <w:rsid w:val="0096696D"/>
    <w:rsid w:val="00A5714F"/>
    <w:rsid w:val="00AA1D8D"/>
    <w:rsid w:val="00B47730"/>
    <w:rsid w:val="00CB0664"/>
    <w:rsid w:val="00DB5A0E"/>
    <w:rsid w:val="00F73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5520B"/>
  <w14:defaultImageDpi w14:val="300"/>
  <w15:docId w15:val="{E588602A-DA63-434B-9907-0353F823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Elmlund, Hans (NIH/NCI) [E]</cp:lastModifiedBy>
  <cp:revision>5</cp:revision>
  <dcterms:created xsi:type="dcterms:W3CDTF">2026-02-01T14:59:00Z</dcterms:created>
  <dcterms:modified xsi:type="dcterms:W3CDTF">2026-02-01T15:43:00Z</dcterms:modified>
  <cp:category/>
</cp:coreProperties>
</file>