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pPr>
      <w:r>
        <w:t>Methods</w:t>
      </w:r>
    </w:p>
    <w:p>
      <w:pPr>
        <w:pStyle w:val="Heading2"/>
      </w:pPr>
      <w:r>
        <w:t>Evidence-conditioned nonuniform regularization in maximum-likelihood reconstruction</w:t>
      </w:r>
    </w:p>
    <w:p>
      <w:pPr>
        <w:pStyle w:val="Heading3"/>
      </w:pPr>
      <w:r>
        <w:t>Overview</w:t>
      </w:r>
    </w:p>
    <w:p>
      <w:pPr>
        <w:pStyle w:val="FirstParagraph"/>
      </w:pPr>
      <w:r>
        <w:t>This method changes only the second, regularized solve, not the reconstruction used to estimate the conventional Fourier shell correlation (FSC). Each gold-standard half-set is first reconstructed without an empirical prior. Those unregularized base half-maps provide both the FSC and a local measure of where signal is reproducible. A second preconditioned conjugate-gradient (PCG) solve then uses that local evidence to suppress unsupported detail.</w:t>
      </w:r>
    </w:p>
    <w:p>
      <w:pPr>
        <w:pStyle w:val="BodyText"/>
      </w:pPr>
      <w:r>
        <w:t>The practical aim is to preserve fine detail in ordered regions while regularizing solvent and flexible regions more strongly. The same frozen evidence state is used for both regularized half-set solves. When the nonuniform (NU) prior is active, the ordinary shell-wise FSC/SSNR prior is disabled so that the same data are not counted twice.</w:t>
      </w:r>
    </w:p>
    <w:p>
      <w:pPr>
        <w:pStyle w:val="Heading3"/>
      </w:pPr>
      <w:r>
        <w:t>Workflow at a glance</w:t>
      </w:r>
    </w:p>
    <w:p>
      <w:pPr>
        <w:pStyle w:val="BodyText"/>
        <w:numPr>
          <w:ilvl w:val="0"/>
          <w:numId w:val="1001"/>
        </w:numPr>
      </w:pPr>
      <w:r>
        <w:rPr>
          <w:b/>
        </w:rPr>
        <w:t xml:space="preserve">Accumulate once. </w:t>
      </w:r>
      <w:r>
        <w:t>For each half-set, form one set of raw Fourier statistics. Both solves use this same accumulation.</w:t>
      </w:r>
    </w:p>
    <w:p>
      <w:pPr>
        <w:pStyle w:val="BodyText"/>
        <w:numPr>
          <w:ilvl w:val="0"/>
          <w:numId w:val="1001"/>
        </w:numPr>
      </w:pPr>
      <w:r>
        <w:rPr>
          <w:b/>
        </w:rPr>
        <w:t xml:space="preserve">Compute the base pair. </w:t>
      </w:r>
      <w:r>
        <w:t>Solve the normal equations without an empirical prior and calculate the conventional FSC from the resulting half-maps.</w:t>
      </w:r>
    </w:p>
    <w:p>
      <w:pPr>
        <w:pStyle w:val="BodyText"/>
        <w:numPr>
          <w:ilvl w:val="0"/>
          <w:numId w:val="1001"/>
        </w:numPr>
      </w:pPr>
      <w:r>
        <w:rPr>
          <w:b/>
        </w:rPr>
        <w:t xml:space="preserve">Build local evidence. </w:t>
      </w:r>
      <w:r>
        <w:t>Compare a bank of local low-pass hypotheses between the base half-maps and convert the result into confidence that signal extends into each detail band.</w:t>
      </w:r>
    </w:p>
    <w:p>
      <w:pPr>
        <w:pStyle w:val="BodyText"/>
        <w:numPr>
          <w:ilvl w:val="0"/>
          <w:numId w:val="1001"/>
        </w:numPr>
      </w:pPr>
      <w:r>
        <w:rPr>
          <w:b/>
        </w:rPr>
        <w:t xml:space="preserve">Freeze and share the evidence. </w:t>
      </w:r>
      <w:r>
        <w:t>Construct the state once per iteration, validate it, and use exactly the same state for both regularized half-set solves.</w:t>
      </w:r>
    </w:p>
    <w:p>
      <w:pPr>
        <w:pStyle w:val="BodyText"/>
        <w:numPr>
          <w:ilvl w:val="0"/>
          <w:numId w:val="1001"/>
        </w:numPr>
      </w:pPr>
      <w:r>
        <w:rPr>
          <w:b/>
        </w:rPr>
        <w:t xml:space="preserve">Solve with the NU precision. </w:t>
      </w:r>
      <w:r>
        <w:t>Re-solve each half with a spatially varying precision that penalizes detail in proportion to the local lack of cross-half evidence.</w:t>
      </w:r>
    </w:p>
    <w:p>
      <w:pPr>
        <w:pStyle w:val="BodyText"/>
        <w:numPr>
          <w:ilvl w:val="0"/>
          <w:numId w:val="1001"/>
        </w:numPr>
      </w:pPr>
      <w:r>
        <w:rPr>
          <w:b/>
        </w:rPr>
        <w:t xml:space="preserve">Report and continue. </w:t>
      </w:r>
      <w:r>
        <w:t>Use the regularized maps directly, pass the finest evidenced cutoff to orientation matching, and report suppression and post-regularization FSC diagnostics without treating that FSC as a resolution claim.</w:t>
      </w:r>
    </w:p>
    <w:p>
      <w:pPr>
        <w:pStyle w:val="Heading2"/>
        <w:pageBreakBefore/>
      </w:pPr>
      <w:r>
        <w:t>Reconstruction model</w:t>
      </w:r>
    </w:p>
    <w:p>
      <w:pPr>
        <w:pStyle w:val="FirstParagraph"/>
      </w:pPr>
      <w:r>
        <w:t xml:space="preserve">Let </w:t>
      </w:r>
      <m:oMath>
        <m:r>
          <w:rPr>
            <w:rFonts w:ascii="Cambria Math" w:hAnsi="Cambria Math"/>
          </w:rPr>
          <m:t>H</m:t>
        </m:r>
      </m:oMath>
      <w:r>
        <w:t xml:space="preserve"> denote the normal-equation data operator, </w:t>
      </w:r>
      <m:oMath>
        <m:r>
          <w:rPr>
            <w:rFonts w:ascii="Cambria Math" w:hAnsi="Cambria Math"/>
          </w:rPr>
          <m:t>b</m:t>
        </m:r>
      </m:oMath>
      <w:r>
        <w:t xml:space="preserve"> the accumulated Fourier right-hand side, </w:t>
      </w:r>
      <m:oMath>
        <m:r>
          <w:rPr>
            <w:rFonts w:ascii="Cambria Math" w:hAnsi="Cambria Math"/>
          </w:rPr>
          <m:t>u</m:t>
        </m:r>
      </m:oMath>
      <w:r>
        <w:t xml:space="preserve"> the reconstructed map, and </w:t>
      </w:r>
      <m:oMath>
        <m:r>
          <w:rPr>
            <w:rFonts w:ascii="Cambria Math" w:hAnsi="Cambria Math"/>
          </w:rPr>
          <m:t>P</m:t>
        </m:r>
      </m:oMath>
      <w:r>
        <w:t xml:space="preserve"> the support operator. The base solve is </w:t>
      </w:r>
      <m:oMath>
        <m:r>
          <w:rPr>
            <w:rFonts w:ascii="Cambria Math" w:hAnsi="Cambria Math"/>
          </w:rPr>
          <m:t>(PHP)u</m:t>
        </m:r>
        <m:r>
          <m:rPr>
            <m:sty m:val="p"/>
          </m:rPr>
          <w:rPr>
            <w:rFonts w:ascii="Cambria Math" w:hAnsi="Cambria Math"/>
          </w:rPr>
          <m:t>=</m:t>
        </m:r>
        <m:r>
          <w:rPr>
            <w:rFonts w:ascii="Cambria Math" w:hAnsi="Cambria Math"/>
          </w:rPr>
          <m:t>Pb</m:t>
        </m:r>
      </m:oMath>
      <w:r>
        <w:t>. The second solve uses the same system and accumulation, but adds a small ridge term and one empirical precision.</w:t>
      </w:r>
    </w:p>
    <w:p>
      <w:pPr>
        <w:pStyle w:val="BodyText"/>
        <w:keepLines/>
      </w:pPr>
      <w:r>
        <w:t xml:space="preserve">In the ordinary regularized solve, the empirical precision is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a shell-diagonal FSC/SSNR term that applies the same Wiener-type shrinkage everywhere within a resolution shell. That stationary model is poorly matched to maps containing ordered cores, flexible domains, and solvent, because those regions support reproducible detail to different resolutions. In NU mode,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is replaced by a spatially resolved precision </w:t>
      </w:r>
      <m:oMath>
        <m:sSub>
          <m:sSubPr>
            <m:ctrlPr>
              <w:rPr>
                <w:rFonts w:ascii="Cambria Math" w:hAnsi="Cambria Math"/>
              </w:rPr>
            </m:ctrlPr>
          </m:sSubPr>
          <m:e>
            <m:r>
              <w:rPr>
                <w:rFonts w:ascii="Cambria Math" w:hAnsi="Cambria Math"/>
              </w:rPr>
              <m:t>Q</m:t>
            </m:r>
          </m:e>
          <m:sub>
            <m:r>
              <w:rPr>
                <w:rFonts w:ascii="Cambria Math" w:hAnsi="Cambria Math"/>
              </w:rPr>
              <m:t>NU</m:t>
            </m:r>
          </m:sub>
        </m:sSub>
      </m:oMath>
      <w:r>
        <w:t xml:space="preserve"> derived from local cross-half evidence.</w:t>
      </w:r>
    </w:p>
    <w:p w14:paraId="4B8A1F70" w14:textId="77777777" w:rsidR="00487039" w:rsidRDefault="00000000">
      <w:pPr>
        <w:pStyle w:val="BodyText"/>
      </w:pPr>
      <m:oMathPara>
        <m:oMathParaPr>
          <m:jc m:val="center"/>
        </m:oMathParaPr>
        <m:oMath>
          <m:r>
            <w:rPr>
              <w:rFonts w:ascii="Cambria Math" w:hAnsi="Cambria Math"/>
            </w:rPr>
            <m:t>P </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NU</m:t>
                  </m:r>
                </m:sub>
              </m:sSub>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NU</m:t>
                  </m:r>
                </m:sub>
              </m:sSub>
            </m:e>
          </m:d>
          <m:r>
            <w:rPr>
              <w:rFonts w:ascii="Cambria Math" w:hAnsi="Cambria Math"/>
            </w:rPr>
            <m:t> P u</m:t>
          </m:r>
          <m:r>
            <m:rPr>
              <m:sty m:val="p"/>
            </m:rPr>
            <w:rPr>
              <w:rFonts w:ascii="Cambria Math" w:hAnsi="Cambria Math"/>
            </w:rPr>
            <m:t>=</m:t>
          </m:r>
          <m:r>
            <w:rPr>
              <w:rFonts w:ascii="Cambria Math" w:hAnsi="Cambria Math"/>
            </w:rPr>
            <m:t>P b</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NU</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rel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data</m:t>
              </m:r>
            </m:sub>
          </m:sSub>
          <m:r>
            <m:rPr>
              <m:sty m:val="p"/>
            </m:rPr>
            <w:rPr>
              <w:rFonts w:ascii="Cambria Math" w:hAnsi="Cambria Math"/>
            </w:rPr>
            <m:t>(</m:t>
          </m:r>
          <m:r>
            <w:rPr>
              <w:rFonts w:ascii="Cambria Math" w:hAnsi="Cambria Math"/>
            </w:rPr>
            <m:t>D</m:t>
          </m:r>
          <m:r>
            <m:rPr>
              <m:sty m:val="p"/>
            </m:rPr>
            <w:rPr>
              <w:rFonts w:ascii="Cambria Math" w:hAnsi="Cambria Math"/>
            </w:rPr>
            <m:t>),</m:t>
          </m:r>
        </m:oMath>
      </m:oMathPara>
    </w:p>
    <w:p>
      <w:pPr>
        <w:pStyle w:val="BodyText"/>
        <w:keepLines/>
      </w:pPr>
      <w:r>
        <w:t xml:space="preserve">The dimensionless strength </w:t>
      </w:r>
      <m:oMath>
        <m:sSub>
          <m:sSubPr>
            <m:ctrlPr>
              <w:rPr>
                <w:rFonts w:ascii="Cambria Math" w:hAnsi="Cambria Math"/>
              </w:rPr>
            </m:ctrlPr>
          </m:sSubPr>
          <m:e>
            <m:r>
              <w:rPr>
                <w:rFonts w:ascii="Cambria Math" w:hAnsi="Cambria Math"/>
              </w:rPr>
              <m:t>λ</m:t>
            </m:r>
          </m:e>
          <m:sub>
            <m:r>
              <w:rPr>
                <w:rFonts w:ascii="Cambria Math" w:hAnsi="Cambria Math"/>
              </w:rPr>
              <m:t>rel</m:t>
            </m:r>
          </m:sub>
        </m:sSub>
      </m:oMath>
      <w:r>
        <w:t xml:space="preserve"> is converted to </w:t>
      </w:r>
      <m:oMath>
        <m:sSub>
          <m:sSubPr>
            <m:ctrlPr>
              <w:rPr>
                <w:rFonts w:ascii="Cambria Math" w:hAnsi="Cambria Math"/>
              </w:rPr>
            </m:ctrlPr>
          </m:sSubPr>
          <m:e>
            <m:r>
              <w:rPr>
                <w:rFonts w:ascii="Cambria Math" w:hAnsi="Cambria Math"/>
              </w:rPr>
              <m:t>λ</m:t>
            </m:r>
          </m:e>
          <m:sub>
            <m:r>
              <w:rPr>
                <w:rFonts w:ascii="Cambria Math" w:hAnsi="Cambria Math"/>
              </w:rPr>
              <m:t>NU</m:t>
            </m:r>
          </m:sub>
        </m:sSub>
      </m:oMath>
      <w:r>
        <w:t xml:space="preserve"> using the same deterministic data scale that anchors the ridge </w:t>
      </w:r>
      <m:oMath>
        <m:sSub>
          <m:sSubPr>
            <m:ctrlPr>
              <w:rPr>
                <w:rFonts w:ascii="Cambria Math" w:hAnsi="Cambria Math"/>
              </w:rPr>
            </m:ctrlPr>
          </m:sSubPr>
          <m:e>
            <m:r>
              <w:rPr>
                <w:rFonts w:ascii="Cambria Math" w:hAnsi="Cambria Math"/>
              </w:rPr>
              <m:t>λ</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NU</m:t>
            </m:r>
          </m:sub>
        </m:sSub>
      </m:oMath>
      <w:r>
        <w:t xml:space="preserve"> are mode-exclusive: both are empirical-Bayes estimates from the current base half-pair, so applying both would count the same evidence twice and make the strength calibration uninterpretable. </w:t>
      </w:r>
      <m:oMath>
        <m:sSub>
          <m:sSubPr>
            <m:ctrlPr>
              <w:rPr>
                <w:rFonts w:ascii="Cambria Math" w:hAnsi="Cambria Math"/>
              </w:rPr>
            </m:ctrlPr>
          </m:sSubPr>
          <m:e>
            <m:r>
              <w:rPr>
                <w:rFonts w:ascii="Cambria Math" w:hAnsi="Cambria Math"/>
              </w:rPr>
              <m:t>Q</m:t>
            </m:r>
          </m:e>
          <m:sub>
            <m:r>
              <w:rPr>
                <w:rFonts w:ascii="Cambria Math" w:hAnsi="Cambria Math"/>
              </w:rPr>
              <m:t>NU</m:t>
            </m:r>
          </m:sub>
        </m:sSub>
      </m:oMath>
      <w:r>
        <w:t xml:space="preserve"> is the nonstationary replacement for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not an extra correction layered on top.</w:t>
      </w:r>
    </w:p>
    <w:p>
      <w:pPr>
        <w:pStyle w:val="BodyText"/>
      </w:pPr>
      <w:r>
        <w:t>The implementation enforces this exclusion with a hard assertion in both directions. Because the unregularized base solve is unchanged, its FSC retains the conventional, regularization-free meaning in either mode.</w:t>
      </w:r>
    </w:p>
    <w:p>
      <w:pPr>
        <w:pStyle w:val="Heading2"/>
      </w:pPr>
      <w:r>
        <w:t>Constructing the compact evidence state</w:t>
      </w:r>
    </w:p>
    <w:p>
      <w:pPr>
        <w:pStyle w:val="Heading3"/>
      </w:pPr>
      <w:r>
        <w:t>Candidate scoring</w:t>
      </w:r>
    </w:p>
    <w:p>
      <w:pPr>
        <w:pStyle w:val="FirstParagraph"/>
      </w:pPr>
      <w:r>
        <w:t>For every voxel inside the soft spherical support, the NU machinery evaluates a bank of candidate local low-pass cutoffs. Each candidate is scored by a robust cross-half prediction error using a Huber loss (delta = 1.345). The residuals are whitened with a radially resolved noise profile, and the scores are calibrated against a solvent null population.</w:t>
      </w:r>
    </w:p>
    <w:p>
      <w:pPr>
        <w:pStyle w:val="BodyText"/>
      </w:pPr>
      <w:r>
        <w:t>An ordered-label Potts model then consolidates the cutoff labels over the 26-neighborhood. Adjacent moves along the cutoff ladder are tolerated, whereas larger jumps incur a quadratic hinge penalty. Band-support confidences are computed as softmax masses over the complete site energies, including both the unary score and the pairwise term. The softmax temperature is calibrated from the same spatial-model energy gaps. This propagates spatial coherence into the prior weights and avoids voxel-wise score flicker.</w:t>
      </w:r>
    </w:p>
    <w:p>
      <w:pPr>
        <w:pStyle w:val="Heading3"/>
      </w:pPr>
      <w:r>
        <w:t>What is stored</w:t>
      </w:r>
    </w:p>
    <w:p>
      <w:pPr>
        <w:pStyle w:val="FirstParagraph"/>
      </w:pPr>
      <w:r>
        <w:t>The candidate bank is used only as an evidence detector. It is evaluated once per iteration on the unregularized base pair; it does not produce a filtered map, and the usual per-voxel application of the winning low-pass candidate is not performed.</w:t>
      </w:r>
    </w:p>
    <w:p>
      <w:pPr>
        <w:pStyle w:val="BodyText"/>
        <w:keepLines/>
      </w:pPr>
      <w:r>
        <w:t xml:space="preserve">Instead, the analysis is reduced to a compact per-voxel state. For each detail band </w:t>
      </w:r>
      <m:oMath>
        <m:r>
          <w:rPr>
            <w:rFonts w:ascii="Cambria Math" w:hAnsi="Cambria Math"/>
          </w:rPr>
          <m:t>b</m:t>
        </m:r>
      </m:oMath>
      <w:r>
        <w:t xml:space="preserve"> it stores a monotone confidence </w:t>
      </w:r>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(v)</m:t>
        </m:r>
      </m:oMath>
      <w:r>
        <w:t xml:space="preserve"> in the interval </w:t>
      </w:r>
      <m:oMath>
        <m:r>
          <w:rPr>
            <w:rFonts w:ascii="Cambria Math" w:hAnsi="Cambria Math"/>
          </w:rPr>
          <m:t>[0,1]</m:t>
        </m:r>
      </m:oMath>
      <w:r>
        <w:t>, interpreted as confidence that reproducible signal extends into that band. The static band boundaries are 20, 12, 8, and 5 Å. Ab initio reconstruction uses these four bands; high-resolution refinement may extend the ladder geometrically to at most eight bands when the evidence-gated shell walk accepts finer cutoffs.</w:t>
      </w:r>
    </w:p>
    <w:p>
      <w:pPr>
        <w:pStyle w:val="BodyText"/>
      </w:pPr>
      <w:r>
        <w:t>The state also retains the selected local cutoff for the resolution-matched handoff to orientation matching and records the solvent-null calibration provenance. The selected cutoff is not applied as a local filter.</w:t>
      </w:r>
    </w:p>
    <w:p>
      <w:pPr>
        <w:pStyle w:val="Heading3"/>
      </w:pPr>
      <w:r>
        <w:t>Freeze and readiness contract</w:t>
      </w:r>
    </w:p>
    <w:p>
      <w:pPr>
        <w:pStyle w:val="FirstParagraph"/>
      </w:pPr>
      <w:r>
        <w:t>The evidence state is constructed once from the current unregularized base half-map pair, frozen before either regularized half-set solve begins, and shared identically by both half-sets. The prior therefore cannot differ between the two halves it regularizes.</w:t>
      </w:r>
    </w:p>
    <w:p>
      <w:pPr>
        <w:pStyle w:val="BodyText"/>
      </w:pPr>
      <w:r>
        <w:t>Before attachment, the code requires an adequate null population, valid band geometry, and finite calibrated confidences. Failure stops the reconstruction with an explicit diagnostic; no substitute prior is selected silently.</w:t>
      </w:r>
    </w:p>
    <w:p>
      <w:pPr>
        <w:pStyle w:val="Heading2"/>
      </w:pPr>
      <w:r>
        <w:t>The nonuniform precision</w:t>
      </w:r>
    </w:p>
    <w:p>
      <w:pPr>
        <w:pStyle w:val="FirstParagraph"/>
      </w:pPr>
      <w:r>
        <w:t xml:space="preserve">Let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be the analysis operator for detail band </w:t>
      </w:r>
      <m:oMath>
        <m:r>
          <w:rPr>
            <w:rFonts w:ascii="Cambria Math" w:hAnsi="Cambria Math"/>
          </w:rPr>
          <m:t>b</m:t>
        </m:r>
      </m:oMath>
      <w:r>
        <w:t xml:space="preserve">. The bands partition the Fourier domain, so </w:t>
      </w:r>
      <m:oMath>
        <m:sSub>
          <m:sSubPr>
            <m:ctrlPr>
              <w:rPr>
                <w:rFonts w:ascii="Cambria Math" w:hAnsi="Cambria Math"/>
              </w:rPr>
            </m:ctrlPr>
          </m:sSubPr>
          <m:e>
            <m:r>
              <w:rPr>
                <w:rFonts w:ascii="Cambria Math" w:hAnsi="Cambria Math"/>
              </w:rPr>
              <m:t>∑</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b</m:t>
            </m:r>
          </m:sub>
          <m:sup>
            <m:r>
              <w:rPr>
                <w:rFonts w:ascii="Cambria Math" w:hAnsi="Cambria Math"/>
              </w:rPr>
              <m:t>T</m:t>
            </m:r>
          </m:sup>
        </m:sSubSup>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I</m:t>
        </m:r>
      </m:oMath>
      <w:r>
        <w:t>. The spatial weight is the graded lack of evidence:</w:t>
      </w:r>
    </w:p>
    <w:p w14:paraId="2194CD4F" w14:textId="77777777" w:rsidR="00487039"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v</m:t>
                      </m:r>
                      <m:r>
                        <m:rPr>
                          <m:sty m:val="p"/>
                        </m:rPr>
                        <w:rPr>
                          <w:rFonts w:ascii="Cambria Math" w:hAnsi="Cambria Math"/>
                        </w:rPr>
                        <m:t>)</m:t>
                      </m:r>
                    </m:e>
                  </m:d>
                </m:e>
              </m:d>
            </m:e>
            <m:sup>
              <m:r>
                <w:rPr>
                  <w:rFonts w:ascii="Cambria Math" w:hAnsi="Cambria Math"/>
                </w:rPr>
                <m:t>2</m:t>
              </m:r>
            </m:sup>
          </m:sSup>
          <m:r>
            <m:rPr>
              <m:sty m:val="p"/>
            </m:rPr>
            <w:rPr>
              <w:rFonts w:ascii="Cambria Math" w:hAnsi="Cambria Math"/>
            </w:rPr>
            <m:t>,</m:t>
          </m:r>
        </m:oMath>
      </m:oMathPara>
    </w:p>
    <w:p>
      <w:pPr>
        <w:pStyle w:val="BodyText"/>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is the soft spherical support. Because signal support is nested from coarse to fine bands, the lack-of-evidence weight </w:t>
      </w:r>
      <m:oMath>
        <m:sSub>
          <m:sSubPr>
            <m:ctrlPr>
              <w:rPr>
                <w:rFonts w:ascii="Cambria Math" w:hAnsi="Cambria Math"/>
              </w:rPr>
            </m:ctrlPr>
          </m:sSubPr>
          <m:e>
            <m:r>
              <w:rPr>
                <w:rFonts w:ascii="Cambria Math" w:hAnsi="Cambria Math"/>
              </w:rPr>
              <m:t>w</m:t>
            </m:r>
          </m:e>
          <m:sub>
            <m:r>
              <w:rPr>
                <w:rFonts w:ascii="Cambria Math" w:hAnsi="Cambria Math"/>
              </w:rPr>
              <m:t>b</m:t>
            </m:r>
          </m:sub>
        </m:sSub>
      </m:oMath>
      <w:r>
        <w:t xml:space="preserve"> is monotone non-decreasing toward finer bands: unsupported fine detail is penalized at least as strongly as unsupported coarse detail.</w:t>
      </w:r>
    </w:p>
    <w:p>
      <w:pPr>
        <w:pStyle w:val="BodyText"/>
      </w:pPr>
      <w:r>
        <w:t xml:space="preserve">With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m:rPr>
            <m:sty m:val="p"/>
          </m:rPr>
          <w:rPr>
            <w:rFonts w:ascii="Cambria Math" w:hAnsi="Cambria Math"/>
          </w: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oMath>
      <w:r>
        <w:t xml:space="preserve"> and </w:t>
      </w:r>
      <m:oMath>
        <m:r>
          <w:rPr>
            <w:rFonts w:ascii="Cambria Math" w:hAnsi="Cambria Math"/>
          </w:rPr>
          <m:t>C</m:t>
        </m:r>
      </m:oMath>
      <w:r>
        <w:t xml:space="preserve"> the mean-centering projector, the penalty on a trial map </w:t>
      </w:r>
      <m:oMath>
        <m:r>
          <w:rPr>
            <w:rFonts w:ascii="Cambria Math" w:hAnsi="Cambria Math"/>
          </w:rPr>
          <m:t>x</m:t>
        </m:r>
      </m:oMath>
      <w:r>
        <w:t xml:space="preserve"> and the precision that generates it are:</w:t>
      </w:r>
    </w:p>
    <w:p w14:paraId="48D2EA99" w14:textId="77777777" w:rsidR="00487039"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NU</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NU</m:t>
                  </m:r>
                </m:sub>
              </m:sSub>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b</m:t>
                              </m:r>
                            </m:sub>
                          </m:sSub>
                        </m:e>
                      </m:rad>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b</m:t>
                          </m:r>
                        </m:sub>
                      </m:sSub>
                      <m:r>
                        <w:rPr>
                          <w:rFonts w:ascii="Cambria Math" w:hAnsi="Cambria Math"/>
                        </w:rPr>
                        <m:t> C x</m:t>
                      </m:r>
                    </m:e>
                  </m:d>
                </m:e>
                <m:sup>
                  <m:r>
                    <w:rPr>
                      <w:rFonts w:ascii="Cambria Math" w:hAnsi="Cambria Math"/>
                    </w:rPr>
                    <m:t>2</m:t>
                  </m:r>
                </m:sup>
              </m:s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NU</m:t>
              </m:r>
            </m:sub>
          </m:sSub>
          <m:r>
            <m:rPr>
              <m:sty m:val="p"/>
            </m:rPr>
            <w:rPr>
              <w:rFonts w:ascii="Cambria Math" w:hAnsi="Cambria Math"/>
            </w:rPr>
            <m:t>=</m:t>
          </m:r>
          <m:r>
            <w:rPr>
              <w:rFonts w:ascii="Cambria Math" w:hAnsi="Cambria Math"/>
            </w:rPr>
            <m:t>C </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b</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b</m:t>
                  </m:r>
                </m:sub>
              </m:sSub>
            </m:e>
          </m:d>
          <m:r>
            <w:rPr>
              <w:rFonts w:ascii="Cambria Math" w:hAnsi="Cambria Math"/>
            </w:rPr>
            <m:t> C</m:t>
          </m:r>
          <m:r>
            <m:rPr>
              <m:sty m:val="p"/>
            </m:rPr>
            <w:rPr>
              <w:rFonts w:ascii="Cambria Math" w:hAnsi="Cambria Math"/>
            </w:rPr>
            <m:t>.</m:t>
          </m:r>
        </m:oMath>
      </m:oMathPara>
    </w:p>
    <w:p>
      <w:pPr>
        <w:pStyle w:val="Heading3"/>
      </w:pPr>
      <w:r>
        <w:t>Interpretation and numerical properties</w:t>
      </w:r>
    </w:p>
    <w:p>
      <w:pPr>
        <w:pStyle w:val="FirstParagraph"/>
      </w:pPr>
      <w:r>
        <w:t>Each summand is symmetric positive semidefinite. After adding the ridge and the support-sandwiched data operator, the regularized system remains symmetric positive definite. Mean-centering supplies an exact constant null mode, so the prior never penalizes the mean density level, which the data do not determine.</w:t>
      </w:r>
    </w:p>
    <w:p>
      <w:pPr>
        <w:pStyle w:val="BodyText"/>
      </w:pPr>
      <w:r>
        <w:t>The limiting cases are intuitive. In solvent, where no band is supported, all non-constant detail is penalized and the prior approaches solvent flattening. Where only coarse structure is reproducible, coarse bands pass while unsupported fine bands are suppressed. In an ordered core supported to the finest band, the prior becomes inert. At uncertain boundaries, the penalty changes continuously rather than making a binary molecule-versus-solvent decision.</w:t>
      </w:r>
    </w:p>
    <w:p>
      <w:pPr>
        <w:pStyle w:val="BodyText"/>
        <w:keepLines/>
      </w:pPr>
      <w:r>
        <w:t xml:space="preserve">The operator is matrix-free. Each band requires Fourier selection, real-space weighting, and a band-masked re-projection accumulated in Fourier space. One forward transform is shared with the kernelized data operator and one final synthesis transform is used, for </w:t>
      </w:r>
      <m:oMath>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+1</m:t>
        </m:r>
      </m:oMath>
      <w:r>
        <w:t xml:space="preserve"> padded transforms per application. The preconditioner uses the nonnegative shell-diagonal support-mean band weight, which preserves positive semidefiniteness while approximating the average bandwise stiffening.</w:t>
      </w:r>
    </w:p>
    <w:p>
      <w:pPr>
        <w:pStyle w:val="BodyText"/>
      </w:pPr>
      <w:r>
        <w:t xml:space="preserve">Across refinement iterations, each regularized half-set solve is warm-started from that half-set's previous maximum-likelihood solution. A cold start uses the current base solution. The closed-form Wiener initialization is specific to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and is therefore not used for </w:t>
      </w:r>
      <m:oMath>
        <m:sSub>
          <m:sSubPr>
            <m:ctrlPr>
              <w:rPr>
                <w:rFonts w:ascii="Cambria Math" w:hAnsi="Cambria Math"/>
              </w:rPr>
            </m:ctrlPr>
          </m:sSubPr>
          <m:e>
            <m:r>
              <w:rPr>
                <w:rFonts w:ascii="Cambria Math" w:hAnsi="Cambria Math"/>
              </w:rPr>
              <m:t>Q</m:t>
            </m:r>
          </m:e>
          <m:sub>
            <m:r>
              <w:rPr>
                <w:rFonts w:ascii="Cambria Math" w:hAnsi="Cambria Math"/>
              </w:rPr>
              <m:t>NU</m:t>
            </m:r>
          </m:sub>
        </m:sSub>
      </m:oMath>
      <w:r>
        <w:t>.</w:t>
      </w:r>
    </w:p>
    <w:p>
      <w:pPr>
        <w:pStyle w:val="Heading2"/>
      </w:pPr>
      <w:r>
        <w:t>Workflow integration</w:t>
      </w:r>
    </w:p>
    <w:p>
      <w:pPr>
        <w:pStyle w:val="FirstParagraph"/>
      </w:pPr>
      <w:r>
        <w:t>The shipped half-maps are regularized inside the PCG solve. Consequently, the post-hoc NU competitive-filtering step becomes redundant and is skipped when the NU precision is used. No second NU analysis is run, and no separate locally filtered reference products are generated.</w:t>
      </w:r>
    </w:p>
    <w:p>
      <w:pPr>
        <w:pStyle w:val="BodyText"/>
      </w:pPr>
      <w:r>
        <w:t xml:space="preserve">The one quantity previously exported by post-hoc filtering - the finest evidenced local cutoff used to limit orientation matching - is read directly from the frozen evidence state. Matching therefore uses a cutoff consistent with the prior that shaped its reference maps. Refinement consumes the </w:t>
      </w:r>
      <m:oMath>
        <m:sSub>
          <m:sSubPr>
            <m:ctrlPr>
              <w:rPr>
                <w:rFonts w:ascii="Cambria Math" w:hAnsi="Cambria Math"/>
              </w:rPr>
            </m:ctrlPr>
          </m:sSubPr>
          <m:e>
            <m:r>
              <w:rPr>
                <w:rFonts w:ascii="Cambria Math" w:hAnsi="Cambria Math"/>
              </w:rPr>
              <m:t>Q</m:t>
            </m:r>
          </m:e>
          <m:sub>
            <m:r>
              <w:rPr>
                <w:rFonts w:ascii="Cambria Math" w:hAnsi="Cambria Math"/>
              </w:rPr>
              <m:t>NU</m:t>
            </m:r>
          </m:sub>
        </m:sSub>
      </m:oMath>
      <w:r>
        <w:t>-regularized maps directly, and evidence is calculated once per iteration rather than twice.</w:t>
      </w:r>
    </w:p>
    <w:p>
      <w:pPr>
        <w:pStyle w:val="Heading2"/>
      </w:pPr>
      <w:r>
        <w:t>Strength selection and diagnostics</w:t>
      </w:r>
    </w:p>
    <w:p>
      <w:pPr>
        <w:pStyle w:val="FirstParagraph"/>
      </w:pPr>
      <w:r>
        <w:t xml:space="preserve">The relative strength </w:t>
      </w:r>
      <m:oMath>
        <m:sSub>
          <m:sSubPr>
            <m:ctrlPr>
              <w:rPr>
                <w:rFonts w:ascii="Cambria Math" w:hAnsi="Cambria Math"/>
              </w:rPr>
            </m:ctrlPr>
          </m:sSubPr>
          <m:e>
            <m:r>
              <w:rPr>
                <w:rFonts w:ascii="Cambria Math" w:hAnsi="Cambria Math"/>
              </w:rPr>
              <m:t>λ</m:t>
            </m:r>
          </m:e>
          <m:sub>
            <m:r>
              <w:rPr>
                <w:rFonts w:ascii="Cambria Math" w:hAnsi="Cambria Math"/>
              </w:rPr>
              <m:t>rel</m:t>
            </m:r>
          </m:sub>
        </m:sSub>
      </m:oMath>
      <w:r>
        <w:t xml:space="preserve"> is calibrated with the same dose-response ladder used for the solvent prior. The ladder always includes a zero-strength control, which restores the ordinary solve using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and serves as the production control arm.</w:t>
      </w:r>
    </w:p>
    <w:p>
      <w:pPr>
        <w:pStyle w:val="Heading3"/>
      </w:pPr>
      <w:r>
        <w:t>FSC after regularization</w:t>
      </w:r>
    </w:p>
    <w:p>
      <w:pPr>
        <w:pStyle w:val="FirstParagraph"/>
      </w:pPr>
      <w:r>
        <w:t>The FSC of the regularized pair is reported next to the base-pair FSC. Because both half-sets use the same evidence state, regularization can correlate their errors and inflate the post-regularization FSC. This FSC is therefore used only as an over-regularization diagnostic; it is never reported as a resolution claim.</w:t>
      </w:r>
    </w:p>
    <w:p>
      <w:pPr>
        <w:pStyle w:val="Heading3"/>
      </w:pPr>
      <w:r>
        <w:t>Prior-energy suppression</w:t>
      </w:r>
    </w:p>
    <w:p>
      <w:pPr>
        <w:pStyle w:val="FirstParagraph"/>
      </w:pPr>
      <w:r>
        <w:t>Each regularized half-set solve also reports the percentage by which the prior energy is suppressed relative to the unregularized base solution of that same half:</w:t>
      </w:r>
    </w:p>
    <w:p w14:paraId="3E45295E" w14:textId="77777777" w:rsidR="00487039" w:rsidRDefault="00000000">
      <w:pPr>
        <w:pStyle w:val="BodyText"/>
      </w:pPr>
      <m:oMathPara>
        <m:oMathParaPr>
          <m:jc m:val="center"/>
        </m:oMathParaPr>
        <m:oMath>
          <m:r>
            <w:rPr>
              <w:rFonts w:ascii="Cambria Math" w:hAnsi="Cambria Math"/>
            </w:rPr>
            <m:t>supp</m:t>
          </m:r>
          <m:r>
            <m:rPr>
              <m:sty m:val="p"/>
            </m:rPr>
            <w:rPr>
              <w:rFonts w:ascii="Cambria Math" w:hAnsi="Cambria Math"/>
            </w:rPr>
            <m:t>%=</m:t>
          </m:r>
          <m:r>
            <w:rPr>
              <w:rFonts w:ascii="Cambria Math" w:hAnsi="Cambria Math"/>
            </w:rPr>
            <m:t>100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ML</m:t>
                          </m:r>
                        </m:sub>
                      </m:sSub>
                      <m:r>
                        <m:rPr>
                          <m:sty m:val="p"/>
                        </m:rP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NU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base</m:t>
                          </m:r>
                        </m:sub>
                      </m:sSub>
                      <m:r>
                        <m:rPr>
                          <m:sty m:val="p"/>
                        </m:rPr>
                        <w:rPr>
                          <w:rFonts w:ascii="Cambria Math" w:hAnsi="Cambria Math"/>
                        </w:rPr>
                        <m:t>)</m:t>
                      </m:r>
                    </m:den>
                  </m:f>
                </m:e>
              </m:rad>
            </m:e>
          </m:d>
          <m:r>
            <m:rPr>
              <m:sty m:val="p"/>
            </m:rPr>
            <w:rPr>
              <w:rFonts w:ascii="Cambria Math" w:hAnsi="Cambria Math"/>
            </w:rPr>
            <m:t>,</m:t>
          </m:r>
        </m:oMath>
      </m:oMathPara>
    </w:p>
    <w:p>
      <w:pPr>
        <w:pStyle w:val="BodyText"/>
      </w:pPr>
      <w:r>
        <w:t>A nearly inert prior gives a value near zero. Per-state averages are printed with the convergence statistics at every refinement iteration. Values below the provisional lower bound are flagged as too weak; values above the upper bound are flagged as potentially over-regularized. The bounds are recalibrated against the strength ladder.</w:t>
      </w:r>
    </w:p>
    <w:p>
      <w:pPr>
        <w:pStyle w:val="BodyText"/>
        <w:keepLines/>
      </w:pPr>
      <w:r>
        <w:t xml:space="preserve">On real data, approximately 60% prior-energy suppression marks the regime in which the spatially nonuniform effect is clearly visible and is used as the current strength-selection target. The dimensionless strength needed to reach that target varies between datasets because the data scale is anchored at low frequency while the prior acts mainly in fine shells. The suppression readout, rather than </w:t>
      </w:r>
      <m:oMath>
        <m:sSub>
          <m:sSubPr>
            <m:ctrlPr>
              <w:rPr>
                <w:rFonts w:ascii="Cambria Math" w:hAnsi="Cambria Math"/>
              </w:rPr>
            </m:ctrlPr>
          </m:sSubPr>
          <m:e>
            <m:r>
              <w:rPr>
                <w:rFonts w:ascii="Cambria Math" w:hAnsi="Cambria Math"/>
              </w:rPr>
              <m:t>λ</m:t>
            </m:r>
          </m:e>
          <m:sub>
            <m:r>
              <w:rPr>
                <w:rFonts w:ascii="Cambria Math" w:hAnsi="Cambria Math"/>
              </w:rPr>
              <m:t>rel</m:t>
            </m:r>
          </m:sub>
        </m:sSub>
      </m:oMath>
      <w:r>
        <w:t xml:space="preserve"> itself, is therefore the transferable control variable.</w:t>
      </w:r>
    </w:p>
    <w:p>
      <w:pPr>
        <w:pStyle w:val="Heading2"/>
      </w:pPr>
      <w:r>
        <w:t>Validation</w:t>
      </w:r>
    </w:p>
    <w:p>
      <w:pPr>
        <w:pStyle w:val="Heading3"/>
      </w:pPr>
      <w:r>
        <w:t>Operator-level gates</w:t>
      </w:r>
    </w:p>
    <w:p>
      <w:pPr>
        <w:pStyle w:val="FirstParagraph"/>
      </w:pPr>
      <w:r>
        <w:t xml:space="preserve">Small-problem tests compare the matrix-free action with direct dense composition and verify the adjoint factorization of </w:t>
      </w:r>
      <m:oMath>
        <m:sSub>
          <m:sSubPr>
            <m:ctrlPr>
              <w:rPr>
                <w:rFonts w:ascii="Cambria Math" w:hAnsi="Cambria Math"/>
              </w:rPr>
            </m:ctrlPr>
          </m:sSubPr>
          <m:e>
            <m:r>
              <w:rPr>
                <w:rFonts w:ascii="Cambria Math" w:hAnsi="Cambria Math"/>
              </w:rPr>
              <m:t>Q</m:t>
            </m:r>
          </m:e>
          <m:sub>
            <m:r>
              <w:rPr>
                <w:rFonts w:ascii="Cambria Math" w:hAnsi="Cambria Math"/>
              </w:rPr>
              <m:t>NU</m:t>
            </m:r>
          </m:sub>
        </m:sSub>
      </m:oMath>
      <w:r>
        <w:t>. Additional gates check symmetry, positive semidefiniteness, the constant null mode, complete coarse-to-fine band partitioning, and inertness when the lack-of-evidence weight is zero.</w:t>
      </w:r>
    </w:p>
    <w:p>
      <w:pPr>
        <w:pStyle w:val="BodyText"/>
      </w:pPr>
      <w:r>
        <w:t xml:space="preserve">Workflow gates verify that the evidence state is frozen across the two regularized half-set solves and that requesting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NU</m:t>
            </m:r>
          </m:sub>
        </m:sSub>
      </m:oMath>
      <w:r>
        <w:t xml:space="preserve"> together fails explicitly.</w:t>
      </w:r>
    </w:p>
    <w:p>
      <w:pPr>
        <w:pStyle w:val="Heading3"/>
      </w:pPr>
      <w:r>
        <w:t>End-to-end checks</w:t>
      </w:r>
    </w:p>
    <w:p>
      <w:pPr>
        <w:pStyle w:val="FirstParagraph"/>
      </w:pPr>
      <w:r>
        <w:t xml:space="preserve">End-to-end behavior is measured with the same-input dual-backend harness used for the reconstruction operator. The ordinary solve using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is the reference estimator. Base-pair FSCs are the negative-control gate, while the post-regularization pair FSC is interpreted only as an over-regularization diagnostic.</w:t>
      </w:r>
    </w:p>
    <w:p>
      <w:pPr>
        <w:pStyle w:val="BodyText"/>
      </w:pPr>
      <w:r>
        <w:t>In the first application to ab initio 3D reconstruction of the β-galactosidase benchmark, the NU-regularized solve produced a stable evidence trajectory across stages, eliminated the solvent-area orientation-overlap collapse seen with the post-hoc filtering path, and produced final maps nearly identical to the post-hoc NU-filtered control. This is consistent with moving the same regularization inside the solve rather than introducing new structure.</w:t>
      </w:r>
    </w:p>
    <w:p>
      <w:pPr>
        <w:pStyle w:val="Heading3"/>
      </w:pPr>
      <w:r>
        <w:t>Implementation</w:t>
      </w:r>
    </w:p>
    <w:p>
      <w:pPr>
        <w:pStyle w:val="FirstParagraph"/>
      </w:pPr>
      <w:r>
        <w:t>All methods are implemented in Fortran within SIMPLE and are OpenMP parallel. Shared-memory and distributed execution use the same scientific code path. The evidence state is built once per iteration, and the cost of applying the NU precision is a fixed number of padded FFTs independent of particle count.</w:t>
      </w:r>
    </w:p>
    <w:sectPr w:rsidR="004870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D560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E555057"/>
    <w:multiLevelType w:val="singleLevel"/>
    <w:tmpl w:val="0409000F"/>
    <w:lvl w:ilvl="0">
      <w:start w:val="1"/>
      <w:numFmt w:val="decimal"/>
      <w:lvlText w:val="%1."/>
      <w:lvlJc w:val="left"/>
      <w:pPr>
        <w:tabs>
          <w:tab w:val="num" w:pos="720"/>
        </w:tabs>
        <w:ind w:left="720" w:hanging="360"/>
      </w:pPr>
    </w:lvl>
  </w:abstractNum>
  <w:num w:numId="1" w16cid:durableId="1853761851">
    <w:abstractNumId w:val="1"/>
  </w:num>
  <w:abstractNum w:abstractNumId="991">
    <w:nsid w:val="4E555057"/>
    <w:multiLevelType w:val="singleLevel"/>
    <w:lvl w:ilvl="0">
      <w:start w:val="1"/>
      <w:numFmt w:val="decimal"/>
      <w:lvlText w:val="%1."/>
      <w:suff w:val="tab"/>
      <w:lvlJc w:val="left"/>
      <w:pPr>
        <w:tabs>
          <w:tab w:val="num" w:pos="720"/>
        </w:tabs>
        <w:ind w:left="720" w:hanging="360"/>
      </w:pPr>
    </w:lvl>
  </w:abstractNum>
  <w:num w:numId="1001">
    <w:abstractNumId w:val="99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39"/>
    <w:rsid w:val="00143BC3"/>
    <w:rsid w:val="00487039"/>
    <w:rsid w:val="005F70B0"/>
    <w:rsid w:val="0095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A4E17A"/>
  <w15:docId w15:val="{68B70F7E-54B1-9B40-9CF1-92D1338F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1735</Words>
  <Characters>10104</Characters>
  <Application>Microsoft Office Word</Application>
  <DocSecurity>0</DocSecurity>
  <Lines>171</Lines>
  <Paragraphs>72</Paragraphs>
  <ScaleCrop>false</ScaleCrop>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Elmlund, Hans (NIH/NCI) [E]</dc:creator>
  <cp:keywords/>
  <cp:lastModifiedBy>Elmlund, Hans (NIH/NCI) [E]</cp:lastModifiedBy>
  <cp:revision>3</cp:revision>
  <dcterms:created xsi:type="dcterms:W3CDTF">2026-08-30T16:04:00Z</dcterms:created>
  <dcterms:modified xsi:type="dcterms:W3CDTF">2026-08-30T16:05:00Z</dcterms:modified>
</cp:coreProperties>
</file>