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법적 리스크 검토 결과</w:t>
      </w:r>
    </w:p>
    <w:p>
      <w:r>
        <w:t>본 상품은 다음과 같은 심각한 법적 리스크를 포함하고 있습니다:</w:t>
      </w:r>
    </w:p>
    <w:p>
      <w:r>
        <w:t>1. 금융실명거래 및 비밀보장에 관한 법률 위반 위험</w:t>
        <w:br/>
        <w:t>- 모든 금융거래는 실명으로 이루어져야 하며, 익명 계좌 개설은 법률에 위배됩니다.</w:t>
        <w:br/>
        <w:t>- 고객 신원 확인 절차 없이 계좌를 개설하는 것은 불법입니다.</w:t>
        <w:br/>
        <w:br/>
        <w:t>2. 국제 자금세탁방지 규정 위반 가능성</w:t>
        <w:br/>
        <w:t>- FATCA/CRS 등 국제 정보교환 협약을 의도적으로 회피하려는 시도는 심각한 법적 제재의 대상이 될 수 있습니다.</w:t>
        <w:br/>
        <w:t>- 제3자에게 고객 정보를 제공하지 않겠다는 약속은 법적으로 집행 불가능합니다.</w:t>
        <w:br/>
        <w:br/>
        <w:t>3. 예금자 보호법 위반</w:t>
        <w:br/>
        <w:t>- 익명성을 이유로 예금자 보호 대상에서 제외되는 것은 불법적입니다.</w:t>
        <w:br/>
        <w:t>- 모든 예금은 법적으로 보호받을 권리가 있습니다.</w:t>
        <w:br/>
        <w:br/>
        <w:t>4. 금융소비자 보호 의무 위반</w:t>
        <w:br/>
        <w:t>- 고객에게 잠재적 법적 위험을 충분히 고지하지 않고 있습니다.</w:t>
        <w:br/>
        <w:t>- 서비스 제한 가능성에 대한 포괄적이고 명확한 설명이 부족합니다.</w:t>
      </w:r>
    </w:p>
    <w:p>
      <w:pPr>
        <w:pStyle w:val="Heading1"/>
      </w:pPr>
      <w:r>
        <w:t>주요 수정 권고사항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프라이빗 넘버드 외화예금 상품설명서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