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Humanities: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Получили доступ к опубликованным изданиям -&gt; пополняем с их помощью корпус.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Определили список сценариев, выделили в нём категории (те, что точно будем реализовывать, и сомнительные). Ориентировались на то, что ещё не делали раньше, и на то, что может быть интересно обычному читателю.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Определили принципы работы с текстами Вознесенского (делим текст и графику, например) -&gt; очень сомнительная задача, конечно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Начали думать над тем, как представить издание читателю (например, правильные и понятные названия сценариев).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Digital: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Смогли максимально автоматизировать процесс распознавания текстов (???).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Определились с разметкой текстов.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Начали работу над тематическим моделированием (сценарий – темы), определением тональности (сценарий – тональность), определением метра (сценарий – традиционное/нетрадиционное).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Изучили возможности расчёта удобочитаемости текстов.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Обозначили структуру корпуса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Что осталось: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Придумать, что делать с видеомами, как их анализировать.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Понять, как адаптировать издание под детскую аудиторию.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Приступить к реализации остальных сценариев.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Закончить работу над созданием корпуса и разметкой текстов -&gt; проблема монотонности </w:t>
        <w:br w:type="textWrapping"/>
        <w:t xml:space="preserve">Ограничения в автоматизации процесса: все издания немного по-разному структурированы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