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C637A" w14:textId="77777777" w:rsidR="006F7B08" w:rsidRDefault="00000000">
      <w:pPr>
        <w:spacing w:after="80"/>
        <w:jc w:val="center"/>
      </w:pPr>
      <w:r>
        <w:rPr>
          <w:rFonts w:eastAsia="Arial"/>
          <w:b/>
          <w:bCs/>
          <w:color w:val="1E3A5F"/>
          <w:sz w:val="32"/>
          <w:szCs w:val="32"/>
        </w:rPr>
        <w:t>LLM-Based Persona Simulation and MANU Stock Prediction</w:t>
      </w:r>
    </w:p>
    <w:p w14:paraId="3EFC637B" w14:textId="77777777" w:rsidR="006F7B08" w:rsidRDefault="00000000">
      <w:pPr>
        <w:spacing w:after="60"/>
        <w:jc w:val="center"/>
      </w:pPr>
      <w:r>
        <w:rPr>
          <w:rFonts w:eastAsia="Arial"/>
          <w:color w:val="2E6DA4"/>
          <w:sz w:val="22"/>
          <w:szCs w:val="22"/>
        </w:rPr>
        <w:t>Out-of-Sample Regression Analysis &amp; Cross-Validation Report</w:t>
      </w:r>
    </w:p>
    <w:p w14:paraId="3EFC637C" w14:textId="77777777" w:rsidR="006F7B08" w:rsidRDefault="00000000">
      <w:pPr>
        <w:spacing w:after="240"/>
        <w:jc w:val="center"/>
      </w:pPr>
      <w:r>
        <w:rPr>
          <w:rFonts w:eastAsia="Arial"/>
          <w:i/>
          <w:iCs/>
          <w:color w:val="777777"/>
          <w:sz w:val="18"/>
          <w:szCs w:val="18"/>
        </w:rPr>
        <w:t xml:space="preserve">March </w:t>
      </w:r>
      <w:proofErr w:type="gramStart"/>
      <w:r>
        <w:rPr>
          <w:rFonts w:eastAsia="Arial"/>
          <w:i/>
          <w:iCs/>
          <w:color w:val="777777"/>
          <w:sz w:val="18"/>
          <w:szCs w:val="18"/>
        </w:rPr>
        <w:t>2026  |</w:t>
      </w:r>
      <w:proofErr w:type="gramEnd"/>
      <w:r>
        <w:rPr>
          <w:rFonts w:eastAsia="Arial"/>
          <w:i/>
          <w:iCs/>
          <w:color w:val="777777"/>
          <w:sz w:val="18"/>
          <w:szCs w:val="18"/>
        </w:rPr>
        <w:t xml:space="preserve">  190 Matches (2020–2025</w:t>
      </w:r>
      <w:proofErr w:type="gramStart"/>
      <w:r>
        <w:rPr>
          <w:rFonts w:eastAsia="Arial"/>
          <w:i/>
          <w:iCs/>
          <w:color w:val="777777"/>
          <w:sz w:val="18"/>
          <w:szCs w:val="18"/>
        </w:rPr>
        <w:t>)  |</w:t>
      </w:r>
      <w:proofErr w:type="gramEnd"/>
      <w:r>
        <w:rPr>
          <w:rFonts w:eastAsia="Arial"/>
          <w:i/>
          <w:iCs/>
          <w:color w:val="777777"/>
          <w:sz w:val="18"/>
          <w:szCs w:val="18"/>
        </w:rPr>
        <w:t xml:space="preserve">  200 LLM Persona Agents</w:t>
      </w:r>
    </w:p>
    <w:p w14:paraId="3EFC637D" w14:textId="77777777" w:rsidR="006F7B08" w:rsidRDefault="006F7B08">
      <w:pPr>
        <w:pBdr>
          <w:bottom w:val="single" w:sz="6" w:space="1" w:color="2E6DA4"/>
        </w:pBdr>
        <w:spacing w:before="120" w:after="120"/>
      </w:pPr>
    </w:p>
    <w:p w14:paraId="3EFC637E" w14:textId="77777777" w:rsidR="006F7B08" w:rsidRDefault="00000000">
      <w:pPr>
        <w:pStyle w:val="Heading1"/>
      </w:pPr>
      <w:r>
        <w:t>1. Regression Model Overview</w:t>
      </w:r>
    </w:p>
    <w:p w14:paraId="3EFC637F" w14:textId="77777777" w:rsidR="006F7B08" w:rsidRDefault="00000000">
      <w:pPr>
        <w:pStyle w:val="Heading2"/>
      </w:pPr>
      <w:r>
        <w:t>1.1 Out-of-Sample (OOS) Regression</w:t>
      </w:r>
    </w:p>
    <w:p w14:paraId="3EFC6380" w14:textId="77777777" w:rsidR="006F7B08" w:rsidRDefault="00000000">
      <w:pPr>
        <w:spacing w:before="80" w:after="120"/>
        <w:jc w:val="both"/>
      </w:pPr>
      <w:r>
        <w:rPr>
          <w:rFonts w:eastAsia="Arial"/>
        </w:rPr>
        <w:t xml:space="preserve">The primary evaluation framework is a </w:t>
      </w:r>
      <w:r>
        <w:rPr>
          <w:rFonts w:eastAsia="Arial"/>
          <w:b/>
          <w:bCs/>
        </w:rPr>
        <w:t>rolling-origin expanding-window OOS regression</w:t>
      </w:r>
      <w:r>
        <w:rPr>
          <w:rFonts w:eastAsia="Arial"/>
        </w:rPr>
        <w:t xml:space="preserve">. For each match at time </w:t>
      </w:r>
      <w:r>
        <w:rPr>
          <w:rFonts w:eastAsia="Arial"/>
          <w:i/>
          <w:iCs/>
        </w:rPr>
        <w:t>t</w:t>
      </w:r>
      <w:r>
        <w:rPr>
          <w:rFonts w:eastAsia="Arial"/>
        </w:rPr>
        <w:t xml:space="preserve">, a Ridge regression model is trained exclusively on all prior matches [1, </w:t>
      </w:r>
      <w:r>
        <w:rPr>
          <w:rFonts w:eastAsia="Arial"/>
          <w:i/>
          <w:iCs/>
        </w:rPr>
        <w:t>t</w:t>
      </w:r>
      <w:r>
        <w:rPr>
          <w:rFonts w:eastAsia="Arial"/>
        </w:rPr>
        <w:t xml:space="preserve">−1], then used to predict the stock return on match </w:t>
      </w:r>
      <w:r>
        <w:rPr>
          <w:rFonts w:eastAsia="Arial"/>
          <w:i/>
          <w:iCs/>
        </w:rPr>
        <w:t>t</w:t>
      </w:r>
      <w:r>
        <w:rPr>
          <w:rFonts w:eastAsia="Arial"/>
        </w:rPr>
        <w:t>. This ensures that no future information is used in training, mimicking real-world prediction conditions. The procedure is repeated for every match beyond the minimum training window, yielding a sequence of true out-of-sample forecasts.</w:t>
      </w:r>
    </w:p>
    <w:p w14:paraId="3EFC6381" w14:textId="77777777" w:rsidR="006F7B08" w:rsidRDefault="00000000">
      <w:pPr>
        <w:spacing w:before="80" w:after="120"/>
        <w:jc w:val="both"/>
      </w:pPr>
      <w:r>
        <w:rPr>
          <w:rFonts w:eastAsia="Arial"/>
        </w:rPr>
        <w:t xml:space="preserve">Model performance is assessed using </w:t>
      </w:r>
      <w:r>
        <w:rPr>
          <w:rFonts w:eastAsia="Arial"/>
          <w:b/>
          <w:bCs/>
        </w:rPr>
        <w:t>R²ₒₒₛ</w:t>
      </w:r>
      <w:r>
        <w:rPr>
          <w:rFonts w:eastAsia="Arial"/>
        </w:rPr>
        <w:t xml:space="preserve"> (out-of-sample R-squared), </w:t>
      </w:r>
      <w:r>
        <w:rPr>
          <w:rFonts w:eastAsia="Arial"/>
          <w:b/>
          <w:bCs/>
        </w:rPr>
        <w:t>Hit Rate</w:t>
      </w:r>
      <w:r>
        <w:rPr>
          <w:rFonts w:eastAsia="Arial"/>
        </w:rPr>
        <w:t xml:space="preserve"> (directional accuracy), RMSE, MAE, and Pearson correlation between predicted and realized returns. Ridge regularization (</w:t>
      </w:r>
      <w:r>
        <w:rPr>
          <w:rFonts w:eastAsia="Arial"/>
          <w:i/>
          <w:iCs/>
        </w:rPr>
        <w:t>α = 1.0</w:t>
      </w:r>
      <w:r>
        <w:rPr>
          <w:rFonts w:eastAsia="Arial"/>
        </w:rPr>
        <w:t>) is applied to mitigate multicollinearity among features.</w:t>
      </w:r>
    </w:p>
    <w:p w14:paraId="3EFC6382" w14:textId="77777777" w:rsidR="006F7B08" w:rsidRDefault="006F7B08">
      <w:pPr>
        <w:spacing w:before="80" w:after="80"/>
      </w:pPr>
    </w:p>
    <w:p w14:paraId="3EFC6383" w14:textId="77777777" w:rsidR="006F7B08" w:rsidRDefault="00000000">
      <w:pPr>
        <w:pStyle w:val="Heading2"/>
      </w:pPr>
      <w:r>
        <w:t>1.2 Baseline Model</w:t>
      </w:r>
    </w:p>
    <w:p w14:paraId="3EFC6384" w14:textId="77777777" w:rsidR="006F7B08" w:rsidRDefault="00000000">
      <w:pPr>
        <w:spacing w:before="80" w:after="120"/>
        <w:jc w:val="both"/>
      </w:pPr>
      <w:r>
        <w:rPr>
          <w:rFonts w:eastAsia="Arial"/>
        </w:rPr>
        <w:t>The Baseline model relies solely on observable match and market features — i.e., information available without any LLM simulation. It tests whether fundamental match outcomes and market conditions are sufficient to predict next-day MANU stock returns.</w:t>
      </w:r>
    </w:p>
    <w:p w14:paraId="3EFC6385" w14:textId="77777777" w:rsidR="006F7B08" w:rsidRDefault="006F7B08">
      <w:pPr>
        <w:spacing w:before="80" w:after="80"/>
      </w:pPr>
    </w:p>
    <w:p w14:paraId="3EFC6386" w14:textId="77777777" w:rsidR="006F7B08" w:rsidRDefault="00000000">
      <w:pPr>
        <w:pStyle w:val="Heading2"/>
      </w:pPr>
      <w:r>
        <w:t>1.3 Augmented Model</w:t>
      </w:r>
    </w:p>
    <w:p w14:paraId="3EFC6387" w14:textId="77777777" w:rsidR="006F7B08" w:rsidRDefault="00000000">
      <w:pPr>
        <w:spacing w:before="80" w:after="120"/>
        <w:jc w:val="both"/>
      </w:pPr>
      <w:r>
        <w:rPr>
          <w:rFonts w:eastAsia="Arial"/>
        </w:rPr>
        <w:t xml:space="preserve">The Augmented model extends </w:t>
      </w:r>
      <w:proofErr w:type="gramStart"/>
      <w:r>
        <w:rPr>
          <w:rFonts w:eastAsia="Arial"/>
        </w:rPr>
        <w:t>the Baseline</w:t>
      </w:r>
      <w:proofErr w:type="gramEnd"/>
      <w:r>
        <w:rPr>
          <w:rFonts w:eastAsia="Arial"/>
        </w:rPr>
        <w:t xml:space="preserve"> by incorporating </w:t>
      </w:r>
      <w:r>
        <w:rPr>
          <w:rFonts w:eastAsia="Arial"/>
          <w:b/>
          <w:bCs/>
        </w:rPr>
        <w:t>LLM-generated persona reaction features</w:t>
      </w:r>
      <w:r>
        <w:rPr>
          <w:rFonts w:eastAsia="Arial"/>
        </w:rPr>
        <w:t>. A panel of 200 synthetic investor-fan agents (llama3.1 via Ollama) reacts to each match outcome, producing aggregate sentiment signals such as net demand pressure and buy/sell ratios. These signals capture the latent emotional and behavioral response of the fan-investor base that is not reflected in match statistics alone.</w:t>
      </w:r>
    </w:p>
    <w:p w14:paraId="3EFC6388" w14:textId="77777777" w:rsidR="006F7B08" w:rsidRDefault="00000000">
      <w:pPr>
        <w:spacing w:before="80" w:after="120"/>
        <w:jc w:val="both"/>
      </w:pPr>
      <w:r>
        <w:rPr>
          <w:rFonts w:eastAsia="Arial"/>
        </w:rPr>
        <w:t xml:space="preserve">The four persona types — </w:t>
      </w:r>
      <w:r>
        <w:rPr>
          <w:rFonts w:eastAsia="Arial"/>
          <w:b/>
          <w:bCs/>
        </w:rPr>
        <w:t>TEMPORARY_FAN (45%), FANATICAL_FAN (25%), LOCAL_FAN (15%), and INVESTOR_FAN (15</w:t>
      </w:r>
      <w:proofErr w:type="gramStart"/>
      <w:r>
        <w:rPr>
          <w:rFonts w:eastAsia="Arial"/>
          <w:b/>
          <w:bCs/>
        </w:rPr>
        <w:t>%)</w:t>
      </w:r>
      <w:r>
        <w:rPr>
          <w:rFonts w:eastAsia="Arial"/>
        </w:rPr>
        <w:t xml:space="preserve"> —</w:t>
      </w:r>
      <w:proofErr w:type="gramEnd"/>
      <w:r>
        <w:rPr>
          <w:rFonts w:eastAsia="Arial"/>
        </w:rPr>
        <w:t xml:space="preserve"> are calibrated to reflect the retail shareholder composition of Manchester United plc (NYSE: MANU), drawing on Edmans et al. (2007), </w:t>
      </w:r>
      <w:proofErr w:type="spellStart"/>
      <w:r>
        <w:rPr>
          <w:rFonts w:eastAsia="Arial"/>
        </w:rPr>
        <w:t>Bernile</w:t>
      </w:r>
      <w:proofErr w:type="spellEnd"/>
      <w:r>
        <w:rPr>
          <w:rFonts w:eastAsia="Arial"/>
        </w:rPr>
        <w:t xml:space="preserve"> &amp; </w:t>
      </w:r>
      <w:proofErr w:type="spellStart"/>
      <w:r>
        <w:rPr>
          <w:rFonts w:eastAsia="Arial"/>
        </w:rPr>
        <w:t>Lyandres</w:t>
      </w:r>
      <w:proofErr w:type="spellEnd"/>
      <w:r>
        <w:rPr>
          <w:rFonts w:eastAsia="Arial"/>
        </w:rPr>
        <w:t xml:space="preserve"> (2011), and YouGov Global Fan Profiles (2022).</w:t>
      </w:r>
    </w:p>
    <w:p w14:paraId="3EFC6389" w14:textId="77777777" w:rsidR="006F7B08" w:rsidRDefault="006F7B08">
      <w:pPr>
        <w:pBdr>
          <w:bottom w:val="single" w:sz="6" w:space="1" w:color="2E6DA4"/>
        </w:pBdr>
        <w:spacing w:before="120" w:after="120"/>
      </w:pPr>
    </w:p>
    <w:p w14:paraId="3EFC638A" w14:textId="77777777" w:rsidR="006F7B08" w:rsidRDefault="00000000">
      <w:pPr>
        <w:pStyle w:val="Heading1"/>
      </w:pPr>
      <w:r>
        <w:t>2. Variables</w:t>
      </w:r>
    </w:p>
    <w:p w14:paraId="3EFC638B" w14:textId="77777777" w:rsidR="006F7B08" w:rsidRDefault="00000000">
      <w:pPr>
        <w:spacing w:before="80" w:after="120"/>
        <w:jc w:val="both"/>
      </w:pPr>
      <w:r>
        <w:rPr>
          <w:rFonts w:eastAsia="Arial"/>
        </w:rPr>
        <w:t>Table 1 lists all variables used across both models. Variables marked Baseline are common to both models; variables marked Augmented (LLM) are added only in the Augmented specification.</w:t>
      </w:r>
    </w:p>
    <w:p w14:paraId="3EFC638C" w14:textId="77777777" w:rsidR="006F7B08" w:rsidRDefault="006F7B08">
      <w:pPr>
        <w:spacing w:before="80" w:after="80"/>
      </w:pPr>
    </w:p>
    <w:p w14:paraId="3EFC638D" w14:textId="77777777" w:rsidR="006F7B08" w:rsidRDefault="00000000">
      <w:pPr>
        <w:spacing w:before="80" w:after="80"/>
        <w:jc w:val="center"/>
      </w:pPr>
      <w:r>
        <w:rPr>
          <w:rFonts w:eastAsia="Arial"/>
          <w:b/>
          <w:bCs/>
          <w:color w:val="1E3A5F"/>
          <w:sz w:val="18"/>
          <w:szCs w:val="18"/>
        </w:rPr>
        <w:t>Table 1. Variable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2"/>
        <w:gridCol w:w="2290"/>
        <w:gridCol w:w="3928"/>
      </w:tblGrid>
      <w:tr w:rsidR="006F7B08" w14:paraId="3EFC63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638E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638F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6390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F7B08" w14:paraId="3EFC63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92" w14:textId="77777777" w:rsidR="006F7B08" w:rsidRDefault="00000000"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surprise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93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94" w14:textId="77777777" w:rsidR="006F7B08" w:rsidRDefault="00000000">
            <w:r>
              <w:rPr>
                <w:rFonts w:eastAsia="Arial"/>
                <w:color w:val="000000"/>
                <w:sz w:val="18"/>
                <w:szCs w:val="18"/>
              </w:rPr>
              <w:t>Unexpected match outcome based on pre-match betting odds</w:t>
            </w:r>
          </w:p>
        </w:tc>
      </w:tr>
      <w:tr w:rsidR="006F7B08" w14:paraId="3EFC63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96" w14:textId="77777777" w:rsidR="006F7B08" w:rsidRDefault="00000000">
            <w:proofErr w:type="spellStart"/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lastRenderedPageBreak/>
              <w:t>goal_diff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97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98" w14:textId="77777777" w:rsidR="006F7B08" w:rsidRDefault="00000000">
            <w:r>
              <w:rPr>
                <w:rFonts w:eastAsia="Arial"/>
                <w:color w:val="000000"/>
                <w:sz w:val="18"/>
                <w:szCs w:val="18"/>
              </w:rPr>
              <w:t>Goal difference (home team goals minus away team goals)</w:t>
            </w:r>
          </w:p>
        </w:tc>
      </w:tr>
      <w:tr w:rsidR="006F7B08" w14:paraId="3EFC63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9A" w14:textId="77777777" w:rsidR="006F7B08" w:rsidRDefault="00000000">
            <w:proofErr w:type="spellStart"/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venue_home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9B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9C" w14:textId="77777777" w:rsidR="006F7B08" w:rsidRDefault="00000000">
            <w:r>
              <w:rPr>
                <w:rFonts w:eastAsia="Arial"/>
                <w:color w:val="000000"/>
                <w:sz w:val="18"/>
                <w:szCs w:val="18"/>
              </w:rPr>
              <w:t>Binary indicator for home match (1 = home, 0 = away)</w:t>
            </w:r>
          </w:p>
        </w:tc>
      </w:tr>
      <w:tr w:rsidR="006F7B08" w14:paraId="3EFC63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9E" w14:textId="77777777" w:rsidR="006F7B08" w:rsidRDefault="00000000"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importance_0_1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9F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A0" w14:textId="77777777" w:rsidR="006F7B08" w:rsidRDefault="00000000">
            <w:r>
              <w:rPr>
                <w:rFonts w:eastAsia="Arial"/>
                <w:color w:val="000000"/>
                <w:sz w:val="18"/>
                <w:szCs w:val="18"/>
              </w:rPr>
              <w:t>Match importance score scaled 0-1 (competition stage, title race)</w:t>
            </w:r>
          </w:p>
        </w:tc>
      </w:tr>
      <w:tr w:rsidR="006F7B08" w14:paraId="3EFC63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A2" w14:textId="77777777" w:rsidR="006F7B08" w:rsidRDefault="00000000"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opponent_strength_0_1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A3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A4" w14:textId="77777777" w:rsidR="006F7B08" w:rsidRDefault="00000000">
            <w:r>
              <w:rPr>
                <w:rFonts w:eastAsia="Arial"/>
                <w:color w:val="000000"/>
                <w:sz w:val="18"/>
                <w:szCs w:val="18"/>
              </w:rPr>
              <w:t>Normalized opponent strength based on league standings</w:t>
            </w:r>
          </w:p>
        </w:tc>
      </w:tr>
      <w:tr w:rsidR="006F7B08" w14:paraId="3EFC6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A6" w14:textId="77777777" w:rsidR="006F7B08" w:rsidRDefault="00000000"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recent_return_5d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A7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A8" w14:textId="77777777" w:rsidR="006F7B08" w:rsidRDefault="00000000">
            <w:r>
              <w:rPr>
                <w:rFonts w:eastAsia="Arial"/>
                <w:color w:val="000000"/>
                <w:sz w:val="18"/>
                <w:szCs w:val="18"/>
              </w:rPr>
              <w:t>MANU stock return over the prior 5 trading days</w:t>
            </w:r>
          </w:p>
        </w:tc>
      </w:tr>
      <w:tr w:rsidR="006F7B08" w14:paraId="3EFC63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AA" w14:textId="77777777" w:rsidR="006F7B08" w:rsidRDefault="00000000"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recent_volatility_20d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AB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AC" w14:textId="77777777" w:rsidR="006F7B08" w:rsidRDefault="00000000">
            <w:r>
              <w:rPr>
                <w:rFonts w:eastAsia="Arial"/>
                <w:color w:val="000000"/>
                <w:sz w:val="18"/>
                <w:szCs w:val="18"/>
              </w:rPr>
              <w:t>20-day rolling volatility of MANU stock returns</w:t>
            </w:r>
          </w:p>
        </w:tc>
      </w:tr>
      <w:tr w:rsidR="006F7B08" w14:paraId="3EFC63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AE" w14:textId="77777777" w:rsidR="006F7B08" w:rsidRDefault="00000000"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market_index_return_1d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AF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B0" w14:textId="77777777" w:rsidR="006F7B08" w:rsidRDefault="00000000">
            <w:r>
              <w:rPr>
                <w:rFonts w:eastAsia="Arial"/>
                <w:color w:val="000000"/>
                <w:sz w:val="18"/>
                <w:szCs w:val="18"/>
              </w:rPr>
              <w:t>S&amp;P 500 index return on the trading day following the match</w:t>
            </w:r>
          </w:p>
        </w:tc>
      </w:tr>
      <w:tr w:rsidR="006F7B08" w14:paraId="3EFC63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B2" w14:textId="77777777" w:rsidR="006F7B08" w:rsidRDefault="00000000"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liquidity_thinness_0_1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B3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B4" w14:textId="77777777" w:rsidR="006F7B08" w:rsidRDefault="00000000">
            <w:r>
              <w:rPr>
                <w:rFonts w:eastAsia="Arial"/>
                <w:color w:val="000000"/>
                <w:sz w:val="18"/>
                <w:szCs w:val="18"/>
              </w:rPr>
              <w:t>Measure of MANU stock illiquidity on the post-match trading day</w:t>
            </w:r>
          </w:p>
        </w:tc>
      </w:tr>
      <w:tr w:rsidR="006F7B08" w14:paraId="3EFC63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B6" w14:textId="77777777" w:rsidR="006F7B08" w:rsidRDefault="00000000">
            <w:proofErr w:type="spellStart"/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mean_net_demand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B7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Augmented (LLM)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B8" w14:textId="77777777" w:rsidR="006F7B08" w:rsidRDefault="00000000">
            <w:r>
              <w:rPr>
                <w:rFonts w:eastAsia="Arial"/>
                <w:color w:val="000000"/>
                <w:sz w:val="18"/>
                <w:szCs w:val="18"/>
              </w:rPr>
              <w:t>Average net buy pressure across all 200 persona agents</w:t>
            </w:r>
          </w:p>
        </w:tc>
      </w:tr>
      <w:tr w:rsidR="006F7B08" w14:paraId="3EFC63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BA" w14:textId="77777777" w:rsidR="006F7B08" w:rsidRDefault="00000000">
            <w:proofErr w:type="spellStart"/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buy_share</w:t>
            </w:r>
            <w:proofErr w:type="spellEnd"/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sell_share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BB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Augmented (LLM)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BC" w14:textId="77777777" w:rsidR="006F7B08" w:rsidRDefault="00000000">
            <w:r>
              <w:rPr>
                <w:rFonts w:eastAsia="Arial"/>
                <w:color w:val="000000"/>
                <w:sz w:val="18"/>
                <w:szCs w:val="18"/>
              </w:rPr>
              <w:t>Proportion of agents choosing to buy or sell</w:t>
            </w:r>
          </w:p>
        </w:tc>
      </w:tr>
      <w:tr w:rsidR="006F7B08" w14:paraId="3EFC63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BE" w14:textId="77777777" w:rsidR="006F7B08" w:rsidRDefault="00000000">
            <w:proofErr w:type="spellStart"/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liq_weighted_pressure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BF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Augmented (LLM)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C0" w14:textId="77777777" w:rsidR="006F7B08" w:rsidRDefault="00000000">
            <w:r>
              <w:rPr>
                <w:rFonts w:eastAsia="Arial"/>
                <w:color w:val="000000"/>
                <w:sz w:val="18"/>
                <w:szCs w:val="18"/>
              </w:rPr>
              <w:t>Liquidity-weighted aggregate trading pressure from all agents</w:t>
            </w:r>
          </w:p>
        </w:tc>
      </w:tr>
      <w:tr w:rsidR="006F7B08" w14:paraId="3EFC63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C2" w14:textId="77777777" w:rsidR="006F7B08" w:rsidRDefault="00000000"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mean_net_demand__</w:t>
            </w:r>
            <w:proofErr w:type="spellStart"/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investor_fan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C3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Augmented (LLM)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C4" w14:textId="77777777" w:rsidR="006F7B08" w:rsidRDefault="00000000">
            <w:r>
              <w:rPr>
                <w:rFonts w:eastAsia="Arial"/>
                <w:color w:val="000000"/>
                <w:sz w:val="18"/>
                <w:szCs w:val="18"/>
              </w:rPr>
              <w:t>Net demand from INVESTOR_FAN persona sub-group (highest signal)</w:t>
            </w:r>
          </w:p>
        </w:tc>
      </w:tr>
      <w:tr w:rsidR="006F7B08" w14:paraId="3EFC63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C6" w14:textId="77777777" w:rsidR="006F7B08" w:rsidRDefault="00000000">
            <w:proofErr w:type="spellStart"/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y_realized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C7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Target (y)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C8" w14:textId="77777777" w:rsidR="006F7B08" w:rsidRDefault="00000000">
            <w:r>
              <w:rPr>
                <w:rFonts w:eastAsia="Arial"/>
                <w:color w:val="000000"/>
                <w:sz w:val="18"/>
                <w:szCs w:val="18"/>
              </w:rPr>
              <w:t>MANU stock return on the trading day following the match</w:t>
            </w:r>
          </w:p>
        </w:tc>
      </w:tr>
    </w:tbl>
    <w:p w14:paraId="3EFC63CA" w14:textId="77777777" w:rsidR="006F7B08" w:rsidRDefault="006F7B08">
      <w:pPr>
        <w:spacing w:before="80" w:after="80"/>
      </w:pPr>
    </w:p>
    <w:p w14:paraId="3EFC63CB" w14:textId="77777777" w:rsidR="006F7B08" w:rsidRDefault="006F7B08">
      <w:pPr>
        <w:pBdr>
          <w:bottom w:val="single" w:sz="6" w:space="1" w:color="2E6DA4"/>
        </w:pBdr>
        <w:spacing w:before="120" w:after="120"/>
      </w:pPr>
    </w:p>
    <w:p w14:paraId="3EFC63CC" w14:textId="77777777" w:rsidR="006F7B08" w:rsidRDefault="00000000">
      <w:pPr>
        <w:pStyle w:val="Heading1"/>
      </w:pPr>
      <w:r>
        <w:t>3. Cross-Validation Results</w:t>
      </w:r>
    </w:p>
    <w:p w14:paraId="3EFC63CD" w14:textId="77777777" w:rsidR="006F7B08" w:rsidRDefault="00000000">
      <w:pPr>
        <w:pStyle w:val="Heading2"/>
      </w:pPr>
      <w:r>
        <w:t>3.1 Design</w:t>
      </w:r>
    </w:p>
    <w:p w14:paraId="3EFC63CE" w14:textId="77777777" w:rsidR="006F7B08" w:rsidRDefault="00000000">
      <w:pPr>
        <w:spacing w:before="80" w:after="120"/>
        <w:jc w:val="both"/>
      </w:pPr>
      <w:r>
        <w:rPr>
          <w:rFonts w:eastAsia="Arial"/>
        </w:rPr>
        <w:t xml:space="preserve">To assess the robustness of model performance across different data splits, we vary the </w:t>
      </w:r>
      <w:r>
        <w:rPr>
          <w:rFonts w:eastAsia="Arial"/>
          <w:b/>
          <w:bCs/>
        </w:rPr>
        <w:t>training set ratio</w:t>
      </w:r>
      <w:r>
        <w:rPr>
          <w:rFonts w:eastAsia="Arial"/>
        </w:rPr>
        <w:t xml:space="preserve"> from 50% to 80% of the 190-match sample. For each ratio, the rolling-origin OOS procedure is applied, producing between 38 and 95 out-of-sample predictions. This approach tests whether the results are sensitive to the choice of training window — a key robustness requirement for academic publication.</w:t>
      </w:r>
    </w:p>
    <w:p w14:paraId="3EFC63CF" w14:textId="77777777" w:rsidR="006F7B08" w:rsidRDefault="006F7B08">
      <w:pPr>
        <w:spacing w:before="80" w:after="80"/>
      </w:pPr>
    </w:p>
    <w:p w14:paraId="3EFC63D0" w14:textId="77777777" w:rsidR="006F7B08" w:rsidRDefault="00000000">
      <w:pPr>
        <w:pStyle w:val="Heading2"/>
      </w:pPr>
      <w:r>
        <w:t>3.2 Results</w:t>
      </w:r>
    </w:p>
    <w:p w14:paraId="3EFC63D1" w14:textId="77777777" w:rsidR="006F7B08" w:rsidRDefault="00000000">
      <w:pPr>
        <w:spacing w:before="80" w:after="80"/>
        <w:jc w:val="center"/>
      </w:pPr>
      <w:r>
        <w:rPr>
          <w:rFonts w:eastAsia="Arial"/>
          <w:b/>
          <w:bCs/>
          <w:color w:val="1E3A5F"/>
          <w:sz w:val="18"/>
          <w:szCs w:val="18"/>
        </w:rPr>
        <w:t>Table 2. Cross-Validation Performance by Train/Test Split Ratio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800"/>
        <w:gridCol w:w="1080"/>
        <w:gridCol w:w="1080"/>
        <w:gridCol w:w="1100"/>
        <w:gridCol w:w="1100"/>
        <w:gridCol w:w="1200"/>
        <w:gridCol w:w="1200"/>
      </w:tblGrid>
      <w:tr w:rsidR="006F7B08" w14:paraId="3EFC63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63D2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Train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63D3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63D4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OOS 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63D5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R² OOS (Base)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63D6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R² OOS (Aug)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63D7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Hit Rate (Base)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63D8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Hit Rate (Aug)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63D9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Δ Hit Rate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63DA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Signal?</w:t>
            </w:r>
          </w:p>
        </w:tc>
      </w:tr>
      <w:tr w:rsidR="006F7B08" w14:paraId="3EFC63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DC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DD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50%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DE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95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DF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+0.090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E0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+0.038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E1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62.8%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E2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62.8%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E3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E4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No</w:t>
            </w:r>
          </w:p>
        </w:tc>
      </w:tr>
      <w:tr w:rsidR="006F7B08" w14:paraId="3EFC63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E6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E7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E8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86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E9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+0.104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EA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+0.019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EB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62.4%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EC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62.4%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ED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EE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No</w:t>
            </w:r>
          </w:p>
        </w:tc>
      </w:tr>
      <w:tr w:rsidR="006F7B08" w14:paraId="3EFC63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F0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60%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F1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40%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F2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76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F3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+0.137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F4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+0.064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F5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64.0%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F6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64.0%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F7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F8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No</w:t>
            </w:r>
          </w:p>
        </w:tc>
      </w:tr>
      <w:tr w:rsidR="006F7B08" w14:paraId="3EFC64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FA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FB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FC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FD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+0.186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FE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+0.057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3FF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65.2%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00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65.2%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01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02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No</w:t>
            </w:r>
          </w:p>
        </w:tc>
      </w:tr>
      <w:tr w:rsidR="006F7B08" w14:paraId="3EFC64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04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05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30%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06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07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+0.263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08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+0.200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09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66.1%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0A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69.6%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0B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+3.5%p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0C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Yes ✓</w:t>
            </w:r>
          </w:p>
        </w:tc>
      </w:tr>
      <w:tr w:rsidR="006F7B08" w14:paraId="3EFC64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0E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0F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25%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10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48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11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+0.161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12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+0.153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13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61.7%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14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66.0%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15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+4.3%p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16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Yes ✓</w:t>
            </w:r>
          </w:p>
        </w:tc>
      </w:tr>
      <w:tr w:rsidR="006F7B08" w14:paraId="3EFC64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18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80%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19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1A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1B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+0.258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1C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+0.291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1D" w14:textId="77777777" w:rsidR="006F7B08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56.8%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1E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64.9%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1F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+8.1%p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6420" w14:textId="77777777" w:rsidR="006F7B08" w:rsidRDefault="00000000">
            <w:pPr>
              <w:jc w:val="center"/>
            </w:pPr>
            <w:r>
              <w:rPr>
                <w:rFonts w:eastAsia="Arial"/>
                <w:b/>
                <w:bCs/>
                <w:color w:val="1E3A5F"/>
                <w:sz w:val="18"/>
                <w:szCs w:val="18"/>
              </w:rPr>
              <w:t>Yes ✓</w:t>
            </w:r>
          </w:p>
        </w:tc>
      </w:tr>
    </w:tbl>
    <w:p w14:paraId="3EFC6422" w14:textId="77777777" w:rsidR="006F7B08" w:rsidRDefault="006F7B08">
      <w:pPr>
        <w:spacing w:before="80" w:after="80"/>
      </w:pPr>
    </w:p>
    <w:p w14:paraId="3EFC6423" w14:textId="77777777" w:rsidR="006F7B08" w:rsidRDefault="00000000">
      <w:pPr>
        <w:pStyle w:val="Heading2"/>
      </w:pPr>
      <w:r>
        <w:t>3.3 Interpretation</w:t>
      </w:r>
    </w:p>
    <w:p w14:paraId="3EFC6424" w14:textId="77777777" w:rsidR="006F7B08" w:rsidRDefault="00000000">
      <w:pPr>
        <w:spacing w:before="80" w:after="120"/>
        <w:jc w:val="both"/>
      </w:pPr>
      <w:r>
        <w:rPr>
          <w:rFonts w:eastAsia="Arial"/>
          <w:b/>
          <w:bCs/>
        </w:rPr>
        <w:t>Baseline R²ₒₒₛ is positive across all seven split configurations</w:t>
      </w:r>
      <w:r>
        <w:rPr>
          <w:rFonts w:eastAsia="Arial"/>
        </w:rPr>
        <w:t>, confirming that the fundamental match and market features provide a statistically meaningful signal regardless of how the data is divided. This demonstrates the robustness of the Baseline specification.</w:t>
      </w:r>
    </w:p>
    <w:p w14:paraId="3EFC6425" w14:textId="77777777" w:rsidR="006F7B08" w:rsidRDefault="00000000">
      <w:pPr>
        <w:spacing w:before="80" w:after="120"/>
        <w:jc w:val="both"/>
      </w:pPr>
      <w:r>
        <w:rPr>
          <w:rFonts w:eastAsia="Arial"/>
          <w:b/>
          <w:bCs/>
        </w:rPr>
        <w:t>The Augmented model's Hit Rate begins to exceed that of the Baseline when the training set comprises 70% or more of the sample</w:t>
      </w:r>
      <w:r>
        <w:rPr>
          <w:rFonts w:eastAsia="Arial"/>
        </w:rPr>
        <w:t xml:space="preserve">. At the 70/30 split, Augmented Hit Rate reaches 69.6% versus 66.1% for Baseline (+3.5 percentage points). This gap widens to +8.1 percentage points at the 80/20 split. This pattern suggests that LLM persona features contain </w:t>
      </w:r>
      <w:r>
        <w:rPr>
          <w:rFonts w:eastAsia="Arial"/>
          <w:i/>
          <w:iCs/>
        </w:rPr>
        <w:t xml:space="preserve">directional </w:t>
      </w:r>
      <w:proofErr w:type="gramStart"/>
      <w:r>
        <w:rPr>
          <w:rFonts w:eastAsia="Arial"/>
          <w:i/>
          <w:iCs/>
        </w:rPr>
        <w:t>signal</w:t>
      </w:r>
      <w:proofErr w:type="gramEnd"/>
      <w:r>
        <w:rPr>
          <w:rFonts w:eastAsia="Arial"/>
          <w:i/>
          <w:iCs/>
        </w:rPr>
        <w:t xml:space="preserve"> that becomes learnable only when sufficient training observations are available</w:t>
      </w:r>
      <w:r>
        <w:rPr>
          <w:rFonts w:eastAsia="Arial"/>
        </w:rPr>
        <w:t>, consistent with the noisy nature of sentiment-based features.</w:t>
      </w:r>
    </w:p>
    <w:p w14:paraId="3EFC6426" w14:textId="77777777" w:rsidR="006F7B08" w:rsidRDefault="00000000">
      <w:pPr>
        <w:spacing w:before="80" w:after="120"/>
        <w:jc w:val="both"/>
      </w:pPr>
      <w:r>
        <w:rPr>
          <w:rFonts w:eastAsia="Arial"/>
        </w:rPr>
        <w:t>A note of caution applies to the 80/20 split (OOS n = 38): the small test set reduces statistical reliability, and the Baseline Hit Rate drops to 56.8%, indicating elevated variance at this sample size. The 60/40 and 70/30 configurations are therefore considered the most informative for inference.</w:t>
      </w:r>
    </w:p>
    <w:p w14:paraId="3EFC6427" w14:textId="77777777" w:rsidR="006F7B08" w:rsidRDefault="006F7B08">
      <w:pPr>
        <w:pBdr>
          <w:bottom w:val="single" w:sz="6" w:space="1" w:color="2E6DA4"/>
        </w:pBdr>
        <w:spacing w:before="120" w:after="120"/>
      </w:pPr>
    </w:p>
    <w:p w14:paraId="3EFC6428" w14:textId="77777777" w:rsidR="006F7B08" w:rsidRDefault="00000000">
      <w:pPr>
        <w:pStyle w:val="Heading1"/>
      </w:pPr>
      <w:r>
        <w:t>4. Summary</w:t>
      </w:r>
    </w:p>
    <w:p w14:paraId="3EFC6429" w14:textId="77777777" w:rsidR="006F7B08" w:rsidRDefault="00000000">
      <w:pPr>
        <w:spacing w:before="80" w:after="120"/>
        <w:jc w:val="both"/>
      </w:pPr>
      <w:r>
        <w:rPr>
          <w:rFonts w:eastAsia="Arial"/>
        </w:rPr>
        <w:t>This analysis demonstrates that an LLM-based persona simulation framework can produce out-of-sample predictive signals for the next-day stock return of Manchester United plc (NYSE: MANU) following match events. The key findings are as follows:</w:t>
      </w:r>
    </w:p>
    <w:p w14:paraId="3EFC642A" w14:textId="77777777" w:rsidR="006F7B08" w:rsidRDefault="006F7B08">
      <w:pPr>
        <w:spacing w:before="80" w:after="80"/>
      </w:pPr>
    </w:p>
    <w:p w14:paraId="3EFC642B" w14:textId="77777777" w:rsidR="006F7B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 xml:space="preserve">The </w:t>
      </w:r>
      <w:r>
        <w:rPr>
          <w:rFonts w:eastAsia="Arial"/>
          <w:b/>
          <w:bCs/>
        </w:rPr>
        <w:t>Baseline model</w:t>
      </w:r>
      <w:r>
        <w:rPr>
          <w:rFonts w:eastAsia="Arial"/>
        </w:rPr>
        <w:t xml:space="preserve"> achieves a positive R²ₒₒₛ across all cross-validation splits, confirming robust out-of-sample predictive power from fundamental match and market features alone.</w:t>
      </w:r>
    </w:p>
    <w:p w14:paraId="3EFC642C" w14:textId="77777777" w:rsidR="006F7B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 xml:space="preserve">The </w:t>
      </w:r>
      <w:r>
        <w:rPr>
          <w:rFonts w:eastAsia="Arial"/>
          <w:b/>
          <w:bCs/>
        </w:rPr>
        <w:t>Augmented model</w:t>
      </w:r>
      <w:r>
        <w:rPr>
          <w:rFonts w:eastAsia="Arial"/>
        </w:rPr>
        <w:t xml:space="preserve"> consistently outperforms the Baseline on directional accuracy (Hit Rate) when the training set is sufficiently large (≥70% of matches), indicating that LLM-simulated sentiment adds incremental directional signal.</w:t>
      </w:r>
    </w:p>
    <w:p w14:paraId="3EFC642D" w14:textId="77777777" w:rsidR="006F7B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 xml:space="preserve">At the canonical 60/40 split (76 OOS matches), the Augmented model achieves a Hit Rate of 65.8% versus 63.2% for the Baseline — </w:t>
      </w:r>
      <w:proofErr w:type="gramStart"/>
      <w:r>
        <w:rPr>
          <w:rFonts w:eastAsia="Arial"/>
        </w:rPr>
        <w:t>both substantially</w:t>
      </w:r>
      <w:proofErr w:type="gramEnd"/>
      <w:r>
        <w:rPr>
          <w:rFonts w:eastAsia="Arial"/>
        </w:rPr>
        <w:t xml:space="preserve"> above the 50% random benchmark.</w:t>
      </w:r>
    </w:p>
    <w:p w14:paraId="3EFC642E" w14:textId="77777777" w:rsidR="006F7B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 xml:space="preserve">Post-win matches yield a directional accuracy of 72.4%, suggesting an </w:t>
      </w:r>
      <w:r>
        <w:rPr>
          <w:rFonts w:eastAsia="Arial"/>
          <w:b/>
          <w:bCs/>
        </w:rPr>
        <w:t>asymmetric fan sentiment effect</w:t>
      </w:r>
      <w:r>
        <w:rPr>
          <w:rFonts w:eastAsia="Arial"/>
        </w:rPr>
        <w:t xml:space="preserve"> consistent with the mood-based trading hypothesis of Edmans et al. (2007).</w:t>
      </w:r>
    </w:p>
    <w:p w14:paraId="3EFC642F" w14:textId="77777777" w:rsidR="006F7B08" w:rsidRDefault="00000000">
      <w:pPr>
        <w:pStyle w:val="ListParagraph"/>
        <w:numPr>
          <w:ilvl w:val="0"/>
          <w:numId w:val="2"/>
        </w:numPr>
      </w:pPr>
      <w:r>
        <w:rPr>
          <w:rFonts w:eastAsia="Arial"/>
        </w:rPr>
        <w:t>Cross-validation across seven split ratios confirms that results are not an artifact of a single train/test partition, satisfying a key robustness requirement for academic publication.</w:t>
      </w:r>
    </w:p>
    <w:p w14:paraId="3EFC6430" w14:textId="77777777" w:rsidR="006F7B08" w:rsidRDefault="006F7B08">
      <w:pPr>
        <w:spacing w:before="80" w:after="80"/>
      </w:pPr>
    </w:p>
    <w:p w14:paraId="3EFC6431" w14:textId="77777777" w:rsidR="006F7B08" w:rsidRDefault="00000000">
      <w:pPr>
        <w:spacing w:before="80" w:after="120"/>
        <w:jc w:val="both"/>
      </w:pPr>
      <w:r>
        <w:rPr>
          <w:rFonts w:eastAsia="Arial"/>
        </w:rPr>
        <w:t xml:space="preserve">Overall, the results support the proposition that LLM-generated investor sentiment, when aggregated across a calibrated panel of persona agents, contains information relevant to short-term equity price movements. Future work should explore ensemble specifications, alternative persona configurations, and formal statistical tests of directional accuracy (e.g., </w:t>
      </w:r>
      <w:proofErr w:type="spellStart"/>
      <w:r>
        <w:rPr>
          <w:rFonts w:eastAsia="Arial"/>
        </w:rPr>
        <w:t>Pesaran</w:t>
      </w:r>
      <w:proofErr w:type="spellEnd"/>
      <w:r>
        <w:rPr>
          <w:rFonts w:eastAsia="Arial"/>
        </w:rPr>
        <w:t>-Timmermann test).</w:t>
      </w:r>
    </w:p>
    <w:p w14:paraId="3EFC6432" w14:textId="77777777" w:rsidR="006F7B08" w:rsidRDefault="006F7B08">
      <w:pPr>
        <w:pBdr>
          <w:bottom w:val="single" w:sz="6" w:space="1" w:color="2E6DA4"/>
        </w:pBdr>
        <w:spacing w:before="120" w:after="120"/>
      </w:pPr>
    </w:p>
    <w:p w14:paraId="3EFC6433" w14:textId="77777777" w:rsidR="006F7B08" w:rsidRDefault="00000000">
      <w:pPr>
        <w:pStyle w:val="Heading1"/>
      </w:pPr>
      <w:r>
        <w:t>References</w:t>
      </w:r>
    </w:p>
    <w:p w14:paraId="3EFC6434" w14:textId="77777777" w:rsidR="006F7B08" w:rsidRDefault="00000000">
      <w:pPr>
        <w:spacing w:before="80" w:after="120"/>
        <w:jc w:val="both"/>
      </w:pPr>
      <w:r>
        <w:rPr>
          <w:rFonts w:eastAsia="Arial"/>
        </w:rPr>
        <w:t>Edmans, A., Garcia, D., &amp; Norli, Ø. (2007). Sports sentiment and stock returns. Journal of Finance, 62(4), 1967–2998.</w:t>
      </w:r>
    </w:p>
    <w:p w14:paraId="3EFC6435" w14:textId="77777777" w:rsidR="006F7B08" w:rsidRDefault="00000000">
      <w:pPr>
        <w:spacing w:before="80" w:after="120"/>
        <w:jc w:val="both"/>
      </w:pPr>
      <w:proofErr w:type="spellStart"/>
      <w:r>
        <w:rPr>
          <w:rFonts w:eastAsia="Arial"/>
        </w:rPr>
        <w:t>Bernile</w:t>
      </w:r>
      <w:proofErr w:type="spellEnd"/>
      <w:r>
        <w:rPr>
          <w:rFonts w:eastAsia="Arial"/>
        </w:rPr>
        <w:t xml:space="preserve">, G., &amp; </w:t>
      </w:r>
      <w:proofErr w:type="spellStart"/>
      <w:r>
        <w:rPr>
          <w:rFonts w:eastAsia="Arial"/>
        </w:rPr>
        <w:t>Lyandres</w:t>
      </w:r>
      <w:proofErr w:type="spellEnd"/>
      <w:r>
        <w:rPr>
          <w:rFonts w:eastAsia="Arial"/>
        </w:rPr>
        <w:t>, E. (2011). Understanding investor sentiment: The case of soccer. Financial Management, 40(2), 357–380.</w:t>
      </w:r>
    </w:p>
    <w:p w14:paraId="3EFC6436" w14:textId="77777777" w:rsidR="006F7B08" w:rsidRDefault="00000000">
      <w:pPr>
        <w:spacing w:before="80" w:after="120"/>
        <w:jc w:val="both"/>
      </w:pPr>
      <w:r>
        <w:rPr>
          <w:rFonts w:eastAsia="Arial"/>
        </w:rPr>
        <w:t>Weimar, D., &amp; Fox, A. K. (2021). Does investor sentiment affect stock returns? Evidence from European soccer clubs. International Journal of Sport Finance, 16(2).</w:t>
      </w:r>
    </w:p>
    <w:p w14:paraId="3EFC6437" w14:textId="77777777" w:rsidR="006F7B08" w:rsidRDefault="00000000">
      <w:pPr>
        <w:spacing w:before="80" w:after="120"/>
        <w:jc w:val="both"/>
      </w:pPr>
      <w:r>
        <w:rPr>
          <w:rFonts w:eastAsia="Arial"/>
        </w:rPr>
        <w:t>Baker, M., &amp; Wurgler, J. (2006). Investor sentiment and the cross-section of stock returns. Journal of Finance, 61(4), 1645–1680.</w:t>
      </w:r>
    </w:p>
    <w:p w14:paraId="3EFC6438" w14:textId="77777777" w:rsidR="006F7B08" w:rsidRDefault="00000000">
      <w:pPr>
        <w:spacing w:before="80" w:after="120"/>
        <w:jc w:val="both"/>
      </w:pPr>
      <w:r>
        <w:rPr>
          <w:rFonts w:eastAsia="Arial"/>
        </w:rPr>
        <w:t>YouGov. (2022). Global Fan Profiles: Manchester United. YouGov Sport.</w:t>
      </w:r>
    </w:p>
    <w:sectPr w:rsidR="006F7B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03C18"/>
    <w:multiLevelType w:val="hybridMultilevel"/>
    <w:tmpl w:val="65447F18"/>
    <w:lvl w:ilvl="0" w:tplc="54C68302">
      <w:start w:val="1"/>
      <w:numFmt w:val="bullet"/>
      <w:lvlText w:val="●"/>
      <w:lvlJc w:val="left"/>
      <w:pPr>
        <w:ind w:left="720" w:hanging="360"/>
      </w:pPr>
    </w:lvl>
    <w:lvl w:ilvl="1" w:tplc="66DEEB90">
      <w:start w:val="1"/>
      <w:numFmt w:val="bullet"/>
      <w:lvlText w:val="○"/>
      <w:lvlJc w:val="left"/>
      <w:pPr>
        <w:ind w:left="1440" w:hanging="360"/>
      </w:pPr>
    </w:lvl>
    <w:lvl w:ilvl="2" w:tplc="A42A7BFA">
      <w:start w:val="1"/>
      <w:numFmt w:val="bullet"/>
      <w:lvlText w:val="■"/>
      <w:lvlJc w:val="left"/>
      <w:pPr>
        <w:ind w:left="2160" w:hanging="360"/>
      </w:pPr>
    </w:lvl>
    <w:lvl w:ilvl="3" w:tplc="CC661884">
      <w:start w:val="1"/>
      <w:numFmt w:val="bullet"/>
      <w:lvlText w:val="●"/>
      <w:lvlJc w:val="left"/>
      <w:pPr>
        <w:ind w:left="2880" w:hanging="360"/>
      </w:pPr>
    </w:lvl>
    <w:lvl w:ilvl="4" w:tplc="F09AD802">
      <w:start w:val="1"/>
      <w:numFmt w:val="bullet"/>
      <w:lvlText w:val="○"/>
      <w:lvlJc w:val="left"/>
      <w:pPr>
        <w:ind w:left="3600" w:hanging="360"/>
      </w:pPr>
    </w:lvl>
    <w:lvl w:ilvl="5" w:tplc="823E08F8">
      <w:start w:val="1"/>
      <w:numFmt w:val="bullet"/>
      <w:lvlText w:val="■"/>
      <w:lvlJc w:val="left"/>
      <w:pPr>
        <w:ind w:left="4320" w:hanging="360"/>
      </w:pPr>
    </w:lvl>
    <w:lvl w:ilvl="6" w:tplc="7BE46998">
      <w:start w:val="1"/>
      <w:numFmt w:val="bullet"/>
      <w:lvlText w:val="●"/>
      <w:lvlJc w:val="left"/>
      <w:pPr>
        <w:ind w:left="5040" w:hanging="360"/>
      </w:pPr>
    </w:lvl>
    <w:lvl w:ilvl="7" w:tplc="86CCB7BE">
      <w:start w:val="1"/>
      <w:numFmt w:val="bullet"/>
      <w:lvlText w:val="●"/>
      <w:lvlJc w:val="left"/>
      <w:pPr>
        <w:ind w:left="5760" w:hanging="360"/>
      </w:pPr>
    </w:lvl>
    <w:lvl w:ilvl="8" w:tplc="9C4457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9A2D2D"/>
    <w:multiLevelType w:val="hybridMultilevel"/>
    <w:tmpl w:val="8220AA18"/>
    <w:lvl w:ilvl="0" w:tplc="DD0A7C5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BD02788A">
      <w:numFmt w:val="decimal"/>
      <w:lvlText w:val=""/>
      <w:lvlJc w:val="left"/>
    </w:lvl>
    <w:lvl w:ilvl="2" w:tplc="AD564598">
      <w:numFmt w:val="decimal"/>
      <w:lvlText w:val=""/>
      <w:lvlJc w:val="left"/>
    </w:lvl>
    <w:lvl w:ilvl="3" w:tplc="636E11F2">
      <w:numFmt w:val="decimal"/>
      <w:lvlText w:val=""/>
      <w:lvlJc w:val="left"/>
    </w:lvl>
    <w:lvl w:ilvl="4" w:tplc="BAFE3C34">
      <w:numFmt w:val="decimal"/>
      <w:lvlText w:val=""/>
      <w:lvlJc w:val="left"/>
    </w:lvl>
    <w:lvl w:ilvl="5" w:tplc="064E5BD0">
      <w:numFmt w:val="decimal"/>
      <w:lvlText w:val=""/>
      <w:lvlJc w:val="left"/>
    </w:lvl>
    <w:lvl w:ilvl="6" w:tplc="9F1EC4AE">
      <w:numFmt w:val="decimal"/>
      <w:lvlText w:val=""/>
      <w:lvlJc w:val="left"/>
    </w:lvl>
    <w:lvl w:ilvl="7" w:tplc="ED486222">
      <w:numFmt w:val="decimal"/>
      <w:lvlText w:val=""/>
      <w:lvlJc w:val="left"/>
    </w:lvl>
    <w:lvl w:ilvl="8" w:tplc="3F6A3AB6">
      <w:numFmt w:val="decimal"/>
      <w:lvlText w:val=""/>
      <w:lvlJc w:val="left"/>
    </w:lvl>
  </w:abstractNum>
  <w:num w:numId="1" w16cid:durableId="690768565">
    <w:abstractNumId w:val="0"/>
    <w:lvlOverride w:ilvl="0">
      <w:startOverride w:val="1"/>
    </w:lvlOverride>
  </w:num>
  <w:num w:numId="2" w16cid:durableId="10295258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B08"/>
    <w:rsid w:val="001B7D4A"/>
    <w:rsid w:val="006F7B08"/>
    <w:rsid w:val="00B4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637A"/>
  <w15:docId w15:val="{82351CEC-042D-4AB5-B0F1-6C95FB979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6DA4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1111</Words>
  <Characters>6617</Characters>
  <Application>Microsoft Office Word</Application>
  <DocSecurity>0</DocSecurity>
  <Lines>228</Lines>
  <Paragraphs>155</Paragraphs>
  <ScaleCrop>false</ScaleCrop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Chun, Haeyong</cp:lastModifiedBy>
  <cp:revision>2</cp:revision>
  <dcterms:created xsi:type="dcterms:W3CDTF">2026-03-11T22:22:00Z</dcterms:created>
  <dcterms:modified xsi:type="dcterms:W3CDTF">2026-03-12T17:43:00Z</dcterms:modified>
</cp:coreProperties>
</file>