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003087"/>
          <w:sz w:val="36"/>
          <w:szCs w:val="36"/>
        </w:rPr>
        <w:t xml:space="preserve">Florida Gators Football Analytics</w:t>
      </w:r>
    </w:p>
    <w:p>
      <w:pPr>
        <w:spacing w:before="0" w:after="60"/>
        <w:jc w:val="center"/>
      </w:pPr>
      <w:r>
        <w:rPr>
          <w:rFonts w:ascii="Arial" w:cs="Arial" w:eastAsia="Arial" w:hAnsi="Arial"/>
          <w:color w:val="555555"/>
          <w:sz w:val="24"/>
          <w:szCs w:val="24"/>
        </w:rPr>
        <w:t xml:space="preserve">Performance Analysis Report — 2022 to 2024 Seasons</w:t>
      </w:r>
    </w:p>
    <w:p>
      <w:pPr>
        <w:spacing w:before="0" w:after="80"/>
        <w:jc w:val="center"/>
      </w:pPr>
      <w:r>
        <w:rPr>
          <w:rFonts w:ascii="Arial" w:cs="Arial" w:eastAsia="Arial" w:hAnsi="Arial"/>
          <w:i/>
          <w:iCs/>
          <w:color w:val="555555"/>
          <w:sz w:val="20"/>
          <w:szCs w:val="20"/>
        </w:rPr>
        <w:t xml:space="preserve">Data Source: College Football Data API (collegefootballdata.com)</w:t>
      </w:r>
    </w:p>
    <w:p>
      <w:pPr>
        <w:pBdr>
          <w:bottom w:val="single" w:color="FA4616" w:sz="8" w:space="1"/>
        </w:pBdr>
        <w:spacing w:before="0" w:after="240"/>
      </w:pPr>
      <w:r>
        <w:t xml:space="preserve"/>
      </w:r>
    </w:p>
    <w:p>
      <w:pPr>
        <w:pStyle w:val="Heading1"/>
        <w:pBdr>
          <w:bottom w:val="single" w:color="003087" w:sz="6" w:space="1"/>
        </w:pBdr>
        <w:spacing w:before="360" w:after="120"/>
      </w:pPr>
      <w:r>
        <w:rPr>
          <w:rFonts w:ascii="Arial" w:cs="Arial" w:eastAsia="Arial" w:hAnsi="Arial"/>
          <w:b/>
          <w:bCs/>
          <w:color w:val="003087"/>
          <w:sz w:val="28"/>
          <w:szCs w:val="28"/>
        </w:rPr>
        <w:t xml:space="preserve">Overview</w:t>
      </w:r>
    </w:p>
    <w:p>
      <w:pPr>
        <w:spacing w:before="60" w:after="100"/>
        <w:jc w:val="both"/>
      </w:pPr>
      <w:r>
        <w:rPr>
          <w:rFonts w:ascii="Arial" w:cs="Arial" w:eastAsia="Arial" w:hAnsi="Arial"/>
          <w:color w:val="1A1A1A"/>
          <w:sz w:val="22"/>
          <w:szCs w:val="22"/>
        </w:rPr>
        <w:t xml:space="preserve">This report presents a systematic analysis of the Florida Gators football program across three seasons (2022–2024) using publicly available play-by-play, drive-level, and game-level data from the College Football Data API. Five analytical modules are examined: season-level team profile, situational football tendencies, drive efficiency, win/loss discriminators, and SEC conference context. The goal is to identify consistent performance patterns and the factors most strongly associated with game outcomes — translating raw game data into actionable, decision-relevant insights.</w:t>
      </w:r>
    </w:p>
    <w:p>
      <w:pPr>
        <w:pBdr>
          <w:bottom w:val="single" w:color="DDDDDD" w:sz="2" w:space="1"/>
        </w:pBdr>
        <w:spacing w:before="120" w:after="120"/>
      </w:pPr>
      <w:r>
        <w:t xml:space="preserve"/>
      </w:r>
    </w:p>
    <w:p>
      <w:pPr>
        <w:pStyle w:val="Heading1"/>
        <w:pBdr>
          <w:bottom w:val="single" w:color="003087" w:sz="6" w:space="1"/>
        </w:pBdr>
        <w:spacing w:before="360" w:after="120"/>
      </w:pPr>
      <w:r>
        <w:rPr>
          <w:rFonts w:ascii="Arial" w:cs="Arial" w:eastAsia="Arial" w:hAnsi="Arial"/>
          <w:b/>
          <w:bCs/>
          <w:color w:val="003087"/>
          <w:sz w:val="28"/>
          <w:szCs w:val="28"/>
        </w:rPr>
        <w:t xml:space="preserve">Figure 1 — Season Profile (2022–2024)</w:t>
      </w:r>
    </w:p>
    <w:p>
      <w:pPr>
        <w:spacing w:before="40" w:after="60"/>
      </w:pPr>
      <w:r>
        <w:rPr>
          <w:rFonts w:ascii="Arial" w:cs="Arial" w:eastAsia="Arial" w:hAnsi="Arial"/>
          <w:b/>
          <w:bCs/>
          <w:i/>
          <w:iCs/>
          <w:color w:val="555555"/>
          <w:sz w:val="20"/>
          <w:szCs w:val="20"/>
        </w:rPr>
        <w:t xml:space="preserve">Win-Loss Record | Scoring per Game | Rush vs. Pass Yards | Scoring Margin | Turnovers | 3rd-Down Conversion %</w:t>
      </w:r>
    </w:p>
    <w:p>
      <w:pPr>
        <w:pStyle w:val="Heading2"/>
        <w:spacing w:before="280" w:after="80"/>
      </w:pPr>
      <w:r>
        <w:rPr>
          <w:rFonts w:ascii="Arial" w:cs="Arial" w:eastAsia="Arial" w:hAnsi="Arial"/>
          <w:b/>
          <w:bCs/>
          <w:color w:val="FA4616"/>
          <w:sz w:val="24"/>
          <w:szCs w:val="24"/>
        </w:rPr>
        <w:t xml:space="preserve">Key Findings</w:t>
      </w:r>
    </w:p>
    <w:p>
      <w:pPr>
        <w:pStyle w:val="ListParagraph"/>
        <w:numPr>
          <w:ilvl w:val="0"/>
          <w:numId w:val="2"/>
        </w:numPr>
        <w:spacing w:before="40" w:after="40"/>
      </w:pPr>
      <w:r>
        <w:rPr>
          <w:rFonts w:ascii="Arial" w:cs="Arial" w:eastAsia="Arial" w:hAnsi="Arial"/>
          <w:color w:val="1A1A1A"/>
          <w:sz w:val="22"/>
          <w:szCs w:val="22"/>
        </w:rPr>
        <w:t xml:space="preserve">The Gators showed a clear upward trajectory in win-loss record, improving from 6 wins in 2022 to 8 wins in 2024, suggesting progressive program development under the current coaching staff.</w:t>
      </w:r>
    </w:p>
    <w:p>
      <w:pPr>
        <w:pStyle w:val="ListParagraph"/>
        <w:numPr>
          <w:ilvl w:val="0"/>
          <w:numId w:val="2"/>
        </w:numPr>
        <w:spacing w:before="40" w:after="40"/>
      </w:pPr>
      <w:r>
        <w:rPr>
          <w:rFonts w:ascii="Arial" w:cs="Arial" w:eastAsia="Arial" w:hAnsi="Arial"/>
          <w:color w:val="1A1A1A"/>
          <w:sz w:val="22"/>
          <w:szCs w:val="22"/>
        </w:rPr>
        <w:t xml:space="preserve">Despite improved win totals, UF's points per game declined steadily from approximately 30 in 2022 to 28.5 in 2024. More notably, opponent scoring dropped sharply — from roughly 29 to just 23 points per game — indicating that defensive improvement was the primary driver of the winning trend.</w:t>
      </w:r>
    </w:p>
    <w:p>
      <w:pPr>
        <w:pStyle w:val="ListParagraph"/>
        <w:numPr>
          <w:ilvl w:val="0"/>
          <w:numId w:val="2"/>
        </w:numPr>
        <w:spacing w:before="40" w:after="40"/>
      </w:pPr>
      <w:r>
        <w:rPr>
          <w:rFonts w:ascii="Arial" w:cs="Arial" w:eastAsia="Arial" w:hAnsi="Arial"/>
          <w:color w:val="1A1A1A"/>
          <w:sz w:val="22"/>
          <w:szCs w:val="22"/>
        </w:rPr>
        <w:t xml:space="preserve">The average scoring margin grew from near zero in 2022 (+0.7) to over +5 points per game in 2024, confirming a meaningful shift in competitive balance.</w:t>
      </w:r>
    </w:p>
    <w:p>
      <w:pPr>
        <w:pStyle w:val="ListParagraph"/>
        <w:numPr>
          <w:ilvl w:val="0"/>
          <w:numId w:val="2"/>
        </w:numPr>
        <w:spacing w:before="40" w:after="40"/>
      </w:pPr>
      <w:r>
        <w:rPr>
          <w:rFonts w:ascii="Arial" w:cs="Arial" w:eastAsia="Arial" w:hAnsi="Arial"/>
          <w:color w:val="1A1A1A"/>
          <w:sz w:val="22"/>
          <w:szCs w:val="22"/>
        </w:rPr>
        <w:t xml:space="preserve">Rush yards per game declined modestly across seasons while pass yards remained relatively stable, suggesting the offense became slightly more pass-dependent over time.</w:t>
      </w:r>
    </w:p>
    <w:p>
      <w:pPr>
        <w:pStyle w:val="ListParagraph"/>
        <w:numPr>
          <w:ilvl w:val="0"/>
          <w:numId w:val="2"/>
        </w:numPr>
        <w:spacing w:before="40" w:after="40"/>
      </w:pPr>
      <w:r>
        <w:rPr>
          <w:rFonts w:ascii="Arial" w:cs="Arial" w:eastAsia="Arial" w:hAnsi="Arial"/>
          <w:color w:val="1A1A1A"/>
          <w:sz w:val="22"/>
          <w:szCs w:val="22"/>
        </w:rPr>
        <w:t xml:space="preserve">Turnover rate increased slightly in 2024 (~1.5 per game vs. ~1.0 in 2022–2023), which is a potential concern given the otherwise positive trend. Turnovers represent a key vulnerability going forward.</w:t>
      </w:r>
    </w:p>
    <w:p>
      <w:pPr>
        <w:pStyle w:val="ListParagraph"/>
        <w:numPr>
          <w:ilvl w:val="0"/>
          <w:numId w:val="2"/>
        </w:numPr>
        <w:spacing w:before="40" w:after="40"/>
      </w:pPr>
      <w:r>
        <w:rPr>
          <w:rFonts w:ascii="Arial" w:cs="Arial" w:eastAsia="Arial" w:hAnsi="Arial"/>
          <w:color w:val="1A1A1A"/>
          <w:sz w:val="22"/>
          <w:szCs w:val="22"/>
        </w:rPr>
        <w:t xml:space="preserve">3rd-down conversion rate hovered around 38–41% across all three seasons — consistently below the FBS average of approximately 42%. This persistent inefficiency on third downs represents a recurring structural weakness in the offense.</w:t>
      </w:r>
    </w:p>
    <w:p>
      <w:pPr>
        <w:pStyle w:val="Heading2"/>
        <w:spacing w:before="280" w:after="80"/>
      </w:pPr>
      <w:r>
        <w:rPr>
          <w:rFonts w:ascii="Arial" w:cs="Arial" w:eastAsia="Arial" w:hAnsi="Arial"/>
          <w:b/>
          <w:bCs/>
          <w:color w:val="FA4616"/>
          <w:sz w:val="24"/>
          <w:szCs w:val="24"/>
        </w:rPr>
        <w:t xml:space="preserve">Interpretation</w:t>
      </w:r>
    </w:p>
    <w:p>
      <w:pPr>
        <w:spacing w:before="60" w:after="100"/>
        <w:jc w:val="both"/>
      </w:pPr>
      <w:r>
        <w:rPr>
          <w:rFonts w:ascii="Arial" w:cs="Arial" w:eastAsia="Arial" w:hAnsi="Arial"/>
          <w:color w:val="1A1A1A"/>
          <w:sz w:val="22"/>
          <w:szCs w:val="22"/>
        </w:rPr>
        <w:t xml:space="preserve">The 2022–2024 period reflects a rebuilding program gaining traction primarily through defensive development. The offense remains a work in progress: third-down conversion rates below conference average and a slight uptick in turnovers in 2024 suggest that offensive efficiency and ball security are the clearest areas for improvement heading into future seasons.</w:t>
      </w:r>
    </w:p>
    <w:p>
      <w:pPr>
        <w:pBdr>
          <w:bottom w:val="single" w:color="DDDDDD" w:sz="2" w:space="1"/>
        </w:pBdr>
        <w:spacing w:before="120" w:after="120"/>
      </w:pPr>
      <w:r>
        <w:t xml:space="preserve"/>
      </w:r>
    </w:p>
    <w:p>
      <w:pPr>
        <w:pStyle w:val="Heading1"/>
        <w:pBdr>
          <w:bottom w:val="single" w:color="003087" w:sz="6" w:space="1"/>
        </w:pBdr>
        <w:spacing w:before="360" w:after="120"/>
      </w:pPr>
      <w:r>
        <w:rPr>
          <w:rFonts w:ascii="Arial" w:cs="Arial" w:eastAsia="Arial" w:hAnsi="Arial"/>
          <w:b/>
          <w:bCs/>
          <w:color w:val="003087"/>
          <w:sz w:val="28"/>
          <w:szCs w:val="28"/>
        </w:rPr>
        <w:t xml:space="preserve">Figure 2 — Situational Football</w:t>
      </w:r>
    </w:p>
    <w:p>
      <w:pPr>
        <w:spacing w:before="40" w:after="60"/>
      </w:pPr>
      <w:r>
        <w:rPr>
          <w:rFonts w:ascii="Arial" w:cs="Arial" w:eastAsia="Arial" w:hAnsi="Arial"/>
          <w:b/>
          <w:bCs/>
          <w:i/>
          <w:iCs/>
          <w:color w:val="555555"/>
          <w:sz w:val="20"/>
          <w:szCs w:val="20"/>
        </w:rPr>
        <w:t xml:space="preserve">Home vs. Away Splits | 4th-Down Decision Mix</w:t>
      </w:r>
    </w:p>
    <w:p>
      <w:pPr>
        <w:pStyle w:val="Heading2"/>
        <w:spacing w:before="280" w:after="80"/>
      </w:pPr>
      <w:r>
        <w:rPr>
          <w:rFonts w:ascii="Arial" w:cs="Arial" w:eastAsia="Arial" w:hAnsi="Arial"/>
          <w:b/>
          <w:bCs/>
          <w:color w:val="FA4616"/>
          <w:sz w:val="24"/>
          <w:szCs w:val="24"/>
        </w:rPr>
        <w:t xml:space="preserve">Key Findings</w:t>
      </w:r>
    </w:p>
    <w:p>
      <w:pPr>
        <w:pStyle w:val="ListParagraph"/>
        <w:numPr>
          <w:ilvl w:val="0"/>
          <w:numId w:val="2"/>
        </w:numPr>
        <w:spacing w:before="40" w:after="40"/>
      </w:pPr>
      <w:r>
        <w:rPr>
          <w:rFonts w:ascii="Arial" w:cs="Arial" w:eastAsia="Arial" w:hAnsi="Arial"/>
          <w:color w:val="1A1A1A"/>
          <w:sz w:val="22"/>
          <w:szCs w:val="22"/>
        </w:rPr>
        <w:t xml:space="preserve">UF's total yards per game were relatively similar at home and away in 2022 (~420 vs. ~430), but by 2024 the gap widened substantially — the Gators averaged approximately 410 yards at home but only 365 yards in away games. This growing home/away disparity suggests an increasing reliance on home-field environment.</w:t>
      </w:r>
    </w:p>
    <w:p>
      <w:pPr>
        <w:pStyle w:val="ListParagraph"/>
        <w:numPr>
          <w:ilvl w:val="0"/>
          <w:numId w:val="2"/>
        </w:numPr>
        <w:spacing w:before="40" w:after="40"/>
      </w:pPr>
      <w:r>
        <w:rPr>
          <w:rFonts w:ascii="Arial" w:cs="Arial" w:eastAsia="Arial" w:hAnsi="Arial"/>
          <w:color w:val="1A1A1A"/>
          <w:sz w:val="22"/>
          <w:szCs w:val="22"/>
        </w:rPr>
        <w:t xml:space="preserve">Turnover patterns diverged in 2024: away turnovers rose to ~1.6 per game while home turnovers remained stable at ~1.2. This is a meaningful distinction — the team is less disciplined with the ball in hostile environments.</w:t>
      </w:r>
    </w:p>
    <w:p>
      <w:pPr>
        <w:pStyle w:val="ListParagraph"/>
        <w:numPr>
          <w:ilvl w:val="0"/>
          <w:numId w:val="2"/>
        </w:numPr>
        <w:spacing w:before="40" w:after="40"/>
      </w:pPr>
      <w:r>
        <w:rPr>
          <w:rFonts w:ascii="Arial" w:cs="Arial" w:eastAsia="Arial" w:hAnsi="Arial"/>
          <w:color w:val="1A1A1A"/>
          <w:sz w:val="22"/>
          <w:szCs w:val="22"/>
        </w:rPr>
        <w:t xml:space="preserve">4th-down decision-making shows a highly aggressive profile: the GO category (offensive attempt) accounts for approximately 75–80% of 4th-down decisions across all three seasons. This is unusually high relative to national norms, where punting typically dominates. This aggressive tendency could reflect either genuine analytics-driven decision-making or play-calling philosophy.</w:t>
      </w:r>
    </w:p>
    <w:p>
      <w:pPr>
        <w:pStyle w:val="ListParagraph"/>
        <w:numPr>
          <w:ilvl w:val="0"/>
          <w:numId w:val="2"/>
        </w:numPr>
        <w:spacing w:before="40" w:after="40"/>
      </w:pPr>
      <w:r>
        <w:rPr>
          <w:rFonts w:ascii="Arial" w:cs="Arial" w:eastAsia="Arial" w:hAnsi="Arial"/>
          <w:color w:val="1A1A1A"/>
          <w:sz w:val="22"/>
          <w:szCs w:val="22"/>
        </w:rPr>
        <w:t xml:space="preserve">The FG (field goal) rate on 4th down is nearly negligible across all seasons, which combined with the high GO rate suggests the team rarely views field goals as the optimal 4th-down option.</w:t>
      </w:r>
    </w:p>
    <w:p>
      <w:pPr>
        <w:pStyle w:val="Heading2"/>
        <w:spacing w:before="280" w:after="80"/>
      </w:pPr>
      <w:r>
        <w:rPr>
          <w:rFonts w:ascii="Arial" w:cs="Arial" w:eastAsia="Arial" w:hAnsi="Arial"/>
          <w:b/>
          <w:bCs/>
          <w:color w:val="FA4616"/>
          <w:sz w:val="24"/>
          <w:szCs w:val="24"/>
        </w:rPr>
        <w:t xml:space="preserve">Interpretation</w:t>
      </w:r>
    </w:p>
    <w:p>
      <w:pPr>
        <w:spacing w:before="60" w:after="100"/>
        <w:jc w:val="both"/>
      </w:pPr>
      <w:r>
        <w:rPr>
          <w:rFonts w:ascii="Arial" w:cs="Arial" w:eastAsia="Arial" w:hAnsi="Arial"/>
          <w:color w:val="1A1A1A"/>
          <w:sz w:val="22"/>
          <w:szCs w:val="22"/>
        </w:rPr>
        <w:t xml:space="preserve">The home/away split in both yardage and turnovers signals a team that performs meaningfully better in familiar environments. The aggressive 4th-down philosophy is a distinctive characteristic worth monitoring: if conversion rates support this aggression, it represents a competitive advantage; if not, it may be contributing to scoring inefficiencies.</w:t>
      </w:r>
    </w:p>
    <w:p>
      <w:pPr>
        <w:pBdr>
          <w:bottom w:val="single" w:color="DDDDDD" w:sz="2" w:space="1"/>
        </w:pBdr>
        <w:spacing w:before="120" w:after="120"/>
      </w:pPr>
      <w:r>
        <w:t xml:space="preserve"/>
      </w:r>
    </w:p>
    <w:p>
      <w:pPr>
        <w:pStyle w:val="Heading1"/>
        <w:pBdr>
          <w:bottom w:val="single" w:color="003087" w:sz="6" w:space="1"/>
        </w:pBdr>
        <w:spacing w:before="360" w:after="120"/>
      </w:pPr>
      <w:r>
        <w:rPr>
          <w:rFonts w:ascii="Arial" w:cs="Arial" w:eastAsia="Arial" w:hAnsi="Arial"/>
          <w:b/>
          <w:bCs/>
          <w:color w:val="003087"/>
          <w:sz w:val="28"/>
          <w:szCs w:val="28"/>
        </w:rPr>
        <w:t xml:space="preserve">Figure 3 — Drive Performance</w:t>
      </w:r>
    </w:p>
    <w:p>
      <w:pPr>
        <w:spacing w:before="40" w:after="60"/>
      </w:pPr>
      <w:r>
        <w:rPr>
          <w:rFonts w:ascii="Arial" w:cs="Arial" w:eastAsia="Arial" w:hAnsi="Arial"/>
          <w:b/>
          <w:bCs/>
          <w:i/>
          <w:iCs/>
          <w:color w:val="555555"/>
          <w:sz w:val="20"/>
          <w:szCs w:val="20"/>
        </w:rPr>
        <w:t xml:space="preserve">Scoring Drive % | Yards per Drive | Quick Scores vs. Empty Drives</w:t>
      </w:r>
    </w:p>
    <w:p>
      <w:pPr>
        <w:pStyle w:val="Heading2"/>
        <w:spacing w:before="280" w:after="80"/>
      </w:pPr>
      <w:r>
        <w:rPr>
          <w:rFonts w:ascii="Arial" w:cs="Arial" w:eastAsia="Arial" w:hAnsi="Arial"/>
          <w:b/>
          <w:bCs/>
          <w:color w:val="FA4616"/>
          <w:sz w:val="24"/>
          <w:szCs w:val="24"/>
        </w:rPr>
        <w:t xml:space="preserve">Key Findings</w:t>
      </w:r>
    </w:p>
    <w:p>
      <w:pPr>
        <w:pStyle w:val="ListParagraph"/>
        <w:numPr>
          <w:ilvl w:val="0"/>
          <w:numId w:val="2"/>
        </w:numPr>
        <w:spacing w:before="40" w:after="40"/>
      </w:pPr>
      <w:r>
        <w:rPr>
          <w:rFonts w:ascii="Arial" w:cs="Arial" w:eastAsia="Arial" w:hAnsi="Arial"/>
          <w:color w:val="1A1A1A"/>
          <w:sz w:val="22"/>
          <w:szCs w:val="22"/>
        </w:rPr>
        <w:t xml:space="preserve">UF's scoring drive percentage was above the FBS average (~38%) in all three seasons: 45.7% in 2022, 47.5% in 2023, and 41.4% in 2024. The 2023 season represented peak drive efficiency, while 2024 saw a notable decline of approximately 6 percentage points.</w:t>
      </w:r>
    </w:p>
    <w:p>
      <w:pPr>
        <w:pStyle w:val="ListParagraph"/>
        <w:numPr>
          <w:ilvl w:val="0"/>
          <w:numId w:val="2"/>
        </w:numPr>
        <w:spacing w:before="40" w:after="40"/>
      </w:pPr>
      <w:r>
        <w:rPr>
          <w:rFonts w:ascii="Arial" w:cs="Arial" w:eastAsia="Arial" w:hAnsi="Arial"/>
          <w:color w:val="1A1A1A"/>
          <w:sz w:val="22"/>
          <w:szCs w:val="22"/>
        </w:rPr>
        <w:t xml:space="preserve">Yards per drive also declined steadily — from 36.1 in 2022 to 30.7 in 2024 — though all three seasons remained above the FBS average of approximately 28 yards. The declining trend suggests the offense is moving the ball less effectively over time even as it wins more games.</w:t>
      </w:r>
    </w:p>
    <w:p>
      <w:pPr>
        <w:pStyle w:val="ListParagraph"/>
        <w:numPr>
          <w:ilvl w:val="0"/>
          <w:numId w:val="2"/>
        </w:numPr>
        <w:spacing w:before="40" w:after="40"/>
      </w:pPr>
      <w:r>
        <w:rPr>
          <w:rFonts w:ascii="Arial" w:cs="Arial" w:eastAsia="Arial" w:hAnsi="Arial"/>
          <w:color w:val="1A1A1A"/>
          <w:sz w:val="22"/>
          <w:szCs w:val="22"/>
        </w:rPr>
        <w:t xml:space="preserve">Empty drive rate (drives ending in punt, turnover, or turnover on downs) increased from approximately 38% in 2022 to 43% in both 2023 and 2024. Nearly half of all offensive possessions in 2023–2024 produced no points — a significant efficiency concern.</w:t>
      </w:r>
    </w:p>
    <w:p>
      <w:pPr>
        <w:pStyle w:val="ListParagraph"/>
        <w:numPr>
          <w:ilvl w:val="0"/>
          <w:numId w:val="2"/>
        </w:numPr>
        <w:spacing w:before="40" w:after="40"/>
      </w:pPr>
      <w:r>
        <w:rPr>
          <w:rFonts w:ascii="Arial" w:cs="Arial" w:eastAsia="Arial" w:hAnsi="Arial"/>
          <w:color w:val="1A1A1A"/>
          <w:sz w:val="22"/>
          <w:szCs w:val="22"/>
        </w:rPr>
        <w:t xml:space="preserve">Quick-score drive rate (scoring in 3 plays or fewer) was low across all seasons (~5–9%), indicating the team relies on sustained, multi-play drives rather than explosive quick-strike offense.</w:t>
      </w:r>
    </w:p>
    <w:p>
      <w:pPr>
        <w:pStyle w:val="Heading2"/>
        <w:spacing w:before="280" w:after="80"/>
      </w:pPr>
      <w:r>
        <w:rPr>
          <w:rFonts w:ascii="Arial" w:cs="Arial" w:eastAsia="Arial" w:hAnsi="Arial"/>
          <w:b/>
          <w:bCs/>
          <w:color w:val="FA4616"/>
          <w:sz w:val="24"/>
          <w:szCs w:val="24"/>
        </w:rPr>
        <w:t xml:space="preserve">Interpretation</w:t>
      </w:r>
    </w:p>
    <w:p>
      <w:pPr>
        <w:spacing w:before="60" w:after="100"/>
        <w:jc w:val="both"/>
      </w:pPr>
      <w:r>
        <w:rPr>
          <w:rFonts w:ascii="Arial" w:cs="Arial" w:eastAsia="Arial" w:hAnsi="Arial"/>
          <w:color w:val="1A1A1A"/>
          <w:sz w:val="22"/>
          <w:szCs w:val="22"/>
        </w:rPr>
        <w:t xml:space="preserve">The combination of declining yards per drive, rising empty drive rate, and low quick-score rate paints a picture of an offense that grinds but increasingly stalls. The fact that win totals improved despite this efficiency decline confirms that defensive improvement — not offensive development — is the engine of UF's recent progress. Improving drive finishing rate and explosive play generation represent the clearest offensive priorities.</w:t>
      </w:r>
    </w:p>
    <w:p>
      <w:pPr>
        <w:pBdr>
          <w:bottom w:val="single" w:color="DDDDDD" w:sz="2" w:space="1"/>
        </w:pBdr>
        <w:spacing w:before="120" w:after="120"/>
      </w:pPr>
      <w:r>
        <w:t xml:space="preserve"/>
      </w:r>
    </w:p>
    <w:p>
      <w:pPr>
        <w:pStyle w:val="Heading1"/>
        <w:pBdr>
          <w:bottom w:val="single" w:color="003087" w:sz="6" w:space="1"/>
        </w:pBdr>
        <w:spacing w:before="360" w:after="120"/>
      </w:pPr>
      <w:r>
        <w:rPr>
          <w:rFonts w:ascii="Arial" w:cs="Arial" w:eastAsia="Arial" w:hAnsi="Arial"/>
          <w:b/>
          <w:bCs/>
          <w:color w:val="003087"/>
          <w:sz w:val="28"/>
          <w:szCs w:val="28"/>
        </w:rPr>
        <w:t xml:space="preserve">Figure 4 — Win vs. Loss Scripts</w:t>
      </w:r>
    </w:p>
    <w:p>
      <w:pPr>
        <w:spacing w:before="40" w:after="60"/>
      </w:pPr>
      <w:r>
        <w:rPr>
          <w:rFonts w:ascii="Arial" w:cs="Arial" w:eastAsia="Arial" w:hAnsi="Arial"/>
          <w:b/>
          <w:bCs/>
          <w:i/>
          <w:iCs/>
          <w:color w:val="555555"/>
          <w:sz w:val="20"/>
          <w:szCs w:val="20"/>
        </w:rPr>
        <w:t xml:space="preserve">Total Yards | Rush Yards | 3rd-Down Conv. % | Turnovers (with Cohen's d)</w:t>
      </w:r>
    </w:p>
    <w:p>
      <w:pPr>
        <w:pStyle w:val="Heading2"/>
        <w:spacing w:before="280" w:after="80"/>
      </w:pPr>
      <w:r>
        <w:rPr>
          <w:rFonts w:ascii="Arial" w:cs="Arial" w:eastAsia="Arial" w:hAnsi="Arial"/>
          <w:b/>
          <w:bCs/>
          <w:color w:val="FA4616"/>
          <w:sz w:val="24"/>
          <w:szCs w:val="24"/>
        </w:rPr>
        <w:t xml:space="preserve">Key Findings</w:t>
      </w:r>
    </w:p>
    <w:p>
      <w:pPr>
        <w:pStyle w:val="ListParagraph"/>
        <w:numPr>
          <w:ilvl w:val="0"/>
          <w:numId w:val="2"/>
        </w:numPr>
        <w:spacing w:before="40" w:after="40"/>
      </w:pPr>
      <w:r>
        <w:rPr>
          <w:rFonts w:ascii="Arial" w:cs="Arial" w:eastAsia="Arial" w:hAnsi="Arial"/>
          <w:color w:val="1A1A1A"/>
          <w:sz w:val="22"/>
          <w:szCs w:val="22"/>
        </w:rPr>
        <w:t xml:space="preserve">Rush yards per game is the single strongest discriminator between wins and losses, with a Cohen's d of +1.13 — a large effect size by conventional standards (d &gt; 0.8). In winning games, UF averages approximately 280 rush yards compared to roughly 125 in losses. This is a consistent pattern across all three seasons.</w:t>
      </w:r>
    </w:p>
    <w:p>
      <w:pPr>
        <w:pStyle w:val="ListParagraph"/>
        <w:numPr>
          <w:ilvl w:val="0"/>
          <w:numId w:val="2"/>
        </w:numPr>
        <w:spacing w:before="40" w:after="40"/>
      </w:pPr>
      <w:r>
        <w:rPr>
          <w:rFonts w:ascii="Arial" w:cs="Arial" w:eastAsia="Arial" w:hAnsi="Arial"/>
          <w:color w:val="1A1A1A"/>
          <w:sz w:val="22"/>
          <w:szCs w:val="22"/>
        </w:rPr>
        <w:t xml:space="preserve">Total yards per game also shows a strong separation (Cohen's d = +0.87): approximately 440 yards in wins versus 360–395 yards in losses. The rushing game drives this gap more than the passing game.</w:t>
      </w:r>
    </w:p>
    <w:p>
      <w:pPr>
        <w:pStyle w:val="ListParagraph"/>
        <w:numPr>
          <w:ilvl w:val="0"/>
          <w:numId w:val="2"/>
        </w:numPr>
        <w:spacing w:before="40" w:after="40"/>
      </w:pPr>
      <w:r>
        <w:rPr>
          <w:rFonts w:ascii="Arial" w:cs="Arial" w:eastAsia="Arial" w:hAnsi="Arial"/>
          <w:color w:val="1A1A1A"/>
          <w:sz w:val="22"/>
          <w:szCs w:val="22"/>
        </w:rPr>
        <w:t xml:space="preserve">3rd-down conversion rate shows a meaningful difference (Cohen's d = +0.74): UF converts roughly 43–47% of third downs in wins but only 25–38% in losses. Sustaining drives on third down is closely linked to game outcomes.</w:t>
      </w:r>
    </w:p>
    <w:p>
      <w:pPr>
        <w:pStyle w:val="ListParagraph"/>
        <w:numPr>
          <w:ilvl w:val="0"/>
          <w:numId w:val="2"/>
        </w:numPr>
        <w:spacing w:before="40" w:after="40"/>
      </w:pPr>
      <w:r>
        <w:rPr>
          <w:rFonts w:ascii="Arial" w:cs="Arial" w:eastAsia="Arial" w:hAnsi="Arial"/>
          <w:color w:val="1A1A1A"/>
          <w:sz w:val="22"/>
          <w:szCs w:val="22"/>
        </w:rPr>
        <w:t xml:space="preserve">Turnovers show a moderate negative effect (Cohen's d = -0.52): UF averages around 0.8–1.2 turnovers in wins but 1.0–2.2 in losses. While turnovers matter, the effect size is smaller than rushing and third-down efficiency, suggesting ball security alone does not determine outcomes.</w:t>
      </w:r>
    </w:p>
    <w:p>
      <w:pPr>
        <w:pStyle w:val="Heading2"/>
        <w:spacing w:before="280" w:after="80"/>
      </w:pPr>
      <w:r>
        <w:rPr>
          <w:rFonts w:ascii="Arial" w:cs="Arial" w:eastAsia="Arial" w:hAnsi="Arial"/>
          <w:b/>
          <w:bCs/>
          <w:color w:val="FA4616"/>
          <w:sz w:val="24"/>
          <w:szCs w:val="24"/>
        </w:rPr>
        <w:t xml:space="preserve">Interpretation</w:t>
      </w:r>
    </w:p>
    <w:p>
      <w:pPr>
        <w:spacing w:before="60" w:after="100"/>
        <w:jc w:val="both"/>
      </w:pPr>
      <w:r>
        <w:rPr>
          <w:rFonts w:ascii="Arial" w:cs="Arial" w:eastAsia="Arial" w:hAnsi="Arial"/>
          <w:color w:val="1A1A1A"/>
          <w:sz w:val="22"/>
          <w:szCs w:val="22"/>
        </w:rPr>
        <w:t xml:space="preserve">The data tells a clear story: Florida wins when it runs the ball effectively. Rush yards per game is not merely correlated with wins — it is the dominant statistical feature separating victories from defeats across all three seasons. This finding has direct implications for game planning and roster construction: investment in the offensive line and running back depth is the highest-leverage path to improving win probability for this program.</w:t>
      </w:r>
    </w:p>
    <w:p>
      <w:pPr>
        <w:pBdr>
          <w:bottom w:val="single" w:color="DDDDDD" w:sz="2" w:space="1"/>
        </w:pBdr>
        <w:spacing w:before="120" w:after="120"/>
      </w:pPr>
      <w:r>
        <w:t xml:space="preserve"/>
      </w:r>
    </w:p>
    <w:p>
      <w:pPr>
        <w:pStyle w:val="Heading1"/>
        <w:pBdr>
          <w:bottom w:val="single" w:color="003087" w:sz="6" w:space="1"/>
        </w:pBdr>
        <w:spacing w:before="360" w:after="120"/>
      </w:pPr>
      <w:r>
        <w:rPr>
          <w:rFonts w:ascii="Arial" w:cs="Arial" w:eastAsia="Arial" w:hAnsi="Arial"/>
          <w:b/>
          <w:bCs/>
          <w:color w:val="003087"/>
          <w:sz w:val="28"/>
          <w:szCs w:val="28"/>
        </w:rPr>
        <w:t xml:space="preserve">Figure 5 — SEC Conference Context (2024)</w:t>
      </w:r>
    </w:p>
    <w:p>
      <w:pPr>
        <w:spacing w:before="40" w:after="60"/>
      </w:pPr>
      <w:r>
        <w:rPr>
          <w:rFonts w:ascii="Arial" w:cs="Arial" w:eastAsia="Arial" w:hAnsi="Arial"/>
          <w:b/>
          <w:bCs/>
          <w:i/>
          <w:iCs/>
          <w:color w:val="555555"/>
          <w:sz w:val="20"/>
          <w:szCs w:val="20"/>
        </w:rPr>
        <w:t xml:space="preserve">Yards per Game | 3rd-Down Conv. % | Rushing Yards — vs. SEC peers</w:t>
      </w:r>
    </w:p>
    <w:p>
      <w:pPr>
        <w:pStyle w:val="Heading2"/>
        <w:spacing w:before="280" w:after="80"/>
      </w:pPr>
      <w:r>
        <w:rPr>
          <w:rFonts w:ascii="Arial" w:cs="Arial" w:eastAsia="Arial" w:hAnsi="Arial"/>
          <w:b/>
          <w:bCs/>
          <w:color w:val="FA4616"/>
          <w:sz w:val="24"/>
          <w:szCs w:val="24"/>
        </w:rPr>
        <w:t xml:space="preserve">Key Findings</w:t>
      </w:r>
    </w:p>
    <w:p>
      <w:pPr>
        <w:pStyle w:val="ListParagraph"/>
        <w:numPr>
          <w:ilvl w:val="0"/>
          <w:numId w:val="2"/>
        </w:numPr>
        <w:spacing w:before="40" w:after="40"/>
      </w:pPr>
      <w:r>
        <w:rPr>
          <w:rFonts w:ascii="Arial" w:cs="Arial" w:eastAsia="Arial" w:hAnsi="Arial"/>
          <w:color w:val="1A1A1A"/>
          <w:sz w:val="22"/>
          <w:szCs w:val="22"/>
        </w:rPr>
        <w:t xml:space="preserve">In total yards per game, UF (389.4) ranks below the SEC average (406.4) in 2024, placing the Gators in roughly the bottom half of the conference. Teams like Ole Miss, Tennessee, and Texas are substantially above average, while UF sits near the middle of the pack alongside Georgia and Mississippi State.</w:t>
      </w:r>
    </w:p>
    <w:p>
      <w:pPr>
        <w:pStyle w:val="ListParagraph"/>
        <w:numPr>
          <w:ilvl w:val="0"/>
          <w:numId w:val="2"/>
        </w:numPr>
        <w:spacing w:before="40" w:after="40"/>
      </w:pPr>
      <w:r>
        <w:rPr>
          <w:rFonts w:ascii="Arial" w:cs="Arial" w:eastAsia="Arial" w:hAnsi="Arial"/>
          <w:color w:val="1A1A1A"/>
          <w:sz w:val="22"/>
          <w:szCs w:val="22"/>
        </w:rPr>
        <w:t xml:space="preserve">On 3rd-down conversion rate, UF (0.40) is essentially at the SEC average (0.40), ranking near the middle of the conference. This confirms the season-level finding: UF is average, not poor, on third downs relative to peers — but has room to become a top-tier third-down team.</w:t>
      </w:r>
    </w:p>
    <w:p>
      <w:pPr>
        <w:pStyle w:val="ListParagraph"/>
        <w:numPr>
          <w:ilvl w:val="0"/>
          <w:numId w:val="2"/>
        </w:numPr>
        <w:spacing w:before="40" w:after="40"/>
      </w:pPr>
      <w:r>
        <w:rPr>
          <w:rFonts w:ascii="Arial" w:cs="Arial" w:eastAsia="Arial" w:hAnsi="Arial"/>
          <w:color w:val="1A1A1A"/>
          <w:sz w:val="22"/>
          <w:szCs w:val="22"/>
        </w:rPr>
        <w:t xml:space="preserve">In rushing yards, UF (2,128) is modestly above the SEC average (2,138), positioning the Gators in the middle tier of the conference. Given that rushing is the primary win discriminator (Figure 4), reaching the top quartile in SEC rush production would likely translate directly to additional wins.</w:t>
      </w:r>
    </w:p>
    <w:p>
      <w:pPr>
        <w:pStyle w:val="Heading2"/>
        <w:spacing w:before="280" w:after="80"/>
      </w:pPr>
      <w:r>
        <w:rPr>
          <w:rFonts w:ascii="Arial" w:cs="Arial" w:eastAsia="Arial" w:hAnsi="Arial"/>
          <w:b/>
          <w:bCs/>
          <w:color w:val="FA4616"/>
          <w:sz w:val="24"/>
          <w:szCs w:val="24"/>
        </w:rPr>
        <w:t xml:space="preserve">Interpretation</w:t>
      </w:r>
    </w:p>
    <w:p>
      <w:pPr>
        <w:spacing w:before="60" w:after="100"/>
        <w:jc w:val="both"/>
      </w:pPr>
      <w:r>
        <w:rPr>
          <w:rFonts w:ascii="Arial" w:cs="Arial" w:eastAsia="Arial" w:hAnsi="Arial"/>
          <w:color w:val="1A1A1A"/>
          <w:sz w:val="22"/>
          <w:szCs w:val="22"/>
        </w:rPr>
        <w:t xml:space="preserve">The SEC context confirms that UF is a mid-tier conference program in 2024 by offensive efficiency metrics. The Gators are not far from the conference average on any single metric, which suggests the gap to the top tier is closable rather than structural. The most direct path to improvement is clear from the win/loss analysis: elevating rush production from mid-tier to upper-tier SEC level is the highest-leverage single investment the program can make.</w:t>
      </w:r>
    </w:p>
    <w:p>
      <w:pPr>
        <w:pBdr>
          <w:bottom w:val="single" w:color="DDDDDD" w:sz="2" w:space="1"/>
        </w:pBdr>
        <w:spacing w:before="120" w:after="120"/>
      </w:pPr>
      <w:r>
        <w:t xml:space="preserve"/>
      </w:r>
    </w:p>
    <w:p>
      <w:pPr>
        <w:pStyle w:val="Heading1"/>
        <w:pBdr>
          <w:bottom w:val="single" w:color="003087" w:sz="6" w:space="1"/>
        </w:pBdr>
        <w:spacing w:before="360" w:after="120"/>
      </w:pPr>
      <w:r>
        <w:rPr>
          <w:rFonts w:ascii="Arial" w:cs="Arial" w:eastAsia="Arial" w:hAnsi="Arial"/>
          <w:b/>
          <w:bCs/>
          <w:color w:val="003087"/>
          <w:sz w:val="28"/>
          <w:szCs w:val="28"/>
        </w:rPr>
        <w:t xml:space="preserve">Summary: Key Takeaways</w:t>
      </w:r>
    </w:p>
    <w:p>
      <w:pPr>
        <w:spacing w:before="60" w:after="100"/>
        <w:jc w:val="both"/>
      </w:pPr>
      <w:r>
        <w:rPr>
          <w:rFonts w:ascii="Arial" w:cs="Arial" w:eastAsia="Arial" w:hAnsi="Arial"/>
          <w:color w:val="1A1A1A"/>
          <w:sz w:val="22"/>
          <w:szCs w:val="22"/>
        </w:rPr>
        <w:t xml:space="preserve">Across five analytical modules, three consistent themes emerge from the 2022–2024 Florida Gators data:</w:t>
      </w:r>
    </w:p>
    <w:p>
      <w:pPr>
        <w:pStyle w:val="ListParagraph"/>
        <w:numPr>
          <w:ilvl w:val="0"/>
          <w:numId w:val="2"/>
        </w:numPr>
        <w:spacing w:before="40" w:after="40"/>
      </w:pPr>
      <w:r>
        <w:rPr>
          <w:rFonts w:ascii="Arial" w:cs="Arial" w:eastAsia="Arial" w:hAnsi="Arial"/>
          <w:color w:val="1A1A1A"/>
          <w:sz w:val="22"/>
          <w:szCs w:val="22"/>
        </w:rPr>
        <w:t xml:space="preserve">Defensive improvement is the primary engine of UF's recent win-count growth. Opponent scoring dropped by approximately 6 points per game from 2022 to 2024 while the offense regressed modestly in efficiency.</w:t>
      </w:r>
    </w:p>
    <w:p>
      <w:pPr>
        <w:pStyle w:val="ListParagraph"/>
        <w:numPr>
          <w:ilvl w:val="0"/>
          <w:numId w:val="2"/>
        </w:numPr>
        <w:spacing w:before="40" w:after="40"/>
      </w:pPr>
      <w:r>
        <w:rPr>
          <w:rFonts w:ascii="Arial" w:cs="Arial" w:eastAsia="Arial" w:hAnsi="Arial"/>
          <w:color w:val="1A1A1A"/>
          <w:sz w:val="22"/>
          <w:szCs w:val="22"/>
        </w:rPr>
        <w:t xml:space="preserve">Rushing effectiveness is the most reliable predictor of game outcomes. With a Cohen's d of +1.13, rush yards per game is the single strongest statistical feature separating wins from losses — more predictive than total yards, third-down efficiency, or turnover margin.</w:t>
      </w:r>
    </w:p>
    <w:p>
      <w:pPr>
        <w:pStyle w:val="ListParagraph"/>
        <w:numPr>
          <w:ilvl w:val="0"/>
          <w:numId w:val="2"/>
        </w:numPr>
        <w:spacing w:before="40" w:after="40"/>
      </w:pPr>
      <w:r>
        <w:rPr>
          <w:rFonts w:ascii="Arial" w:cs="Arial" w:eastAsia="Arial" w:hAnsi="Arial"/>
          <w:color w:val="1A1A1A"/>
          <w:sz w:val="22"/>
          <w:szCs w:val="22"/>
        </w:rPr>
        <w:t xml:space="preserve">Drive efficiency is declining despite improving records. Scoring drive percentage dropped from 47.5% in 2023 to 41.4% in 2024, and empty drive rate has risen. Sustaining the win trend will require reversing this trajectory.</w:t>
      </w:r>
    </w:p>
    <w:p>
      <w:pPr>
        <w:pStyle w:val="ListParagraph"/>
        <w:numPr>
          <w:ilvl w:val="0"/>
          <w:numId w:val="2"/>
        </w:numPr>
        <w:spacing w:before="40" w:after="40"/>
      </w:pPr>
      <w:r>
        <w:rPr>
          <w:rFonts w:ascii="Arial" w:cs="Arial" w:eastAsia="Arial" w:hAnsi="Arial"/>
          <w:color w:val="1A1A1A"/>
          <w:sz w:val="22"/>
          <w:szCs w:val="22"/>
        </w:rPr>
        <w:t xml:space="preserve">UF is a middle-tier SEC program offensively in 2024, with total yards and 3rd-down efficiency near conference average. The data suggests the gap to top-tier programs is closable, particularly through investment in the rushing attack.</w:t>
      </w:r>
    </w:p>
    <w:p>
      <w:pPr>
        <w:spacing w:before="200"/>
      </w:pPr>
      <w:r>
        <w:t xml:space="preserve"/>
      </w:r>
    </w:p>
    <w:p>
      <w:pPr>
        <w:jc w:val="center"/>
      </w:pPr>
      <w:r>
        <w:rPr>
          <w:rFonts w:ascii="Arial" w:cs="Arial" w:eastAsia="Arial" w:hAnsi="Arial"/>
          <w:i/>
          <w:iCs/>
          <w:color w:val="555555"/>
          <w:sz w:val="18"/>
          <w:szCs w:val="18"/>
        </w:rPr>
        <w:t xml:space="preserve">Haeyong Chun  |  github.com/haeyong520  |  chunhaey@msu.edu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8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2026-03-10T19:02:44.115Z</dcterms:created>
  <dcterms:modified xsi:type="dcterms:W3CDTF">2026-03-10T19:02:44.116Z</dcterms:modified>
</cp:coreProperties>
</file>

<file path=docProps/custom.xml><?xml version="1.0" encoding="utf-8"?>
<Properties xmlns="http://schemas.openxmlformats.org/officeDocument/2006/custom-properties" xmlns:vt="http://schemas.openxmlformats.org/officeDocument/2006/docPropsVTypes"/>
</file>