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60"/>
      </w:pPr>
      <w:r>
        <w:rPr>
          <w:rFonts w:ascii="Calibri" w:hAnsi="Calibri"/>
          <w:b/>
          <w:color w:val="2E74B5"/>
          <w:sz w:val="20"/>
        </w:rPr>
        <w:t>DEPARTMENT OF COMPUTER SCIENCE | UPDATED COURSE OUTLINE</w:t>
      </w:r>
    </w:p>
    <w:p>
      <w:pPr>
        <w:pStyle w:val="Title"/>
        <w:spacing w:after="120"/>
      </w:pPr>
      <w:r>
        <w:t>Deep Learning</w:t>
      </w:r>
    </w:p>
    <w:p>
      <w:pPr>
        <w:spacing w:after="640"/>
      </w:pPr>
      <w:r>
        <w:rPr>
          <w:rFonts w:ascii="Calibri" w:hAnsi="Calibri"/>
          <w:color w:val="536273"/>
          <w:sz w:val="30"/>
        </w:rPr>
        <w:t>A coherent, practice-led progression from neural foundations to responsible deployment</w:t>
      </w:r>
    </w:p>
    <w:tbl>
      <w:tblPr>
        <w:tblW w:type="dxa" w:w="9648"/>
        <w:jc w:val="center"/>
        <w:tblLayout w:type="fixed"/>
        <w:tblLook w:firstColumn="1" w:firstRow="1" w:lastColumn="0" w:lastRow="0" w:noHBand="0" w:noVBand="1" w:val="04A0"/>
      </w:tblPr>
      <w:tblGrid>
        <w:gridCol w:w="9648"/>
      </w:tblGrid>
      <w:tr>
        <w:trPr>
          <w:cantSplit/>
          <w:trHeight w:val="86" w:hRule="exact"/>
        </w:trPr>
        <w:tc>
          <w:tcPr>
            <w:tcW w:type="dxa" w:w="9648"/>
            <w:vAlign w:val="center"/>
            <w:tcMar>
              <w:top w:w="80" w:type="dxa"/>
              <w:start w:w="120" w:type="dxa"/>
              <w:bottom w:w="80" w:type="dxa"/>
              <w:end w:w="120" w:type="dxa"/>
            </w:tcMar>
            <w:shd w:fill="2E74B5"/>
          </w:tcPr>
          <w:p>
            <w:pPr>
              <w:spacing w:after="0" w:line="252" w:lineRule="auto"/>
              <w:jc w:val="left"/>
            </w:pPr>
            <w:r/>
            <w:r>
              <w:rPr>
                <w:rFonts w:ascii="Calibri" w:hAnsi="Calibri"/>
                <w:b w:val="0"/>
                <w:color w:val="17212B"/>
                <w:sz w:val="2"/>
              </w:rPr>
            </w:r>
          </w:p>
        </w:tc>
      </w:tr>
    </w:tbl>
    <w:p>
      <w:pPr>
        <w:spacing w:after="40"/>
      </w:pPr>
    </w:p>
    <w:tbl>
      <w:tblPr>
        <w:tblW w:type="dxa" w:w="9647"/>
        <w:jc w:val="center"/>
        <w:tblLayout w:type="fixed"/>
        <w:tblLook w:firstColumn="1" w:firstRow="1" w:lastColumn="0" w:lastRow="0" w:noHBand="0" w:noVBand="1" w:val="04A0"/>
        <w:tblBorders>
          <w:top w:val="single" w:sz="4" w:color="E8F1F8"/>
          <w:left w:val="single" w:sz="4" w:color="E8F1F8"/>
          <w:bottom w:val="single" w:sz="4" w:color="E8F1F8"/>
          <w:right w:val="single" w:sz="4" w:color="E8F1F8"/>
          <w:insideH w:val="single" w:sz="4" w:color="E8F1F8"/>
          <w:insideV w:val="single" w:sz="4" w:color="E8F1F8"/>
        </w:tblBorders>
      </w:tblPr>
      <w:tblGrid>
        <w:gridCol w:w="4824"/>
        <w:gridCol w:w="4824"/>
      </w:tblGrid>
      <w:tr>
        <w:trPr>
          <w:cantSplit/>
        </w:trPr>
        <w:tc>
          <w:tcPr>
            <w:tcW w:type="dxa" w:w="2304"/>
            <w:vAlign w:val="center"/>
            <w:tcMar>
              <w:top w:w="80" w:type="dxa"/>
              <w:start w:w="120" w:type="dxa"/>
              <w:bottom w:w="80" w:type="dxa"/>
              <w:end w:w="120" w:type="dxa"/>
            </w:tcMar>
            <w:shd w:fill="E8F1F8"/>
          </w:tcPr>
          <w:p>
            <w:pPr>
              <w:spacing w:after="0" w:line="252" w:lineRule="auto"/>
              <w:jc w:val="left"/>
            </w:pPr>
            <w:r/>
            <w:r>
              <w:rPr>
                <w:rFonts w:ascii="Calibri" w:hAnsi="Calibri"/>
                <w:b/>
                <w:color w:val="173B57"/>
                <w:sz w:val="16"/>
              </w:rPr>
              <w:t>COURSE CODE</w:t>
            </w:r>
          </w:p>
        </w:tc>
        <w:tc>
          <w:tcPr>
            <w:tcW w:type="dxa" w:w="7343"/>
            <w:vAlign w:val="center"/>
            <w:tcMar>
              <w:top w:w="80" w:type="dxa"/>
              <w:start w:w="120" w:type="dxa"/>
              <w:bottom w:w="80" w:type="dxa"/>
              <w:end w:w="120" w:type="dxa"/>
            </w:tcMar>
          </w:tcPr>
          <w:p>
            <w:pPr>
              <w:spacing w:after="0" w:line="252" w:lineRule="auto"/>
              <w:jc w:val="left"/>
            </w:pPr>
            <w:r/>
            <w:r>
              <w:rPr>
                <w:rFonts w:ascii="Calibri" w:hAnsi="Calibri"/>
                <w:b w:val="0"/>
                <w:color w:val="17212B"/>
                <w:sz w:val="20"/>
              </w:rPr>
              <w:t>AI-XXX-XXXL (departmental placeholder retained)</w:t>
            </w:r>
          </w:p>
        </w:tc>
      </w:tr>
      <w:tr>
        <w:trPr>
          <w:cantSplit/>
        </w:trPr>
        <w:tc>
          <w:tcPr>
            <w:tcW w:type="dxa" w:w="2304"/>
            <w:vAlign w:val="center"/>
            <w:tcMar>
              <w:top w:w="80" w:type="dxa"/>
              <w:start w:w="120" w:type="dxa"/>
              <w:bottom w:w="80" w:type="dxa"/>
              <w:end w:w="120" w:type="dxa"/>
            </w:tcMar>
            <w:shd w:fill="E8F1F8"/>
          </w:tcPr>
          <w:p>
            <w:pPr>
              <w:spacing w:after="0" w:line="252" w:lineRule="auto"/>
              <w:jc w:val="left"/>
            </w:pPr>
            <w:r/>
            <w:r>
              <w:rPr>
                <w:rFonts w:ascii="Calibri" w:hAnsi="Calibri"/>
                <w:b/>
                <w:color w:val="173B57"/>
                <w:sz w:val="16"/>
              </w:rPr>
              <w:t>CREDIT HOURS</w:t>
            </w:r>
          </w:p>
        </w:tc>
        <w:tc>
          <w:tcPr>
            <w:tcW w:type="dxa" w:w="7343"/>
            <w:vAlign w:val="center"/>
            <w:tcMar>
              <w:top w:w="80" w:type="dxa"/>
              <w:start w:w="120" w:type="dxa"/>
              <w:bottom w:w="80" w:type="dxa"/>
              <w:end w:w="120" w:type="dxa"/>
            </w:tcMar>
          </w:tcPr>
          <w:p>
            <w:pPr>
              <w:spacing w:after="0" w:line="252" w:lineRule="auto"/>
              <w:jc w:val="left"/>
            </w:pPr>
            <w:r/>
            <w:r>
              <w:rPr>
                <w:rFonts w:ascii="Calibri" w:hAnsi="Calibri"/>
                <w:b w:val="0"/>
                <w:color w:val="17212B"/>
                <w:sz w:val="20"/>
              </w:rPr>
              <w:t>3 (2+1)</w:t>
            </w:r>
          </w:p>
        </w:tc>
      </w:tr>
      <w:tr>
        <w:trPr>
          <w:cantSplit/>
        </w:trPr>
        <w:tc>
          <w:tcPr>
            <w:tcW w:type="dxa" w:w="2304"/>
            <w:vAlign w:val="center"/>
            <w:tcMar>
              <w:top w:w="80" w:type="dxa"/>
              <w:start w:w="120" w:type="dxa"/>
              <w:bottom w:w="80" w:type="dxa"/>
              <w:end w:w="120" w:type="dxa"/>
            </w:tcMar>
            <w:shd w:fill="E8F1F8"/>
          </w:tcPr>
          <w:p>
            <w:pPr>
              <w:spacing w:after="0" w:line="252" w:lineRule="auto"/>
              <w:jc w:val="left"/>
            </w:pPr>
            <w:r/>
            <w:r>
              <w:rPr>
                <w:rFonts w:ascii="Calibri" w:hAnsi="Calibri"/>
                <w:b/>
                <w:color w:val="173B57"/>
                <w:sz w:val="16"/>
              </w:rPr>
              <w:t>WEEKLY CONTACT</w:t>
            </w:r>
          </w:p>
        </w:tc>
        <w:tc>
          <w:tcPr>
            <w:tcW w:type="dxa" w:w="7343"/>
            <w:vAlign w:val="center"/>
            <w:tcMar>
              <w:top w:w="80" w:type="dxa"/>
              <w:start w:w="120" w:type="dxa"/>
              <w:bottom w:w="80" w:type="dxa"/>
              <w:end w:w="120" w:type="dxa"/>
            </w:tcMar>
          </w:tcPr>
          <w:p>
            <w:pPr>
              <w:spacing w:after="0" w:line="252" w:lineRule="auto"/>
              <w:jc w:val="left"/>
            </w:pPr>
            <w:r/>
            <w:r>
              <w:rPr>
                <w:rFonts w:ascii="Calibri" w:hAnsi="Calibri"/>
                <w:b w:val="0"/>
                <w:color w:val="17212B"/>
                <w:sz w:val="20"/>
              </w:rPr>
              <w:t>2 lecture + 3 lab hours per week</w:t>
            </w:r>
          </w:p>
        </w:tc>
      </w:tr>
      <w:tr>
        <w:trPr>
          <w:cantSplit/>
        </w:trPr>
        <w:tc>
          <w:tcPr>
            <w:tcW w:type="dxa" w:w="2304"/>
            <w:vAlign w:val="center"/>
            <w:tcMar>
              <w:top w:w="80" w:type="dxa"/>
              <w:start w:w="120" w:type="dxa"/>
              <w:bottom w:w="80" w:type="dxa"/>
              <w:end w:w="120" w:type="dxa"/>
            </w:tcMar>
            <w:shd w:fill="E8F1F8"/>
          </w:tcPr>
          <w:p>
            <w:pPr>
              <w:spacing w:after="0" w:line="252" w:lineRule="auto"/>
              <w:jc w:val="left"/>
            </w:pPr>
            <w:r/>
            <w:r>
              <w:rPr>
                <w:rFonts w:ascii="Calibri" w:hAnsi="Calibri"/>
                <w:b/>
                <w:color w:val="173B57"/>
                <w:sz w:val="16"/>
              </w:rPr>
              <w:t>PRIMARY ENVIRONMENT</w:t>
            </w:r>
          </w:p>
        </w:tc>
        <w:tc>
          <w:tcPr>
            <w:tcW w:type="dxa" w:w="7343"/>
            <w:vAlign w:val="center"/>
            <w:tcMar>
              <w:top w:w="80" w:type="dxa"/>
              <w:start w:w="120" w:type="dxa"/>
              <w:bottom w:w="80" w:type="dxa"/>
              <w:end w:w="120" w:type="dxa"/>
            </w:tcMar>
          </w:tcPr>
          <w:p>
            <w:pPr>
              <w:spacing w:after="0" w:line="252" w:lineRule="auto"/>
              <w:jc w:val="left"/>
            </w:pPr>
            <w:r/>
            <w:r>
              <w:rPr>
                <w:rFonts w:ascii="Calibri" w:hAnsi="Calibri"/>
                <w:b w:val="0"/>
                <w:color w:val="17212B"/>
                <w:sz w:val="20"/>
              </w:rPr>
              <w:t>Google Colab with PyTorch</w:t>
            </w:r>
          </w:p>
        </w:tc>
      </w:tr>
      <w:tr>
        <w:trPr>
          <w:cantSplit/>
        </w:trPr>
        <w:tc>
          <w:tcPr>
            <w:tcW w:type="dxa" w:w="2304"/>
            <w:vAlign w:val="center"/>
            <w:tcMar>
              <w:top w:w="80" w:type="dxa"/>
              <w:start w:w="120" w:type="dxa"/>
              <w:bottom w:w="80" w:type="dxa"/>
              <w:end w:w="120" w:type="dxa"/>
            </w:tcMar>
            <w:shd w:fill="E8F1F8"/>
          </w:tcPr>
          <w:p>
            <w:pPr>
              <w:spacing w:after="0" w:line="252" w:lineRule="auto"/>
              <w:jc w:val="left"/>
            </w:pPr>
            <w:r/>
            <w:r>
              <w:rPr>
                <w:rFonts w:ascii="Calibri" w:hAnsi="Calibri"/>
                <w:b/>
                <w:color w:val="173B57"/>
                <w:sz w:val="16"/>
              </w:rPr>
              <w:t>TEACHING PATTERN</w:t>
            </w:r>
          </w:p>
        </w:tc>
        <w:tc>
          <w:tcPr>
            <w:tcW w:type="dxa" w:w="7343"/>
            <w:vAlign w:val="center"/>
            <w:tcMar>
              <w:top w:w="80" w:type="dxa"/>
              <w:start w:w="120" w:type="dxa"/>
              <w:bottom w:w="80" w:type="dxa"/>
              <w:end w:w="120" w:type="dxa"/>
            </w:tcMar>
          </w:tcPr>
          <w:p>
            <w:pPr>
              <w:spacing w:after="0" w:line="252" w:lineRule="auto"/>
              <w:jc w:val="left"/>
            </w:pPr>
            <w:r/>
            <w:r>
              <w:rPr>
                <w:rFonts w:ascii="Calibri" w:hAnsi="Calibri"/>
                <w:b w:val="0"/>
                <w:color w:val="17212B"/>
                <w:sz w:val="20"/>
              </w:rPr>
              <w:t>16 lectures x 2 hours; 16 laboratories x 3 hours</w:t>
            </w:r>
          </w:p>
        </w:tc>
      </w:tr>
    </w:tbl>
    <w:p>
      <w:pPr>
        <w:spacing w:after="80"/>
      </w:pPr>
    </w:p>
    <w:tbl>
      <w:tblPr>
        <w:tblW w:type="dxa" w:w="9648"/>
        <w:jc w:val="center"/>
        <w:tblLayout w:type="fixed"/>
        <w:tblLook w:firstColumn="1" w:firstRow="1" w:lastColumn="0" w:lastRow="0" w:noHBand="0" w:noVBand="1" w:val="04A0"/>
        <w:tblBorders>
          <w:top w:val="single" w:sz="8" w:color="2E74B5"/>
          <w:left w:val="single" w:sz="8" w:color="2E74B5"/>
          <w:bottom w:val="single" w:sz="8" w:color="2E74B5"/>
          <w:right w:val="single" w:sz="8" w:color="2E74B5"/>
          <w:insideH w:val="single" w:sz="8" w:color="2E74B5"/>
          <w:insideV w:val="single" w:sz="8" w:color="2E74B5"/>
        </w:tblBorders>
      </w:tblPr>
      <w:tblGrid>
        <w:gridCol w:w="9648"/>
      </w:tblGrid>
      <w:tr>
        <w:trPr>
          <w:cantSplit/>
        </w:trPr>
        <w:tc>
          <w:tcPr>
            <w:tcW w:type="dxa" w:w="9648"/>
            <w:vAlign w:val="center"/>
            <w:tcMar>
              <w:top w:w="80" w:type="dxa"/>
              <w:start w:w="120" w:type="dxa"/>
              <w:bottom w:w="80" w:type="dxa"/>
              <w:end w:w="120" w:type="dxa"/>
            </w:tcMar>
            <w:shd w:fill="E8F1F8"/>
          </w:tcPr>
          <w:p>
            <w:pPr>
              <w:spacing w:after="0" w:line="252" w:lineRule="auto"/>
              <w:jc w:val="left"/>
            </w:pPr>
            <w:r/>
            <w:r>
              <w:rPr>
                <w:rFonts w:ascii="Calibri" w:hAnsi="Calibri"/>
                <w:b w:val="0"/>
                <w:color w:val="173B57"/>
                <w:sz w:val="20"/>
              </w:rPr>
              <w:t>This revision preserves the approved credit/contact structure while strengthening prerequisites, sequencing, assessment evidence, book references, reproducibility, responsible AI, and deployment practice.</w:t>
            </w:r>
          </w:p>
        </w:tc>
      </w:tr>
    </w:tbl>
    <w:p>
      <w:r>
        <w:br w:type="page"/>
      </w:r>
    </w:p>
    <w:p>
      <w:pPr>
        <w:pStyle w:val="Heading1"/>
      </w:pPr>
      <w:r>
        <w:t>1. Course identity</w:t>
      </w:r>
    </w:p>
    <w:tbl>
      <w:tblPr>
        <w:tblW w:type="dxa" w:w="9648"/>
        <w:jc w:val="center"/>
        <w:tblLayout w:type="fixed"/>
        <w:tblLook w:firstColumn="1" w:firstRow="1" w:lastColumn="0" w:lastRow="0" w:noHBand="0" w:noVBand="1" w:val="04A0"/>
        <w:tblBorders>
          <w:top w:val="single" w:sz="6" w:color="D8E0E7"/>
          <w:left w:val="single" w:sz="6" w:color="D8E0E7"/>
          <w:bottom w:val="single" w:sz="6" w:color="D8E0E7"/>
          <w:right w:val="single" w:sz="6" w:color="D8E0E7"/>
          <w:insideH w:val="single" w:sz="6" w:color="D8E0E7"/>
          <w:insideV w:val="single" w:sz="6" w:color="D8E0E7"/>
        </w:tblBorders>
      </w:tblPr>
      <w:tblGrid>
        <w:gridCol w:w="4824"/>
        <w:gridCol w:w="4824"/>
      </w:tblGrid>
      <w:tr>
        <w:trPr>
          <w:cantSplit/>
        </w:trPr>
        <w:tc>
          <w:tcPr>
            <w:tcW w:type="dxa" w:w="2448"/>
            <w:vAlign w:val="center"/>
            <w:tcMar>
              <w:top w:w="80" w:type="dxa"/>
              <w:start w:w="120" w:type="dxa"/>
              <w:bottom w:w="80" w:type="dxa"/>
              <w:end w:w="120" w:type="dxa"/>
            </w:tcMar>
            <w:shd w:fill="E8F1F8"/>
          </w:tcPr>
          <w:p>
            <w:pPr>
              <w:spacing w:after="0" w:line="252" w:lineRule="auto"/>
              <w:jc w:val="left"/>
            </w:pPr>
            <w:r/>
            <w:r>
              <w:rPr>
                <w:rFonts w:ascii="Calibri" w:hAnsi="Calibri"/>
                <w:b/>
                <w:color w:val="173B57"/>
                <w:sz w:val="18"/>
              </w:rPr>
              <w:t>Course title</w:t>
            </w:r>
          </w:p>
        </w:tc>
        <w:tc>
          <w:tcPr>
            <w:tcW w:type="dxa" w:w="7200"/>
            <w:vAlign w:val="center"/>
            <w:tcMar>
              <w:top w:w="80" w:type="dxa"/>
              <w:start w:w="120" w:type="dxa"/>
              <w:bottom w:w="80" w:type="dxa"/>
              <w:end w:w="120" w:type="dxa"/>
            </w:tcMar>
          </w:tcPr>
          <w:p>
            <w:pPr>
              <w:spacing w:after="0" w:line="252" w:lineRule="auto"/>
              <w:jc w:val="left"/>
            </w:pPr>
            <w:r/>
            <w:r>
              <w:rPr>
                <w:rFonts w:ascii="Calibri" w:hAnsi="Calibri"/>
                <w:b w:val="0"/>
                <w:color w:val="17212B"/>
                <w:sz w:val="19"/>
              </w:rPr>
              <w:t>Deep Learning</w:t>
            </w:r>
          </w:p>
        </w:tc>
      </w:tr>
      <w:tr>
        <w:trPr>
          <w:cantSplit/>
        </w:trPr>
        <w:tc>
          <w:tcPr>
            <w:tcW w:type="dxa" w:w="2448"/>
            <w:vAlign w:val="center"/>
            <w:tcMar>
              <w:top w:w="80" w:type="dxa"/>
              <w:start w:w="120" w:type="dxa"/>
              <w:bottom w:w="80" w:type="dxa"/>
              <w:end w:w="120" w:type="dxa"/>
            </w:tcMar>
            <w:shd w:fill="E8F1F8"/>
          </w:tcPr>
          <w:p>
            <w:pPr>
              <w:spacing w:after="0" w:line="252" w:lineRule="auto"/>
              <w:jc w:val="left"/>
            </w:pPr>
            <w:r/>
            <w:r>
              <w:rPr>
                <w:rFonts w:ascii="Calibri" w:hAnsi="Calibri"/>
                <w:b/>
                <w:color w:val="173B57"/>
                <w:sz w:val="18"/>
              </w:rPr>
              <w:t>Course code</w:t>
            </w:r>
          </w:p>
        </w:tc>
        <w:tc>
          <w:tcPr>
            <w:tcW w:type="dxa" w:w="7200"/>
            <w:vAlign w:val="center"/>
            <w:tcMar>
              <w:top w:w="80" w:type="dxa"/>
              <w:start w:w="120" w:type="dxa"/>
              <w:bottom w:w="80" w:type="dxa"/>
              <w:end w:w="120" w:type="dxa"/>
            </w:tcMar>
          </w:tcPr>
          <w:p>
            <w:pPr>
              <w:spacing w:after="0" w:line="252" w:lineRule="auto"/>
              <w:jc w:val="left"/>
            </w:pPr>
            <w:r/>
            <w:r>
              <w:rPr>
                <w:rFonts w:ascii="Calibri" w:hAnsi="Calibri"/>
                <w:b w:val="0"/>
                <w:color w:val="17212B"/>
                <w:sz w:val="19"/>
              </w:rPr>
              <w:t>AI-XXX-XXXL</w:t>
            </w:r>
          </w:p>
        </w:tc>
      </w:tr>
      <w:tr>
        <w:trPr>
          <w:cantSplit/>
        </w:trPr>
        <w:tc>
          <w:tcPr>
            <w:tcW w:type="dxa" w:w="2448"/>
            <w:vAlign w:val="center"/>
            <w:tcMar>
              <w:top w:w="80" w:type="dxa"/>
              <w:start w:w="120" w:type="dxa"/>
              <w:bottom w:w="80" w:type="dxa"/>
              <w:end w:w="120" w:type="dxa"/>
            </w:tcMar>
            <w:shd w:fill="E8F1F8"/>
          </w:tcPr>
          <w:p>
            <w:pPr>
              <w:spacing w:after="0" w:line="252" w:lineRule="auto"/>
              <w:jc w:val="left"/>
            </w:pPr>
            <w:r/>
            <w:r>
              <w:rPr>
                <w:rFonts w:ascii="Calibri" w:hAnsi="Calibri"/>
                <w:b/>
                <w:color w:val="173B57"/>
                <w:sz w:val="18"/>
              </w:rPr>
              <w:t>Credit hours</w:t>
            </w:r>
          </w:p>
        </w:tc>
        <w:tc>
          <w:tcPr>
            <w:tcW w:type="dxa" w:w="7200"/>
            <w:vAlign w:val="center"/>
            <w:tcMar>
              <w:top w:w="80" w:type="dxa"/>
              <w:start w:w="120" w:type="dxa"/>
              <w:bottom w:w="80" w:type="dxa"/>
              <w:end w:w="120" w:type="dxa"/>
            </w:tcMar>
          </w:tcPr>
          <w:p>
            <w:pPr>
              <w:spacing w:after="0" w:line="252" w:lineRule="auto"/>
              <w:jc w:val="left"/>
            </w:pPr>
            <w:r/>
            <w:r>
              <w:rPr>
                <w:rFonts w:ascii="Calibri" w:hAnsi="Calibri"/>
                <w:b w:val="0"/>
                <w:color w:val="17212B"/>
                <w:sz w:val="19"/>
              </w:rPr>
              <w:t>3 (2+1)</w:t>
            </w:r>
          </w:p>
        </w:tc>
      </w:tr>
      <w:tr>
        <w:trPr>
          <w:cantSplit/>
        </w:trPr>
        <w:tc>
          <w:tcPr>
            <w:tcW w:type="dxa" w:w="2448"/>
            <w:vAlign w:val="center"/>
            <w:tcMar>
              <w:top w:w="80" w:type="dxa"/>
              <w:start w:w="120" w:type="dxa"/>
              <w:bottom w:w="80" w:type="dxa"/>
              <w:end w:w="120" w:type="dxa"/>
            </w:tcMar>
            <w:shd w:fill="E8F1F8"/>
          </w:tcPr>
          <w:p>
            <w:pPr>
              <w:spacing w:after="0" w:line="252" w:lineRule="auto"/>
              <w:jc w:val="left"/>
            </w:pPr>
            <w:r/>
            <w:r>
              <w:rPr>
                <w:rFonts w:ascii="Calibri" w:hAnsi="Calibri"/>
                <w:b/>
                <w:color w:val="173B57"/>
                <w:sz w:val="18"/>
              </w:rPr>
              <w:t>Contact hours</w:t>
            </w:r>
          </w:p>
        </w:tc>
        <w:tc>
          <w:tcPr>
            <w:tcW w:type="dxa" w:w="7200"/>
            <w:vAlign w:val="center"/>
            <w:tcMar>
              <w:top w:w="80" w:type="dxa"/>
              <w:start w:w="120" w:type="dxa"/>
              <w:bottom w:w="80" w:type="dxa"/>
              <w:end w:w="120" w:type="dxa"/>
            </w:tcMar>
          </w:tcPr>
          <w:p>
            <w:pPr>
              <w:spacing w:after="0" w:line="252" w:lineRule="auto"/>
              <w:jc w:val="left"/>
            </w:pPr>
            <w:r/>
            <w:r>
              <w:rPr>
                <w:rFonts w:ascii="Calibri" w:hAnsi="Calibri"/>
                <w:b w:val="0"/>
                <w:color w:val="17212B"/>
                <w:sz w:val="19"/>
              </w:rPr>
              <w:t>2 lecture + 3 lab hours per week</w:t>
            </w:r>
          </w:p>
        </w:tc>
      </w:tr>
      <w:tr>
        <w:trPr>
          <w:cantSplit/>
        </w:trPr>
        <w:tc>
          <w:tcPr>
            <w:tcW w:type="dxa" w:w="2448"/>
            <w:vAlign w:val="center"/>
            <w:tcMar>
              <w:top w:w="80" w:type="dxa"/>
              <w:start w:w="120" w:type="dxa"/>
              <w:bottom w:w="80" w:type="dxa"/>
              <w:end w:w="120" w:type="dxa"/>
            </w:tcMar>
            <w:shd w:fill="E8F1F8"/>
          </w:tcPr>
          <w:p>
            <w:pPr>
              <w:spacing w:after="0" w:line="252" w:lineRule="auto"/>
              <w:jc w:val="left"/>
            </w:pPr>
            <w:r/>
            <w:r>
              <w:rPr>
                <w:rFonts w:ascii="Calibri" w:hAnsi="Calibri"/>
                <w:b/>
                <w:color w:val="173B57"/>
                <w:sz w:val="18"/>
              </w:rPr>
              <w:t>Prerequisites</w:t>
            </w:r>
          </w:p>
        </w:tc>
        <w:tc>
          <w:tcPr>
            <w:tcW w:type="dxa" w:w="7200"/>
            <w:vAlign w:val="center"/>
            <w:tcMar>
              <w:top w:w="80" w:type="dxa"/>
              <w:start w:w="120" w:type="dxa"/>
              <w:bottom w:w="80" w:type="dxa"/>
              <w:end w:w="120" w:type="dxa"/>
            </w:tcMar>
          </w:tcPr>
          <w:p>
            <w:pPr>
              <w:spacing w:after="0" w:line="252" w:lineRule="auto"/>
              <w:jc w:val="left"/>
            </w:pPr>
            <w:r/>
            <w:r>
              <w:rPr>
                <w:rFonts w:ascii="Calibri" w:hAnsi="Calibri"/>
                <w:b w:val="0"/>
                <w:color w:val="17212B"/>
                <w:sz w:val="19"/>
              </w:rPr>
              <w:t>Machine Learning (or equivalent), Python programming, and basic linear algebra, calculus, probability, and statistics</w:t>
            </w:r>
          </w:p>
        </w:tc>
      </w:tr>
      <w:tr>
        <w:trPr>
          <w:cantSplit/>
        </w:trPr>
        <w:tc>
          <w:tcPr>
            <w:tcW w:type="dxa" w:w="2448"/>
            <w:vAlign w:val="center"/>
            <w:tcMar>
              <w:top w:w="80" w:type="dxa"/>
              <w:start w:w="120" w:type="dxa"/>
              <w:bottom w:w="80" w:type="dxa"/>
              <w:end w:w="120" w:type="dxa"/>
            </w:tcMar>
            <w:shd w:fill="E8F1F8"/>
          </w:tcPr>
          <w:p>
            <w:pPr>
              <w:spacing w:after="0" w:line="252" w:lineRule="auto"/>
              <w:jc w:val="left"/>
            </w:pPr>
            <w:r/>
            <w:r>
              <w:rPr>
                <w:rFonts w:ascii="Calibri" w:hAnsi="Calibri"/>
                <w:b/>
                <w:color w:val="173B57"/>
                <w:sz w:val="18"/>
              </w:rPr>
              <w:t>Environment</w:t>
            </w:r>
          </w:p>
        </w:tc>
        <w:tc>
          <w:tcPr>
            <w:tcW w:type="dxa" w:w="7200"/>
            <w:vAlign w:val="center"/>
            <w:tcMar>
              <w:top w:w="80" w:type="dxa"/>
              <w:start w:w="120" w:type="dxa"/>
              <w:bottom w:w="80" w:type="dxa"/>
              <w:end w:w="120" w:type="dxa"/>
            </w:tcMar>
          </w:tcPr>
          <w:p>
            <w:pPr>
              <w:spacing w:after="0" w:line="252" w:lineRule="auto"/>
              <w:jc w:val="left"/>
            </w:pPr>
            <w:r/>
            <w:r>
              <w:rPr>
                <w:rFonts w:ascii="Calibri" w:hAnsi="Calibri"/>
                <w:b w:val="0"/>
                <w:color w:val="17212B"/>
                <w:sz w:val="19"/>
              </w:rPr>
              <w:t>Google Colab with PyTorch</w:t>
            </w:r>
          </w:p>
        </w:tc>
      </w:tr>
    </w:tbl>
    <w:tbl>
      <w:tblPr>
        <w:tblW w:type="dxa" w:w="9648"/>
        <w:jc w:val="center"/>
        <w:tblLayout w:type="fixed"/>
        <w:tblLook w:firstColumn="1" w:firstRow="1" w:lastColumn="0" w:lastRow="0" w:noHBand="0" w:noVBand="1" w:val="04A0"/>
        <w:tblBorders>
          <w:top w:val="single" w:sz="2" w:color="F3F5F7"/>
          <w:left w:val="single" w:sz="2" w:color="F3F5F7"/>
          <w:bottom w:val="single" w:sz="2" w:color="F3F5F7"/>
          <w:right w:val="single" w:sz="2" w:color="F3F5F7"/>
          <w:insideH w:val="single" w:sz="2" w:color="F3F5F7"/>
          <w:insideV w:val="single" w:sz="2" w:color="F3F5F7"/>
        </w:tblBorders>
      </w:tblPr>
      <w:tblGrid>
        <w:gridCol w:w="4824"/>
        <w:gridCol w:w="4824"/>
      </w:tblGrid>
      <w:tr>
        <w:trPr>
          <w:cantSplit/>
        </w:trPr>
        <w:tc>
          <w:tcPr>
            <w:tcW w:type="dxa" w:w="187"/>
            <w:vAlign w:val="center"/>
            <w:tcMar>
              <w:top w:w="80" w:type="dxa"/>
              <w:start w:w="120" w:type="dxa"/>
              <w:bottom w:w="80" w:type="dxa"/>
              <w:end w:w="120" w:type="dxa"/>
            </w:tcMar>
            <w:shd w:fill="C96B20"/>
          </w:tcPr>
          <w:p>
            <w:r/>
          </w:p>
        </w:tc>
        <w:tc>
          <w:tcPr>
            <w:tcW w:type="dxa" w:w="9460"/>
            <w:vAlign w:val="center"/>
            <w:tcMar>
              <w:top w:w="80" w:type="dxa"/>
              <w:start w:w="120" w:type="dxa"/>
              <w:bottom w:w="80" w:type="dxa"/>
              <w:end w:w="120" w:type="dxa"/>
            </w:tcMar>
            <w:shd w:fill="F3F5F7"/>
          </w:tcPr>
          <w:p>
            <w:pPr>
              <w:spacing w:after="40"/>
            </w:pPr>
            <w:r/>
            <w:r>
              <w:rPr>
                <w:b/>
                <w:color w:val="173B57"/>
                <w:sz w:val="20"/>
              </w:rPr>
              <w:t>Administrative action</w:t>
            </w:r>
          </w:p>
          <w:p>
            <w:pPr>
              <w:spacing w:after="0" w:line="259" w:lineRule="auto"/>
            </w:pPr>
            <w:r>
              <w:rPr>
                <w:sz w:val="19"/>
              </w:rPr>
              <w:t>Retained from the source outline; the department should replace this placeholder with the approved code.</w:t>
            </w:r>
          </w:p>
        </w:tc>
      </w:tr>
    </w:tbl>
    <w:p>
      <w:pPr>
        <w:pStyle w:val="Heading1"/>
      </w:pPr>
      <w:r>
        <w:t>2. Course description</w:t>
      </w:r>
    </w:p>
    <w:p>
      <w:r>
        <w:t>Deep Learning develops the mathematical and computational foundations of modern neural networks and their responsible application. Students implement, train, regularize, evaluate, explain, and deploy models using PyTorch, covering multilayer networks, convolutional networks, sequence models, transformers, generative models, and graph neural networks. Emphasis is placed on reproducibility, error analysis, computational constraints, fairness, privacy, safety, and environmental impact.</w:t>
      </w:r>
    </w:p>
    <w:p>
      <w:pPr>
        <w:pStyle w:val="Heading1"/>
      </w:pPr>
      <w:r>
        <w:t>3. Revision priorities</w:t>
      </w:r>
    </w:p>
    <w:p>
      <w:pPr>
        <w:pStyle w:val="ListBullet"/>
      </w:pPr>
      <w:r>
        <w:t>Sequence concepts from computation and optimization to vision, sequences, transformers, generative modeling, graphs, responsibility, and production.</w:t>
      </w:r>
    </w:p>
    <w:p>
      <w:pPr>
        <w:pStyle w:val="ListBullet"/>
      </w:pPr>
      <w:r>
        <w:t>Use PyTorch in Google Colab as the common implementation environment for all weekly laboratories.</w:t>
      </w:r>
    </w:p>
    <w:p>
      <w:pPr>
        <w:pStyle w:val="ListBullet"/>
      </w:pPr>
      <w:r>
        <w:t>Treat the midterm as a separate assessment after Week 8 so that all 16 weeks remain instructionally complete.</w:t>
      </w:r>
    </w:p>
    <w:p>
      <w:pPr>
        <w:pStyle w:val="ListBullet"/>
      </w:pPr>
      <w:r>
        <w:t>Make evidence visible through predictions, assertions, learning curves, error analysis, saved artifacts, model cards, and reproducible settings.</w:t>
      </w:r>
    </w:p>
    <w:p>
      <w:pPr>
        <w:pStyle w:val="ListBullet"/>
      </w:pPr>
      <w:r>
        <w:t>Use books only in the formal reference list; web documentation is intentionally excluded from the bibliography.</w:t>
      </w:r>
    </w:p>
    <w:p>
      <w:pPr>
        <w:pStyle w:val="Heading1"/>
      </w:pPr>
      <w:r>
        <w:t>4. Course learning outcomes</w:t>
      </w:r>
    </w:p>
    <w:tbl>
      <w:tblPr>
        <w:tblW w:type="dxa" w:w="9648"/>
        <w:tblLayout w:type="fixed"/>
        <w:tblLook w:firstColumn="1" w:firstRow="1" w:lastColumn="0" w:lastRow="0" w:noHBand="0" w:noVBand="1" w:val="04A0"/>
        <w:jc w:val="center"/>
        <w:tblBorders>
          <w:top w:val="single" w:sz="6" w:color="D8E0E7"/>
          <w:left w:val="single" w:sz="6" w:color="D8E0E7"/>
          <w:bottom w:val="single" w:sz="6" w:color="D8E0E7"/>
          <w:right w:val="single" w:sz="6" w:color="D8E0E7"/>
          <w:insideH w:val="single" w:sz="6" w:color="D8E0E7"/>
          <w:insideV w:val="single" w:sz="6" w:color="D8E0E7"/>
        </w:tblBorders>
      </w:tblPr>
      <w:tblGrid>
        <w:gridCol w:w="2412"/>
        <w:gridCol w:w="2412"/>
        <w:gridCol w:w="2412"/>
        <w:gridCol w:w="2412"/>
      </w:tblGrid>
      <w:tr>
        <w:trPr>
          <w:cantSplit/>
          <w:tblHeader w:val="true"/>
          <w:cantSplit/>
        </w:trPr>
        <w:tc>
          <w:tcPr>
            <w:tcW w:type="dxa" w:w="936"/>
            <w:vAlign w:val="center"/>
            <w:tcMar>
              <w:top w:w="80" w:type="dxa"/>
              <w:start w:w="120" w:type="dxa"/>
              <w:bottom w:w="80" w:type="dxa"/>
              <w:end w:w="120" w:type="dxa"/>
            </w:tcMar>
            <w:shd w:fill="173B57"/>
          </w:tcPr>
          <w:p>
            <w:pPr>
              <w:spacing w:after="0" w:line="252" w:lineRule="auto"/>
              <w:jc w:val="center"/>
            </w:pPr>
            <w:r/>
            <w:r>
              <w:rPr>
                <w:rFonts w:ascii="Calibri" w:hAnsi="Calibri"/>
                <w:b/>
                <w:color w:val="FFFFFF"/>
                <w:sz w:val="17"/>
              </w:rPr>
              <w:t>CLO</w:t>
            </w:r>
          </w:p>
        </w:tc>
        <w:tc>
          <w:tcPr>
            <w:tcW w:type="dxa" w:w="5688"/>
            <w:vAlign w:val="center"/>
            <w:tcMar>
              <w:top w:w="80" w:type="dxa"/>
              <w:start w:w="120" w:type="dxa"/>
              <w:bottom w:w="80" w:type="dxa"/>
              <w:end w:w="120" w:type="dxa"/>
            </w:tcMar>
            <w:shd w:fill="173B57"/>
          </w:tcPr>
          <w:p>
            <w:pPr>
              <w:spacing w:after="0" w:line="252" w:lineRule="auto"/>
              <w:jc w:val="center"/>
            </w:pPr>
            <w:r/>
            <w:r>
              <w:rPr>
                <w:rFonts w:ascii="Calibri" w:hAnsi="Calibri"/>
                <w:b/>
                <w:color w:val="FFFFFF"/>
                <w:sz w:val="17"/>
              </w:rPr>
              <w:t>Learning outcome</w:t>
            </w:r>
          </w:p>
        </w:tc>
        <w:tc>
          <w:tcPr>
            <w:tcW w:type="dxa" w:w="1512"/>
            <w:vAlign w:val="center"/>
            <w:tcMar>
              <w:top w:w="80" w:type="dxa"/>
              <w:start w:w="120" w:type="dxa"/>
              <w:bottom w:w="80" w:type="dxa"/>
              <w:end w:w="120" w:type="dxa"/>
            </w:tcMar>
            <w:shd w:fill="173B57"/>
          </w:tcPr>
          <w:p>
            <w:pPr>
              <w:spacing w:after="0" w:line="252" w:lineRule="auto"/>
              <w:jc w:val="center"/>
            </w:pPr>
            <w:r/>
            <w:r>
              <w:rPr>
                <w:rFonts w:ascii="Calibri" w:hAnsi="Calibri"/>
                <w:b/>
                <w:color w:val="FFFFFF"/>
                <w:sz w:val="17"/>
              </w:rPr>
              <w:t>Bloom level</w:t>
            </w:r>
          </w:p>
        </w:tc>
        <w:tc>
          <w:tcPr>
            <w:tcW w:type="dxa" w:w="1512"/>
            <w:vAlign w:val="center"/>
            <w:tcMar>
              <w:top w:w="80" w:type="dxa"/>
              <w:start w:w="120" w:type="dxa"/>
              <w:bottom w:w="80" w:type="dxa"/>
              <w:end w:w="120" w:type="dxa"/>
            </w:tcMar>
            <w:shd w:fill="173B57"/>
          </w:tcPr>
          <w:p>
            <w:pPr>
              <w:spacing w:after="0" w:line="252" w:lineRule="auto"/>
              <w:jc w:val="center"/>
            </w:pPr>
            <w:r/>
            <w:r>
              <w:rPr>
                <w:rFonts w:ascii="Calibri" w:hAnsi="Calibri"/>
                <w:b/>
                <w:color w:val="FFFFFF"/>
                <w:sz w:val="17"/>
              </w:rPr>
              <w:t>PLO mapping</w:t>
            </w:r>
          </w:p>
        </w:tc>
      </w:tr>
      <w:tr>
        <w:trPr>
          <w:cantSplit/>
        </w:trPr>
        <w:tc>
          <w:tcPr>
            <w:tcW w:type="dxa" w:w="936"/>
            <w:vAlign w:val="center"/>
            <w:tcMar>
              <w:top w:w="80" w:type="dxa"/>
              <w:start w:w="120" w:type="dxa"/>
              <w:bottom w:w="80" w:type="dxa"/>
              <w:end w:w="120" w:type="dxa"/>
            </w:tcMar>
          </w:tcPr>
          <w:p>
            <w:pPr>
              <w:spacing w:after="0" w:line="252" w:lineRule="auto"/>
              <w:jc w:val="center"/>
            </w:pPr>
            <w:r/>
            <w:r>
              <w:rPr>
                <w:rFonts w:ascii="Calibri" w:hAnsi="Calibri"/>
                <w:b/>
                <w:color w:val="2E74B5"/>
                <w:sz w:val="17"/>
              </w:rPr>
              <w:t>CLO-1</w:t>
            </w:r>
          </w:p>
        </w:tc>
        <w:tc>
          <w:tcPr>
            <w:tcW w:type="dxa" w:w="5688"/>
            <w:vAlign w:val="center"/>
            <w:tcMar>
              <w:top w:w="80" w:type="dxa"/>
              <w:start w:w="120" w:type="dxa"/>
              <w:bottom w:w="80" w:type="dxa"/>
              <w:end w:w="120" w:type="dxa"/>
            </w:tcMar>
          </w:tcPr>
          <w:p>
            <w:pPr>
              <w:spacing w:after="0" w:line="252" w:lineRule="auto"/>
              <w:jc w:val="left"/>
            </w:pPr>
            <w:r/>
            <w:r>
              <w:rPr>
                <w:rFonts w:ascii="Calibri" w:hAnsi="Calibri"/>
                <w:b w:val="0"/>
                <w:color w:val="17212B"/>
                <w:sz w:val="17"/>
              </w:rPr>
              <w:t>Explain forward and backward computation, optimization behavior, and architectural principles of MLPs, CNNs, sequence models, transformers, generative models, and GNNs.</w:t>
            </w:r>
          </w:p>
        </w:tc>
        <w:tc>
          <w:tcPr>
            <w:tcW w:type="dxa" w:w="1512"/>
            <w:vAlign w:val="center"/>
            <w:tcMar>
              <w:top w:w="80" w:type="dxa"/>
              <w:start w:w="120" w:type="dxa"/>
              <w:bottom w:w="80" w:type="dxa"/>
              <w:end w:w="120" w:type="dxa"/>
            </w:tcMar>
          </w:tcPr>
          <w:p>
            <w:pPr>
              <w:spacing w:after="0" w:line="252" w:lineRule="auto"/>
              <w:jc w:val="center"/>
            </w:pPr>
            <w:r/>
            <w:r>
              <w:rPr>
                <w:rFonts w:ascii="Calibri" w:hAnsi="Calibri"/>
                <w:b w:val="0"/>
                <w:color w:val="17212B"/>
                <w:sz w:val="17"/>
              </w:rPr>
              <w:t>C2 - Understand</w:t>
            </w:r>
          </w:p>
        </w:tc>
        <w:tc>
          <w:tcPr>
            <w:tcW w:type="dxa" w:w="1512"/>
            <w:vAlign w:val="center"/>
            <w:tcMar>
              <w:top w:w="80" w:type="dxa"/>
              <w:start w:w="120" w:type="dxa"/>
              <w:bottom w:w="80" w:type="dxa"/>
              <w:end w:w="120" w:type="dxa"/>
            </w:tcMar>
          </w:tcPr>
          <w:p>
            <w:pPr>
              <w:spacing w:after="0" w:line="252" w:lineRule="auto"/>
              <w:jc w:val="center"/>
            </w:pPr>
            <w:r/>
            <w:r>
              <w:rPr>
                <w:rFonts w:ascii="Calibri" w:hAnsi="Calibri"/>
                <w:b w:val="0"/>
                <w:color w:val="17212B"/>
                <w:sz w:val="17"/>
              </w:rPr>
              <w:t>PLO-2</w:t>
            </w:r>
          </w:p>
        </w:tc>
      </w:tr>
      <w:tr>
        <w:trPr>
          <w:cantSplit/>
        </w:trPr>
        <w:tc>
          <w:tcPr>
            <w:tcW w:type="dxa" w:w="936"/>
            <w:vAlign w:val="center"/>
            <w:tcMar>
              <w:top w:w="80" w:type="dxa"/>
              <w:start w:w="120" w:type="dxa"/>
              <w:bottom w:w="80" w:type="dxa"/>
              <w:end w:w="120" w:type="dxa"/>
            </w:tcMar>
          </w:tcPr>
          <w:p>
            <w:pPr>
              <w:spacing w:after="0" w:line="252" w:lineRule="auto"/>
              <w:jc w:val="center"/>
            </w:pPr>
            <w:r/>
            <w:r>
              <w:rPr>
                <w:rFonts w:ascii="Calibri" w:hAnsi="Calibri"/>
                <w:b/>
                <w:color w:val="2E74B5"/>
                <w:sz w:val="17"/>
              </w:rPr>
              <w:t>CLO-2</w:t>
            </w:r>
          </w:p>
        </w:tc>
        <w:tc>
          <w:tcPr>
            <w:tcW w:type="dxa" w:w="5688"/>
            <w:vAlign w:val="center"/>
            <w:tcMar>
              <w:top w:w="80" w:type="dxa"/>
              <w:start w:w="120" w:type="dxa"/>
              <w:bottom w:w="80" w:type="dxa"/>
              <w:end w:w="120" w:type="dxa"/>
            </w:tcMar>
          </w:tcPr>
          <w:p>
            <w:pPr>
              <w:spacing w:after="0" w:line="252" w:lineRule="auto"/>
              <w:jc w:val="left"/>
            </w:pPr>
            <w:r/>
            <w:r>
              <w:rPr>
                <w:rFonts w:ascii="Calibri" w:hAnsi="Calibri"/>
                <w:b w:val="0"/>
                <w:color w:val="17212B"/>
                <w:sz w:val="17"/>
              </w:rPr>
              <w:t>Implement and train deep-learning models in PyTorch for vision, text, time-series, and graph data.</w:t>
            </w:r>
          </w:p>
        </w:tc>
        <w:tc>
          <w:tcPr>
            <w:tcW w:type="dxa" w:w="1512"/>
            <w:vAlign w:val="center"/>
            <w:tcMar>
              <w:top w:w="80" w:type="dxa"/>
              <w:start w:w="120" w:type="dxa"/>
              <w:bottom w:w="80" w:type="dxa"/>
              <w:end w:w="120" w:type="dxa"/>
            </w:tcMar>
          </w:tcPr>
          <w:p>
            <w:pPr>
              <w:spacing w:after="0" w:line="252" w:lineRule="auto"/>
              <w:jc w:val="center"/>
            </w:pPr>
            <w:r/>
            <w:r>
              <w:rPr>
                <w:rFonts w:ascii="Calibri" w:hAnsi="Calibri"/>
                <w:b w:val="0"/>
                <w:color w:val="17212B"/>
                <w:sz w:val="17"/>
              </w:rPr>
              <w:t>C3 - Apply</w:t>
            </w:r>
          </w:p>
        </w:tc>
        <w:tc>
          <w:tcPr>
            <w:tcW w:type="dxa" w:w="1512"/>
            <w:vAlign w:val="center"/>
            <w:tcMar>
              <w:top w:w="80" w:type="dxa"/>
              <w:start w:w="120" w:type="dxa"/>
              <w:bottom w:w="80" w:type="dxa"/>
              <w:end w:w="120" w:type="dxa"/>
            </w:tcMar>
          </w:tcPr>
          <w:p>
            <w:pPr>
              <w:spacing w:after="0" w:line="252" w:lineRule="auto"/>
              <w:jc w:val="center"/>
            </w:pPr>
            <w:r/>
            <w:r>
              <w:rPr>
                <w:rFonts w:ascii="Calibri" w:hAnsi="Calibri"/>
                <w:b w:val="0"/>
                <w:color w:val="17212B"/>
                <w:sz w:val="17"/>
              </w:rPr>
              <w:t>PLO-4, PLO-5</w:t>
            </w:r>
          </w:p>
        </w:tc>
      </w:tr>
      <w:tr>
        <w:trPr>
          <w:cantSplit/>
        </w:trPr>
        <w:tc>
          <w:tcPr>
            <w:tcW w:type="dxa" w:w="936"/>
            <w:vAlign w:val="center"/>
            <w:tcMar>
              <w:top w:w="80" w:type="dxa"/>
              <w:start w:w="120" w:type="dxa"/>
              <w:bottom w:w="80" w:type="dxa"/>
              <w:end w:w="120" w:type="dxa"/>
            </w:tcMar>
          </w:tcPr>
          <w:p>
            <w:pPr>
              <w:spacing w:after="0" w:line="252" w:lineRule="auto"/>
              <w:jc w:val="center"/>
            </w:pPr>
            <w:r/>
            <w:r>
              <w:rPr>
                <w:rFonts w:ascii="Calibri" w:hAnsi="Calibri"/>
                <w:b/>
                <w:color w:val="2E74B5"/>
                <w:sz w:val="17"/>
              </w:rPr>
              <w:t>CLO-3</w:t>
            </w:r>
          </w:p>
        </w:tc>
        <w:tc>
          <w:tcPr>
            <w:tcW w:type="dxa" w:w="5688"/>
            <w:vAlign w:val="center"/>
            <w:tcMar>
              <w:top w:w="80" w:type="dxa"/>
              <w:start w:w="120" w:type="dxa"/>
              <w:bottom w:w="80" w:type="dxa"/>
              <w:end w:w="120" w:type="dxa"/>
            </w:tcMar>
          </w:tcPr>
          <w:p>
            <w:pPr>
              <w:spacing w:after="0" w:line="252" w:lineRule="auto"/>
              <w:jc w:val="left"/>
            </w:pPr>
            <w:r/>
            <w:r>
              <w:rPr>
                <w:rFonts w:ascii="Calibri" w:hAnsi="Calibri"/>
                <w:b w:val="0"/>
                <w:color w:val="17212B"/>
                <w:sz w:val="17"/>
              </w:rPr>
              <w:t>Analyze models using appropriate metrics, learning curves, ablation studies, error analysis, and computational cost.</w:t>
            </w:r>
          </w:p>
        </w:tc>
        <w:tc>
          <w:tcPr>
            <w:tcW w:type="dxa" w:w="1512"/>
            <w:vAlign w:val="center"/>
            <w:tcMar>
              <w:top w:w="80" w:type="dxa"/>
              <w:start w:w="120" w:type="dxa"/>
              <w:bottom w:w="80" w:type="dxa"/>
              <w:end w:w="120" w:type="dxa"/>
            </w:tcMar>
          </w:tcPr>
          <w:p>
            <w:pPr>
              <w:spacing w:after="0" w:line="252" w:lineRule="auto"/>
              <w:jc w:val="center"/>
            </w:pPr>
            <w:r/>
            <w:r>
              <w:rPr>
                <w:rFonts w:ascii="Calibri" w:hAnsi="Calibri"/>
                <w:b w:val="0"/>
                <w:color w:val="17212B"/>
                <w:sz w:val="17"/>
              </w:rPr>
              <w:t>C4 - Analyze</w:t>
            </w:r>
          </w:p>
        </w:tc>
        <w:tc>
          <w:tcPr>
            <w:tcW w:type="dxa" w:w="1512"/>
            <w:vAlign w:val="center"/>
            <w:tcMar>
              <w:top w:w="80" w:type="dxa"/>
              <w:start w:w="120" w:type="dxa"/>
              <w:bottom w:w="80" w:type="dxa"/>
              <w:end w:w="120" w:type="dxa"/>
            </w:tcMar>
          </w:tcPr>
          <w:p>
            <w:pPr>
              <w:spacing w:after="0" w:line="252" w:lineRule="auto"/>
              <w:jc w:val="center"/>
            </w:pPr>
            <w:r/>
            <w:r>
              <w:rPr>
                <w:rFonts w:ascii="Calibri" w:hAnsi="Calibri"/>
                <w:b w:val="0"/>
                <w:color w:val="17212B"/>
                <w:sz w:val="17"/>
              </w:rPr>
              <w:t>PLO-3, PLO-5</w:t>
            </w:r>
          </w:p>
        </w:tc>
      </w:tr>
      <w:tr>
        <w:trPr>
          <w:cantSplit/>
        </w:trPr>
        <w:tc>
          <w:tcPr>
            <w:tcW w:type="dxa" w:w="936"/>
            <w:vAlign w:val="center"/>
            <w:tcMar>
              <w:top w:w="80" w:type="dxa"/>
              <w:start w:w="120" w:type="dxa"/>
              <w:bottom w:w="80" w:type="dxa"/>
              <w:end w:w="120" w:type="dxa"/>
            </w:tcMar>
          </w:tcPr>
          <w:p>
            <w:pPr>
              <w:spacing w:after="0" w:line="252" w:lineRule="auto"/>
              <w:jc w:val="center"/>
            </w:pPr>
            <w:r/>
            <w:r>
              <w:rPr>
                <w:rFonts w:ascii="Calibri" w:hAnsi="Calibri"/>
                <w:b/>
                <w:color w:val="2E74B5"/>
                <w:sz w:val="17"/>
              </w:rPr>
              <w:t>CLO-4</w:t>
            </w:r>
          </w:p>
        </w:tc>
        <w:tc>
          <w:tcPr>
            <w:tcW w:type="dxa" w:w="5688"/>
            <w:vAlign w:val="center"/>
            <w:tcMar>
              <w:top w:w="80" w:type="dxa"/>
              <w:start w:w="120" w:type="dxa"/>
              <w:bottom w:w="80" w:type="dxa"/>
              <w:end w:w="120" w:type="dxa"/>
            </w:tcMar>
          </w:tcPr>
          <w:p>
            <w:pPr>
              <w:spacing w:after="0" w:line="252" w:lineRule="auto"/>
              <w:jc w:val="left"/>
            </w:pPr>
            <w:r/>
            <w:r>
              <w:rPr>
                <w:rFonts w:ascii="Calibri" w:hAnsi="Calibri"/>
                <w:b w:val="0"/>
                <w:color w:val="17212B"/>
                <w:sz w:val="17"/>
              </w:rPr>
              <w:t>Design a reproducible end-to-end pipeline incorporating transfer learning, tuning, deployment, and monitoring.</w:t>
            </w:r>
          </w:p>
        </w:tc>
        <w:tc>
          <w:tcPr>
            <w:tcW w:type="dxa" w:w="1512"/>
            <w:vAlign w:val="center"/>
            <w:tcMar>
              <w:top w:w="80" w:type="dxa"/>
              <w:start w:w="120" w:type="dxa"/>
              <w:bottom w:w="80" w:type="dxa"/>
              <w:end w:w="120" w:type="dxa"/>
            </w:tcMar>
          </w:tcPr>
          <w:p>
            <w:pPr>
              <w:spacing w:after="0" w:line="252" w:lineRule="auto"/>
              <w:jc w:val="center"/>
            </w:pPr>
            <w:r/>
            <w:r>
              <w:rPr>
                <w:rFonts w:ascii="Calibri" w:hAnsi="Calibri"/>
                <w:b w:val="0"/>
                <w:color w:val="17212B"/>
                <w:sz w:val="17"/>
              </w:rPr>
              <w:t>C6 - Create</w:t>
            </w:r>
          </w:p>
        </w:tc>
        <w:tc>
          <w:tcPr>
            <w:tcW w:type="dxa" w:w="1512"/>
            <w:vAlign w:val="center"/>
            <w:tcMar>
              <w:top w:w="80" w:type="dxa"/>
              <w:start w:w="120" w:type="dxa"/>
              <w:bottom w:w="80" w:type="dxa"/>
              <w:end w:w="120" w:type="dxa"/>
            </w:tcMar>
          </w:tcPr>
          <w:p>
            <w:pPr>
              <w:spacing w:after="0" w:line="252" w:lineRule="auto"/>
              <w:jc w:val="center"/>
            </w:pPr>
            <w:r/>
            <w:r>
              <w:rPr>
                <w:rFonts w:ascii="Calibri" w:hAnsi="Calibri"/>
                <w:b w:val="0"/>
                <w:color w:val="17212B"/>
                <w:sz w:val="17"/>
              </w:rPr>
              <w:t>PLO-4, PLO-5</w:t>
            </w:r>
          </w:p>
        </w:tc>
      </w:tr>
      <w:tr>
        <w:trPr>
          <w:cantSplit/>
        </w:trPr>
        <w:tc>
          <w:tcPr>
            <w:tcW w:type="dxa" w:w="936"/>
            <w:vAlign w:val="center"/>
            <w:tcMar>
              <w:top w:w="80" w:type="dxa"/>
              <w:start w:w="120" w:type="dxa"/>
              <w:bottom w:w="80" w:type="dxa"/>
              <w:end w:w="120" w:type="dxa"/>
            </w:tcMar>
          </w:tcPr>
          <w:p>
            <w:pPr>
              <w:spacing w:after="0" w:line="252" w:lineRule="auto"/>
              <w:jc w:val="center"/>
            </w:pPr>
            <w:r/>
            <w:r>
              <w:rPr>
                <w:rFonts w:ascii="Calibri" w:hAnsi="Calibri"/>
                <w:b/>
                <w:color w:val="2E74B5"/>
                <w:sz w:val="17"/>
              </w:rPr>
              <w:t>CLO-5</w:t>
            </w:r>
          </w:p>
        </w:tc>
        <w:tc>
          <w:tcPr>
            <w:tcW w:type="dxa" w:w="5688"/>
            <w:vAlign w:val="center"/>
            <w:tcMar>
              <w:top w:w="80" w:type="dxa"/>
              <w:start w:w="120" w:type="dxa"/>
              <w:bottom w:w="80" w:type="dxa"/>
              <w:end w:w="120" w:type="dxa"/>
            </w:tcMar>
          </w:tcPr>
          <w:p>
            <w:pPr>
              <w:spacing w:after="0" w:line="252" w:lineRule="auto"/>
              <w:jc w:val="left"/>
            </w:pPr>
            <w:r/>
            <w:r>
              <w:rPr>
                <w:rFonts w:ascii="Calibri" w:hAnsi="Calibri"/>
                <w:b w:val="0"/>
                <w:color w:val="17212B"/>
                <w:sz w:val="17"/>
              </w:rPr>
              <w:t>Critically evaluate interpretability, fairness, privacy, safety, environmental, and societal implications and document model limitations.</w:t>
            </w:r>
          </w:p>
        </w:tc>
        <w:tc>
          <w:tcPr>
            <w:tcW w:type="dxa" w:w="1512"/>
            <w:vAlign w:val="center"/>
            <w:tcMar>
              <w:top w:w="80" w:type="dxa"/>
              <w:start w:w="120" w:type="dxa"/>
              <w:bottom w:w="80" w:type="dxa"/>
              <w:end w:w="120" w:type="dxa"/>
            </w:tcMar>
          </w:tcPr>
          <w:p>
            <w:pPr>
              <w:spacing w:after="0" w:line="252" w:lineRule="auto"/>
              <w:jc w:val="center"/>
            </w:pPr>
            <w:r/>
            <w:r>
              <w:rPr>
                <w:rFonts w:ascii="Calibri" w:hAnsi="Calibri"/>
                <w:b w:val="0"/>
                <w:color w:val="17212B"/>
                <w:sz w:val="17"/>
              </w:rPr>
              <w:t>C5 - Evaluate</w:t>
            </w:r>
          </w:p>
        </w:tc>
        <w:tc>
          <w:tcPr>
            <w:tcW w:type="dxa" w:w="1512"/>
            <w:vAlign w:val="center"/>
            <w:tcMar>
              <w:top w:w="80" w:type="dxa"/>
              <w:start w:w="120" w:type="dxa"/>
              <w:bottom w:w="80" w:type="dxa"/>
              <w:end w:w="120" w:type="dxa"/>
            </w:tcMar>
          </w:tcPr>
          <w:p>
            <w:pPr>
              <w:spacing w:after="0" w:line="252" w:lineRule="auto"/>
              <w:jc w:val="center"/>
            </w:pPr>
            <w:r/>
            <w:r>
              <w:rPr>
                <w:rFonts w:ascii="Calibri" w:hAnsi="Calibri"/>
                <w:b w:val="0"/>
                <w:color w:val="17212B"/>
                <w:sz w:val="17"/>
              </w:rPr>
              <w:t>PLO-8, PLO-9</w:t>
            </w:r>
          </w:p>
        </w:tc>
      </w:tr>
    </w:tbl>
    <w:p>
      <w:pPr>
        <w:pStyle w:val="Heading1"/>
      </w:pPr>
      <w:r>
        <w:t>5. Teaching and learning approach</w:t>
      </w:r>
    </w:p>
    <w:p>
      <w:pPr>
        <w:pStyle w:val="ListBullet"/>
      </w:pPr>
      <w:r>
        <w:t>Each 2-hour lecture combines direct instruction, a worked example, an implementation pattern, a diagnostic activity, and an exit ticket.</w:t>
      </w:r>
    </w:p>
    <w:p>
      <w:pPr>
        <w:pStyle w:val="ListBullet"/>
      </w:pPr>
      <w:r>
        <w:t>Each 3-hour laboratory follows predict-run-measure-explain: students state an expectation, execute a controlled experiment, inspect evidence, and document limitations.</w:t>
      </w:r>
    </w:p>
    <w:p>
      <w:pPr>
        <w:pStyle w:val="ListBullet"/>
      </w:pPr>
      <w:r>
        <w:t>Datasets are generated inside the notebooks where practical, keeping the baseline credential-free and reducing setup failures.</w:t>
      </w:r>
    </w:p>
    <w:p>
      <w:pPr>
        <w:pStyle w:val="ListBullet"/>
      </w:pPr>
      <w:r>
        <w:t>A mini-capstone accumulates evidence across comparison, export, latency, drift, explainability, and responsible reporting.</w:t>
      </w:r>
    </w:p>
    <w:p>
      <w:pPr>
        <w:pStyle w:val="Heading1"/>
      </w:pPr>
      <w:r>
        <w:t>6. Sixteen-week teaching schedule</w:t>
      </w:r>
    </w:p>
    <w:p>
      <w:r>
        <w:t>The reading codes refer to the book-only bibliography in Section 9. Coverage is intentionally cumulative; later weeks reuse evaluation and reproducibility practices introduced early in the course.</w:t>
      </w:r>
    </w:p>
    <w:p>
      <w:pPr>
        <w:pStyle w:val="Heading2"/>
      </w:pPr>
      <w:r>
        <w:t>Weeks 1-8 | Foundations, vision, and sequence models</w:t>
      </w:r>
    </w:p>
    <w:tbl>
      <w:tblPr>
        <w:tblW w:type="dxa" w:w="9648"/>
        <w:tblLayout w:type="fixed"/>
        <w:tblLook w:firstColumn="1" w:firstRow="1" w:lastColumn="0" w:lastRow="0" w:noHBand="0" w:noVBand="1" w:val="04A0"/>
        <w:jc w:val="center"/>
        <w:tblBorders>
          <w:top w:val="single" w:sz="6" w:color="D8E0E7"/>
          <w:left w:val="single" w:sz="6" w:color="D8E0E7"/>
          <w:bottom w:val="single" w:sz="6" w:color="D8E0E7"/>
          <w:right w:val="single" w:sz="6" w:color="D8E0E7"/>
          <w:insideH w:val="single" w:sz="6" w:color="D8E0E7"/>
          <w:insideV w:val="single" w:sz="6" w:color="D8E0E7"/>
        </w:tblBorders>
      </w:tblPr>
      <w:tblGrid>
        <w:gridCol w:w="2412"/>
        <w:gridCol w:w="2412"/>
        <w:gridCol w:w="2412"/>
        <w:gridCol w:w="2412"/>
      </w:tblGrid>
      <w:tr>
        <w:trPr>
          <w:cantSplit/>
          <w:tblHeader w:val="true"/>
          <w:cantSplit/>
        </w:trPr>
        <w:tc>
          <w:tcPr>
            <w:tcW w:type="dxa" w:w="604"/>
            <w:vAlign w:val="center"/>
            <w:tcMar>
              <w:top w:w="80" w:type="dxa"/>
              <w:start w:w="120" w:type="dxa"/>
              <w:bottom w:w="80" w:type="dxa"/>
              <w:end w:w="120" w:type="dxa"/>
            </w:tcMar>
            <w:shd w:fill="173B57"/>
          </w:tcPr>
          <w:p>
            <w:pPr>
              <w:spacing w:after="0" w:line="252" w:lineRule="auto"/>
              <w:jc w:val="center"/>
            </w:pPr>
            <w:r/>
            <w:r>
              <w:rPr>
                <w:rFonts w:ascii="Calibri" w:hAnsi="Calibri"/>
                <w:b/>
                <w:color w:val="FFFFFF"/>
                <w:sz w:val="16"/>
              </w:rPr>
              <w:t>Wk</w:t>
            </w:r>
          </w:p>
        </w:tc>
        <w:tc>
          <w:tcPr>
            <w:tcW w:type="dxa" w:w="4320"/>
            <w:vAlign w:val="center"/>
            <w:tcMar>
              <w:top w:w="80" w:type="dxa"/>
              <w:start w:w="120" w:type="dxa"/>
              <w:bottom w:w="80" w:type="dxa"/>
              <w:end w:w="120" w:type="dxa"/>
            </w:tcMar>
            <w:shd w:fill="173B57"/>
          </w:tcPr>
          <w:p>
            <w:pPr>
              <w:spacing w:after="0" w:line="252" w:lineRule="auto"/>
              <w:jc w:val="center"/>
            </w:pPr>
            <w:r/>
            <w:r>
              <w:rPr>
                <w:rFonts w:ascii="Calibri" w:hAnsi="Calibri"/>
                <w:b/>
                <w:color w:val="FFFFFF"/>
                <w:sz w:val="16"/>
              </w:rPr>
              <w:t>Lecture and key coverage</w:t>
            </w:r>
          </w:p>
        </w:tc>
        <w:tc>
          <w:tcPr>
            <w:tcW w:type="dxa" w:w="2736"/>
            <w:vAlign w:val="center"/>
            <w:tcMar>
              <w:top w:w="80" w:type="dxa"/>
              <w:start w:w="120" w:type="dxa"/>
              <w:bottom w:w="80" w:type="dxa"/>
              <w:end w:w="120" w:type="dxa"/>
            </w:tcMar>
            <w:shd w:fill="173B57"/>
          </w:tcPr>
          <w:p>
            <w:pPr>
              <w:spacing w:after="0" w:line="252" w:lineRule="auto"/>
              <w:jc w:val="center"/>
            </w:pPr>
            <w:r/>
            <w:r>
              <w:rPr>
                <w:rFonts w:ascii="Calibri" w:hAnsi="Calibri"/>
                <w:b/>
                <w:color w:val="FFFFFF"/>
                <w:sz w:val="16"/>
              </w:rPr>
              <w:t>Three-hour laboratory</w:t>
            </w:r>
          </w:p>
        </w:tc>
        <w:tc>
          <w:tcPr>
            <w:tcW w:type="dxa" w:w="1987"/>
            <w:vAlign w:val="center"/>
            <w:tcMar>
              <w:top w:w="80" w:type="dxa"/>
              <w:start w:w="120" w:type="dxa"/>
              <w:bottom w:w="80" w:type="dxa"/>
              <w:end w:w="120" w:type="dxa"/>
            </w:tcMar>
            <w:shd w:fill="173B57"/>
          </w:tcPr>
          <w:p>
            <w:pPr>
              <w:spacing w:after="0" w:line="252" w:lineRule="auto"/>
              <w:jc w:val="center"/>
            </w:pPr>
            <w:r/>
            <w:r>
              <w:rPr>
                <w:rFonts w:ascii="Calibri" w:hAnsi="Calibri"/>
                <w:b/>
                <w:color w:val="FFFFFF"/>
                <w:sz w:val="16"/>
              </w:rPr>
              <w:t>CLO / books</w:t>
            </w:r>
          </w:p>
        </w:tc>
      </w:tr>
      <w:tr>
        <w:trPr>
          <w:cantSplit/>
        </w:trPr>
        <w:tc>
          <w:tcPr>
            <w:tcW w:type="dxa" w:w="604"/>
            <w:vAlign w:val="center"/>
            <w:tcMar>
              <w:top w:w="80" w:type="dxa"/>
              <w:start w:w="120" w:type="dxa"/>
              <w:bottom w:w="80" w:type="dxa"/>
              <w:end w:w="120" w:type="dxa"/>
            </w:tcMar>
          </w:tcPr>
          <w:p>
            <w:pPr>
              <w:spacing w:after="0" w:line="252" w:lineRule="auto"/>
              <w:jc w:val="center"/>
            </w:pPr>
            <w:r/>
            <w:r>
              <w:rPr>
                <w:rFonts w:ascii="Calibri" w:hAnsi="Calibri"/>
                <w:b/>
                <w:color w:val="2E74B5"/>
                <w:sz w:val="18"/>
              </w:rPr>
              <w:t>1</w:t>
            </w:r>
          </w:p>
        </w:tc>
        <w:tc>
          <w:tcPr>
            <w:tcW w:type="dxa" w:w="4320"/>
            <w:vAlign w:val="center"/>
            <w:tcMar>
              <w:top w:w="80" w:type="dxa"/>
              <w:start w:w="120" w:type="dxa"/>
              <w:bottom w:w="80" w:type="dxa"/>
              <w:end w:w="120" w:type="dxa"/>
            </w:tcMar>
          </w:tcPr>
          <w:p>
            <w:pPr>
              <w:spacing w:after="0" w:line="252" w:lineRule="auto"/>
              <w:jc w:val="left"/>
            </w:pPr>
            <w:r/>
            <w:r>
              <w:rPr>
                <w:rFonts w:ascii="Calibri" w:hAnsi="Calibri"/>
                <w:b w:val="0"/>
                <w:color w:val="17212B"/>
                <w:sz w:val="16"/>
              </w:rPr>
              <w:t>Deep Learning Workflow and Representation Learning</w:t>
              <w:br/>
              <w:t>Problem formulation; AI, ML, and DL; tensors and shapes; layered representations; data-model-loss-evaluation loop; reproducibility and compute.</w:t>
            </w:r>
          </w:p>
        </w:tc>
        <w:tc>
          <w:tcPr>
            <w:tcW w:type="dxa" w:w="2736"/>
            <w:vAlign w:val="center"/>
            <w:tcMar>
              <w:top w:w="80" w:type="dxa"/>
              <w:start w:w="120" w:type="dxa"/>
              <w:bottom w:w="80" w:type="dxa"/>
              <w:end w:w="120" w:type="dxa"/>
            </w:tcMar>
          </w:tcPr>
          <w:p>
            <w:pPr>
              <w:spacing w:after="0" w:line="252" w:lineRule="auto"/>
              <w:jc w:val="left"/>
            </w:pPr>
            <w:r/>
            <w:r>
              <w:rPr>
                <w:rFonts w:ascii="Calibri" w:hAnsi="Calibri"/>
                <w:b w:val="0"/>
                <w:color w:val="17212B"/>
                <w:sz w:val="16"/>
              </w:rPr>
              <w:t>Colab, PyTorch tensors, autograd, and reproducible experiments</w:t>
            </w:r>
          </w:p>
        </w:tc>
        <w:tc>
          <w:tcPr>
            <w:tcW w:type="dxa" w:w="1987"/>
            <w:vAlign w:val="center"/>
            <w:tcMar>
              <w:top w:w="80" w:type="dxa"/>
              <w:start w:w="120" w:type="dxa"/>
              <w:bottom w:w="80" w:type="dxa"/>
              <w:end w:w="120" w:type="dxa"/>
            </w:tcMar>
          </w:tcPr>
          <w:p>
            <w:pPr>
              <w:spacing w:after="0" w:line="252" w:lineRule="auto"/>
              <w:jc w:val="left"/>
            </w:pPr>
            <w:r/>
            <w:r>
              <w:rPr>
                <w:rFonts w:ascii="Calibri" w:hAnsi="Calibri"/>
                <w:b w:val="0"/>
                <w:color w:val="17212B"/>
                <w:sz w:val="15"/>
              </w:rPr>
              <w:t>CLO-1, CLO-2</w:t>
              <w:br/>
              <w:t>B1 Ch. 1-2; B2 Ch. 1-5 selective; B3 Ch. 1-2</w:t>
            </w:r>
          </w:p>
        </w:tc>
      </w:tr>
      <w:tr>
        <w:trPr>
          <w:cantSplit/>
        </w:trPr>
        <w:tc>
          <w:tcPr>
            <w:tcW w:type="dxa" w:w="604"/>
            <w:vAlign w:val="center"/>
            <w:tcMar>
              <w:top w:w="80" w:type="dxa"/>
              <w:start w:w="120" w:type="dxa"/>
              <w:bottom w:w="80" w:type="dxa"/>
              <w:end w:w="120" w:type="dxa"/>
            </w:tcMar>
          </w:tcPr>
          <w:p>
            <w:pPr>
              <w:spacing w:after="0" w:line="252" w:lineRule="auto"/>
              <w:jc w:val="center"/>
            </w:pPr>
            <w:r/>
            <w:r>
              <w:rPr>
                <w:rFonts w:ascii="Calibri" w:hAnsi="Calibri"/>
                <w:b/>
                <w:color w:val="2E74B5"/>
                <w:sz w:val="18"/>
              </w:rPr>
              <w:t>2</w:t>
            </w:r>
          </w:p>
        </w:tc>
        <w:tc>
          <w:tcPr>
            <w:tcW w:type="dxa" w:w="4320"/>
            <w:vAlign w:val="center"/>
            <w:tcMar>
              <w:top w:w="80" w:type="dxa"/>
              <w:start w:w="120" w:type="dxa"/>
              <w:bottom w:w="80" w:type="dxa"/>
              <w:end w:w="120" w:type="dxa"/>
            </w:tcMar>
          </w:tcPr>
          <w:p>
            <w:pPr>
              <w:spacing w:after="0" w:line="252" w:lineRule="auto"/>
              <w:jc w:val="left"/>
            </w:pPr>
            <w:r/>
            <w:r>
              <w:rPr>
                <w:rFonts w:ascii="Calibri" w:hAnsi="Calibri"/>
                <w:b w:val="0"/>
                <w:color w:val="17212B"/>
                <w:sz w:val="16"/>
              </w:rPr>
              <w:t>Multilayer Perceptrons, Activations, and Losses</w:t>
              <w:br/>
              <w:t>Perceptrons and affine layers; tensor shapes and parameter counts; ReLU, sigmoid, tanh, GELU; regression and classification losses.</w:t>
            </w:r>
          </w:p>
        </w:tc>
        <w:tc>
          <w:tcPr>
            <w:tcW w:type="dxa" w:w="2736"/>
            <w:vAlign w:val="center"/>
            <w:tcMar>
              <w:top w:w="80" w:type="dxa"/>
              <w:start w:w="120" w:type="dxa"/>
              <w:bottom w:w="80" w:type="dxa"/>
              <w:end w:w="120" w:type="dxa"/>
            </w:tcMar>
          </w:tcPr>
          <w:p>
            <w:pPr>
              <w:spacing w:after="0" w:line="252" w:lineRule="auto"/>
              <w:jc w:val="left"/>
            </w:pPr>
            <w:r/>
            <w:r>
              <w:rPr>
                <w:rFonts w:ascii="Calibri" w:hAnsi="Calibri"/>
                <w:b w:val="0"/>
                <w:color w:val="17212B"/>
                <w:sz w:val="16"/>
              </w:rPr>
              <w:t>MLPs, activations, output-loss pairings, and decision boundaries</w:t>
            </w:r>
          </w:p>
        </w:tc>
        <w:tc>
          <w:tcPr>
            <w:tcW w:type="dxa" w:w="1987"/>
            <w:vAlign w:val="center"/>
            <w:tcMar>
              <w:top w:w="80" w:type="dxa"/>
              <w:start w:w="120" w:type="dxa"/>
              <w:bottom w:w="80" w:type="dxa"/>
              <w:end w:w="120" w:type="dxa"/>
            </w:tcMar>
          </w:tcPr>
          <w:p>
            <w:pPr>
              <w:spacing w:after="0" w:line="252" w:lineRule="auto"/>
              <w:jc w:val="left"/>
            </w:pPr>
            <w:r/>
            <w:r>
              <w:rPr>
                <w:rFonts w:ascii="Calibri" w:hAnsi="Calibri"/>
                <w:b w:val="0"/>
                <w:color w:val="17212B"/>
                <w:sz w:val="15"/>
              </w:rPr>
              <w:t>CLO-1, CLO-2, CLO-3</w:t>
              <w:br/>
              <w:t>B1 Ch. 3-5; B2 Ch. 6; B3 Ch. 4-5</w:t>
            </w:r>
          </w:p>
        </w:tc>
      </w:tr>
      <w:tr>
        <w:trPr>
          <w:cantSplit/>
        </w:trPr>
        <w:tc>
          <w:tcPr>
            <w:tcW w:type="dxa" w:w="604"/>
            <w:vAlign w:val="center"/>
            <w:tcMar>
              <w:top w:w="80" w:type="dxa"/>
              <w:start w:w="120" w:type="dxa"/>
              <w:bottom w:w="80" w:type="dxa"/>
              <w:end w:w="120" w:type="dxa"/>
            </w:tcMar>
          </w:tcPr>
          <w:p>
            <w:pPr>
              <w:spacing w:after="0" w:line="252" w:lineRule="auto"/>
              <w:jc w:val="center"/>
            </w:pPr>
            <w:r/>
            <w:r>
              <w:rPr>
                <w:rFonts w:ascii="Calibri" w:hAnsi="Calibri"/>
                <w:b/>
                <w:color w:val="2E74B5"/>
                <w:sz w:val="18"/>
              </w:rPr>
              <w:t>3</w:t>
            </w:r>
          </w:p>
        </w:tc>
        <w:tc>
          <w:tcPr>
            <w:tcW w:type="dxa" w:w="4320"/>
            <w:vAlign w:val="center"/>
            <w:tcMar>
              <w:top w:w="80" w:type="dxa"/>
              <w:start w:w="120" w:type="dxa"/>
              <w:bottom w:w="80" w:type="dxa"/>
              <w:end w:w="120" w:type="dxa"/>
            </w:tcMar>
          </w:tcPr>
          <w:p>
            <w:pPr>
              <w:spacing w:after="0" w:line="252" w:lineRule="auto"/>
              <w:jc w:val="left"/>
            </w:pPr>
            <w:r/>
            <w:r>
              <w:rPr>
                <w:rFonts w:ascii="Calibri" w:hAnsi="Calibri"/>
                <w:b w:val="0"/>
                <w:color w:val="17212B"/>
                <w:sz w:val="16"/>
              </w:rPr>
              <w:t>Computational Graphs and Backpropagation</w:t>
              <w:br/>
              <w:t>Reverse-mode automatic differentiation; local derivatives and chain rule; minibatches; initialization; vanishing and exploding gradients; gradient diagnostics.</w:t>
            </w:r>
          </w:p>
        </w:tc>
        <w:tc>
          <w:tcPr>
            <w:tcW w:type="dxa" w:w="2736"/>
            <w:vAlign w:val="center"/>
            <w:tcMar>
              <w:top w:w="80" w:type="dxa"/>
              <w:start w:w="120" w:type="dxa"/>
              <w:bottom w:w="80" w:type="dxa"/>
              <w:end w:w="120" w:type="dxa"/>
            </w:tcMar>
          </w:tcPr>
          <w:p>
            <w:pPr>
              <w:spacing w:after="0" w:line="252" w:lineRule="auto"/>
              <w:jc w:val="left"/>
            </w:pPr>
            <w:r/>
            <w:r>
              <w:rPr>
                <w:rFonts w:ascii="Calibri" w:hAnsi="Calibri"/>
                <w:b w:val="0"/>
                <w:color w:val="17212B"/>
                <w:sz w:val="16"/>
              </w:rPr>
              <w:t>Manual gradients, autograd verification, and gradient instrumentation</w:t>
            </w:r>
          </w:p>
        </w:tc>
        <w:tc>
          <w:tcPr>
            <w:tcW w:type="dxa" w:w="1987"/>
            <w:vAlign w:val="center"/>
            <w:tcMar>
              <w:top w:w="80" w:type="dxa"/>
              <w:start w:w="120" w:type="dxa"/>
              <w:bottom w:w="80" w:type="dxa"/>
              <w:end w:w="120" w:type="dxa"/>
            </w:tcMar>
          </w:tcPr>
          <w:p>
            <w:pPr>
              <w:spacing w:after="0" w:line="252" w:lineRule="auto"/>
              <w:jc w:val="left"/>
            </w:pPr>
            <w:r/>
            <w:r>
              <w:rPr>
                <w:rFonts w:ascii="Calibri" w:hAnsi="Calibri"/>
                <w:b w:val="0"/>
                <w:color w:val="17212B"/>
                <w:sz w:val="15"/>
              </w:rPr>
              <w:t>CLO-1, CLO-2, CLO-3</w:t>
              <w:br/>
              <w:t>B1 Ch. 6-7; B2 Ch. 6 and 8; B3 Sec. 2.5, 5.3-5.4</w:t>
            </w:r>
          </w:p>
        </w:tc>
      </w:tr>
      <w:tr>
        <w:trPr>
          <w:cantSplit/>
        </w:trPr>
        <w:tc>
          <w:tcPr>
            <w:tcW w:type="dxa" w:w="604"/>
            <w:vAlign w:val="center"/>
            <w:tcMar>
              <w:top w:w="80" w:type="dxa"/>
              <w:start w:w="120" w:type="dxa"/>
              <w:bottom w:w="80" w:type="dxa"/>
              <w:end w:w="120" w:type="dxa"/>
            </w:tcMar>
          </w:tcPr>
          <w:p>
            <w:pPr>
              <w:spacing w:after="0" w:line="252" w:lineRule="auto"/>
              <w:jc w:val="center"/>
            </w:pPr>
            <w:r/>
            <w:r>
              <w:rPr>
                <w:rFonts w:ascii="Calibri" w:hAnsi="Calibri"/>
                <w:b/>
                <w:color w:val="2E74B5"/>
                <w:sz w:val="18"/>
              </w:rPr>
              <w:t>4</w:t>
            </w:r>
          </w:p>
        </w:tc>
        <w:tc>
          <w:tcPr>
            <w:tcW w:type="dxa" w:w="4320"/>
            <w:vAlign w:val="center"/>
            <w:tcMar>
              <w:top w:w="80" w:type="dxa"/>
              <w:start w:w="120" w:type="dxa"/>
              <w:bottom w:w="80" w:type="dxa"/>
              <w:end w:w="120" w:type="dxa"/>
            </w:tcMar>
          </w:tcPr>
          <w:p>
            <w:pPr>
              <w:spacing w:after="0" w:line="252" w:lineRule="auto"/>
              <w:jc w:val="left"/>
            </w:pPr>
            <w:r/>
            <w:r>
              <w:rPr>
                <w:rFonts w:ascii="Calibri" w:hAnsi="Calibri"/>
                <w:b w:val="0"/>
                <w:color w:val="17212B"/>
                <w:sz w:val="16"/>
              </w:rPr>
              <w:t>Optimization, Generalization, and Reliable Training</w:t>
              <w:br/>
              <w:t>SGD, momentum, RMSProp, Adam; learning-rate schedules; validation design; normalization; dropout; weight decay; augmentation; early stopping; ablation studies.</w:t>
            </w:r>
          </w:p>
        </w:tc>
        <w:tc>
          <w:tcPr>
            <w:tcW w:type="dxa" w:w="2736"/>
            <w:vAlign w:val="center"/>
            <w:tcMar>
              <w:top w:w="80" w:type="dxa"/>
              <w:start w:w="120" w:type="dxa"/>
              <w:bottom w:w="80" w:type="dxa"/>
              <w:end w:w="120" w:type="dxa"/>
            </w:tcMar>
          </w:tcPr>
          <w:p>
            <w:pPr>
              <w:spacing w:after="0" w:line="252" w:lineRule="auto"/>
              <w:jc w:val="left"/>
            </w:pPr>
            <w:r/>
            <w:r>
              <w:rPr>
                <w:rFonts w:ascii="Calibri" w:hAnsi="Calibri"/>
                <w:b w:val="0"/>
                <w:color w:val="17212B"/>
                <w:sz w:val="16"/>
              </w:rPr>
              <w:t>Optimizer and regularizer ablation with checkpointing</w:t>
            </w:r>
          </w:p>
        </w:tc>
        <w:tc>
          <w:tcPr>
            <w:tcW w:type="dxa" w:w="1987"/>
            <w:vAlign w:val="center"/>
            <w:tcMar>
              <w:top w:w="80" w:type="dxa"/>
              <w:start w:w="120" w:type="dxa"/>
              <w:bottom w:w="80" w:type="dxa"/>
              <w:end w:w="120" w:type="dxa"/>
            </w:tcMar>
          </w:tcPr>
          <w:p>
            <w:pPr>
              <w:spacing w:after="0" w:line="252" w:lineRule="auto"/>
              <w:jc w:val="left"/>
            </w:pPr>
            <w:r/>
            <w:r>
              <w:rPr>
                <w:rFonts w:ascii="Calibri" w:hAnsi="Calibri"/>
                <w:b w:val="0"/>
                <w:color w:val="17212B"/>
                <w:sz w:val="15"/>
              </w:rPr>
              <w:t>CLO-2, CLO-3, CLO-4</w:t>
              <w:br/>
              <w:t>B1 Ch. 8-9 and 20; B2 Ch. 7-8 and 11; B3 Ch. 12 and 19</w:t>
            </w:r>
          </w:p>
        </w:tc>
      </w:tr>
      <w:tr>
        <w:trPr>
          <w:cantSplit/>
        </w:trPr>
        <w:tc>
          <w:tcPr>
            <w:tcW w:type="dxa" w:w="604"/>
            <w:vAlign w:val="center"/>
            <w:tcMar>
              <w:top w:w="80" w:type="dxa"/>
              <w:start w:w="120" w:type="dxa"/>
              <w:bottom w:w="80" w:type="dxa"/>
              <w:end w:w="120" w:type="dxa"/>
            </w:tcMar>
          </w:tcPr>
          <w:p>
            <w:pPr>
              <w:spacing w:after="0" w:line="252" w:lineRule="auto"/>
              <w:jc w:val="center"/>
            </w:pPr>
            <w:r/>
            <w:r>
              <w:rPr>
                <w:rFonts w:ascii="Calibri" w:hAnsi="Calibri"/>
                <w:b/>
                <w:color w:val="2E74B5"/>
                <w:sz w:val="18"/>
              </w:rPr>
              <w:t>5</w:t>
            </w:r>
          </w:p>
        </w:tc>
        <w:tc>
          <w:tcPr>
            <w:tcW w:type="dxa" w:w="4320"/>
            <w:vAlign w:val="center"/>
            <w:tcMar>
              <w:top w:w="80" w:type="dxa"/>
              <w:start w:w="120" w:type="dxa"/>
              <w:bottom w:w="80" w:type="dxa"/>
              <w:end w:w="120" w:type="dxa"/>
            </w:tcMar>
          </w:tcPr>
          <w:p>
            <w:pPr>
              <w:spacing w:after="0" w:line="252" w:lineRule="auto"/>
              <w:jc w:val="left"/>
            </w:pPr>
            <w:r/>
            <w:r>
              <w:rPr>
                <w:rFonts w:ascii="Calibri" w:hAnsi="Calibri"/>
                <w:b w:val="0"/>
                <w:color w:val="17212B"/>
                <w:sz w:val="16"/>
              </w:rPr>
              <w:t>Convolutional Neural Network Foundations</w:t>
              <w:br/>
              <w:t>Convolution, channels, padding, stride, pooling, output shapes, receptive fields, equivariance, feature maps, and the LeNet-AlexNet-VGG progression.</w:t>
            </w:r>
          </w:p>
        </w:tc>
        <w:tc>
          <w:tcPr>
            <w:tcW w:type="dxa" w:w="2736"/>
            <w:vAlign w:val="center"/>
            <w:tcMar>
              <w:top w:w="80" w:type="dxa"/>
              <w:start w:w="120" w:type="dxa"/>
              <w:bottom w:w="80" w:type="dxa"/>
              <w:end w:w="120" w:type="dxa"/>
            </w:tcMar>
          </w:tcPr>
          <w:p>
            <w:pPr>
              <w:spacing w:after="0" w:line="252" w:lineRule="auto"/>
              <w:jc w:val="left"/>
            </w:pPr>
            <w:r/>
            <w:r>
              <w:rPr>
                <w:rFonts w:ascii="Calibri" w:hAnsi="Calibri"/>
                <w:b w:val="0"/>
                <w:color w:val="17212B"/>
                <w:sz w:val="16"/>
              </w:rPr>
              <w:t>CNN fundamentals, receptive fields, and feature maps</w:t>
            </w:r>
          </w:p>
        </w:tc>
        <w:tc>
          <w:tcPr>
            <w:tcW w:type="dxa" w:w="1987"/>
            <w:vAlign w:val="center"/>
            <w:tcMar>
              <w:top w:w="80" w:type="dxa"/>
              <w:start w:w="120" w:type="dxa"/>
              <w:bottom w:w="80" w:type="dxa"/>
              <w:end w:w="120" w:type="dxa"/>
            </w:tcMar>
          </w:tcPr>
          <w:p>
            <w:pPr>
              <w:spacing w:after="0" w:line="252" w:lineRule="auto"/>
              <w:jc w:val="left"/>
            </w:pPr>
            <w:r/>
            <w:r>
              <w:rPr>
                <w:rFonts w:ascii="Calibri" w:hAnsi="Calibri"/>
                <w:b w:val="0"/>
                <w:color w:val="17212B"/>
                <w:sz w:val="15"/>
              </w:rPr>
              <w:t>CLO-1, CLO-2, CLO-3</w:t>
              <w:br/>
              <w:t>B1 Ch. 10; B2 Ch. 9; B3 Ch. 7</w:t>
            </w:r>
          </w:p>
        </w:tc>
      </w:tr>
      <w:tr>
        <w:trPr>
          <w:cantSplit/>
        </w:trPr>
        <w:tc>
          <w:tcPr>
            <w:tcW w:type="dxa" w:w="604"/>
            <w:vAlign w:val="center"/>
            <w:tcMar>
              <w:top w:w="80" w:type="dxa"/>
              <w:start w:w="120" w:type="dxa"/>
              <w:bottom w:w="80" w:type="dxa"/>
              <w:end w:w="120" w:type="dxa"/>
            </w:tcMar>
          </w:tcPr>
          <w:p>
            <w:pPr>
              <w:spacing w:after="0" w:line="252" w:lineRule="auto"/>
              <w:jc w:val="center"/>
            </w:pPr>
            <w:r/>
            <w:r>
              <w:rPr>
                <w:rFonts w:ascii="Calibri" w:hAnsi="Calibri"/>
                <w:b/>
                <w:color w:val="2E74B5"/>
                <w:sz w:val="18"/>
              </w:rPr>
              <w:t>6</w:t>
            </w:r>
          </w:p>
        </w:tc>
        <w:tc>
          <w:tcPr>
            <w:tcW w:type="dxa" w:w="4320"/>
            <w:vAlign w:val="center"/>
            <w:tcMar>
              <w:top w:w="80" w:type="dxa"/>
              <w:start w:w="120" w:type="dxa"/>
              <w:bottom w:w="80" w:type="dxa"/>
              <w:end w:w="120" w:type="dxa"/>
            </w:tcMar>
          </w:tcPr>
          <w:p>
            <w:pPr>
              <w:spacing w:after="0" w:line="252" w:lineRule="auto"/>
              <w:jc w:val="left"/>
            </w:pPr>
            <w:r/>
            <w:r>
              <w:rPr>
                <w:rFonts w:ascii="Calibri" w:hAnsi="Calibri"/>
                <w:b w:val="0"/>
                <w:color w:val="17212B"/>
                <w:sz w:val="16"/>
              </w:rPr>
              <w:t>Modern CNNs, Residual Learning, and Transfer</w:t>
              <w:br/>
              <w:t>Residual, Inception, and DenseNet patterns; batch normalization; augmentation; pretrained backbones; feature extraction; freeze-unfreeze schedules; domain shift.</w:t>
            </w:r>
          </w:p>
        </w:tc>
        <w:tc>
          <w:tcPr>
            <w:tcW w:type="dxa" w:w="2736"/>
            <w:vAlign w:val="center"/>
            <w:tcMar>
              <w:top w:w="80" w:type="dxa"/>
              <w:start w:w="120" w:type="dxa"/>
              <w:bottom w:w="80" w:type="dxa"/>
              <w:end w:w="120" w:type="dxa"/>
            </w:tcMar>
          </w:tcPr>
          <w:p>
            <w:pPr>
              <w:spacing w:after="0" w:line="252" w:lineRule="auto"/>
              <w:jc w:val="left"/>
            </w:pPr>
            <w:r/>
            <w:r>
              <w:rPr>
                <w:rFonts w:ascii="Calibri" w:hAnsi="Calibri"/>
                <w:b w:val="0"/>
                <w:color w:val="17212B"/>
                <w:sz w:val="16"/>
              </w:rPr>
              <w:t>Residual blocks and synthetic source-to-target transfer learning</w:t>
            </w:r>
          </w:p>
        </w:tc>
        <w:tc>
          <w:tcPr>
            <w:tcW w:type="dxa" w:w="1987"/>
            <w:vAlign w:val="center"/>
            <w:tcMar>
              <w:top w:w="80" w:type="dxa"/>
              <w:start w:w="120" w:type="dxa"/>
              <w:bottom w:w="80" w:type="dxa"/>
              <w:end w:w="120" w:type="dxa"/>
            </w:tcMar>
          </w:tcPr>
          <w:p>
            <w:pPr>
              <w:spacing w:after="0" w:line="252" w:lineRule="auto"/>
              <w:jc w:val="left"/>
            </w:pPr>
            <w:r/>
            <w:r>
              <w:rPr>
                <w:rFonts w:ascii="Calibri" w:hAnsi="Calibri"/>
                <w:b w:val="0"/>
                <w:color w:val="17212B"/>
                <w:sz w:val="15"/>
              </w:rPr>
              <w:t>CLO-1, CLO-2, CLO-3, CLO-4</w:t>
              <w:br/>
              <w:t>B1 Ch. 11; B2 Ch. 9 and 11; B3 Ch. 8 and Sec. 14.1-14.2</w:t>
            </w:r>
          </w:p>
        </w:tc>
      </w:tr>
      <w:tr>
        <w:trPr>
          <w:cantSplit/>
        </w:trPr>
        <w:tc>
          <w:tcPr>
            <w:tcW w:type="dxa" w:w="604"/>
            <w:vAlign w:val="center"/>
            <w:tcMar>
              <w:top w:w="80" w:type="dxa"/>
              <w:start w:w="120" w:type="dxa"/>
              <w:bottom w:w="80" w:type="dxa"/>
              <w:end w:w="120" w:type="dxa"/>
            </w:tcMar>
          </w:tcPr>
          <w:p>
            <w:pPr>
              <w:spacing w:after="0" w:line="252" w:lineRule="auto"/>
              <w:jc w:val="center"/>
            </w:pPr>
            <w:r/>
            <w:r>
              <w:rPr>
                <w:rFonts w:ascii="Calibri" w:hAnsi="Calibri"/>
                <w:b/>
                <w:color w:val="2E74B5"/>
                <w:sz w:val="18"/>
              </w:rPr>
              <w:t>7</w:t>
            </w:r>
          </w:p>
        </w:tc>
        <w:tc>
          <w:tcPr>
            <w:tcW w:type="dxa" w:w="4320"/>
            <w:vAlign w:val="center"/>
            <w:tcMar>
              <w:top w:w="80" w:type="dxa"/>
              <w:start w:w="120" w:type="dxa"/>
              <w:bottom w:w="80" w:type="dxa"/>
              <w:end w:w="120" w:type="dxa"/>
            </w:tcMar>
          </w:tcPr>
          <w:p>
            <w:pPr>
              <w:spacing w:after="0" w:line="252" w:lineRule="auto"/>
              <w:jc w:val="left"/>
            </w:pPr>
            <w:r/>
            <w:r>
              <w:rPr>
                <w:rFonts w:ascii="Calibri" w:hAnsi="Calibri"/>
                <w:b w:val="0"/>
                <w:color w:val="17212B"/>
                <w:sz w:val="16"/>
              </w:rPr>
              <w:t>Object Detection and Semantic Segmentation</w:t>
              <w:br/>
              <w:t>Classification versus boxes versus masks; IoU, average precision, and Dice; one-stage and two-stage detectors; FCN and U-Net; error analysis.</w:t>
            </w:r>
          </w:p>
        </w:tc>
        <w:tc>
          <w:tcPr>
            <w:tcW w:type="dxa" w:w="2736"/>
            <w:vAlign w:val="center"/>
            <w:tcMar>
              <w:top w:w="80" w:type="dxa"/>
              <w:start w:w="120" w:type="dxa"/>
              <w:bottom w:w="80" w:type="dxa"/>
              <w:end w:w="120" w:type="dxa"/>
            </w:tcMar>
          </w:tcPr>
          <w:p>
            <w:pPr>
              <w:spacing w:after="0" w:line="252" w:lineRule="auto"/>
              <w:jc w:val="left"/>
            </w:pPr>
            <w:r/>
            <w:r>
              <w:rPr>
                <w:rFonts w:ascii="Calibri" w:hAnsi="Calibri"/>
                <w:b w:val="0"/>
                <w:color w:val="17212B"/>
                <w:sz w:val="16"/>
              </w:rPr>
              <w:t>Synthetic shapes for detection and segmentation</w:t>
            </w:r>
          </w:p>
        </w:tc>
        <w:tc>
          <w:tcPr>
            <w:tcW w:type="dxa" w:w="1987"/>
            <w:vAlign w:val="center"/>
            <w:tcMar>
              <w:top w:w="80" w:type="dxa"/>
              <w:start w:w="120" w:type="dxa"/>
              <w:bottom w:w="80" w:type="dxa"/>
              <w:end w:w="120" w:type="dxa"/>
            </w:tcMar>
          </w:tcPr>
          <w:p>
            <w:pPr>
              <w:spacing w:after="0" w:line="252" w:lineRule="auto"/>
              <w:jc w:val="left"/>
            </w:pPr>
            <w:r/>
            <w:r>
              <w:rPr>
                <w:rFonts w:ascii="Calibri" w:hAnsi="Calibri"/>
                <w:b w:val="0"/>
                <w:color w:val="17212B"/>
                <w:sz w:val="15"/>
              </w:rPr>
              <w:t>CLO-2, CLO-3, CLO-4</w:t>
              <w:br/>
              <w:t>B1 Ch. 10 selective; B2 Ch. 12; B3 Sec. 14.3-14.11</w:t>
            </w:r>
          </w:p>
        </w:tc>
      </w:tr>
      <w:tr>
        <w:trPr>
          <w:cantSplit/>
        </w:trPr>
        <w:tc>
          <w:tcPr>
            <w:tcW w:type="dxa" w:w="604"/>
            <w:vAlign w:val="center"/>
            <w:tcMar>
              <w:top w:w="80" w:type="dxa"/>
              <w:start w:w="120" w:type="dxa"/>
              <w:bottom w:w="80" w:type="dxa"/>
              <w:end w:w="120" w:type="dxa"/>
            </w:tcMar>
          </w:tcPr>
          <w:p>
            <w:pPr>
              <w:spacing w:after="0" w:line="252" w:lineRule="auto"/>
              <w:jc w:val="center"/>
            </w:pPr>
            <w:r/>
            <w:r>
              <w:rPr>
                <w:rFonts w:ascii="Calibri" w:hAnsi="Calibri"/>
                <w:b/>
                <w:color w:val="2E74B5"/>
                <w:sz w:val="18"/>
              </w:rPr>
              <w:t>8</w:t>
            </w:r>
          </w:p>
        </w:tc>
        <w:tc>
          <w:tcPr>
            <w:tcW w:type="dxa" w:w="4320"/>
            <w:vAlign w:val="center"/>
            <w:tcMar>
              <w:top w:w="80" w:type="dxa"/>
              <w:start w:w="120" w:type="dxa"/>
              <w:bottom w:w="80" w:type="dxa"/>
              <w:end w:w="120" w:type="dxa"/>
            </w:tcMar>
          </w:tcPr>
          <w:p>
            <w:pPr>
              <w:spacing w:after="0" w:line="252" w:lineRule="auto"/>
              <w:jc w:val="left"/>
            </w:pPr>
            <w:r/>
            <w:r>
              <w:rPr>
                <w:rFonts w:ascii="Calibri" w:hAnsi="Calibri"/>
                <w:b w:val="0"/>
                <w:color w:val="17212B"/>
                <w:sz w:val="16"/>
              </w:rPr>
              <w:t>Recurrent Networks and Gated Memory</w:t>
              <w:br/>
              <w:t>Sequence windows; recurrent state; unrolling and backpropagation through time; vanishing and exploding gradients; LSTM, GRU, encoder-decoder patterns, and sequence evaluation.</w:t>
            </w:r>
          </w:p>
        </w:tc>
        <w:tc>
          <w:tcPr>
            <w:tcW w:type="dxa" w:w="2736"/>
            <w:vAlign w:val="center"/>
            <w:tcMar>
              <w:top w:w="80" w:type="dxa"/>
              <w:start w:w="120" w:type="dxa"/>
              <w:bottom w:w="80" w:type="dxa"/>
              <w:end w:w="120" w:type="dxa"/>
            </w:tcMar>
          </w:tcPr>
          <w:p>
            <w:pPr>
              <w:spacing w:after="0" w:line="252" w:lineRule="auto"/>
              <w:jc w:val="left"/>
            </w:pPr>
            <w:r/>
            <w:r>
              <w:rPr>
                <w:rFonts w:ascii="Calibri" w:hAnsi="Calibri"/>
                <w:b w:val="0"/>
                <w:color w:val="17212B"/>
                <w:sz w:val="16"/>
              </w:rPr>
              <w:t>RNN, LSTM, and GRU time-series forecasting</w:t>
            </w:r>
          </w:p>
        </w:tc>
        <w:tc>
          <w:tcPr>
            <w:tcW w:type="dxa" w:w="1987"/>
            <w:vAlign w:val="center"/>
            <w:tcMar>
              <w:top w:w="80" w:type="dxa"/>
              <w:start w:w="120" w:type="dxa"/>
              <w:bottom w:w="80" w:type="dxa"/>
              <w:end w:w="120" w:type="dxa"/>
            </w:tcMar>
          </w:tcPr>
          <w:p>
            <w:pPr>
              <w:spacing w:after="0" w:line="252" w:lineRule="auto"/>
              <w:jc w:val="left"/>
            </w:pPr>
            <w:r/>
            <w:r>
              <w:rPr>
                <w:rFonts w:ascii="Calibri" w:hAnsi="Calibri"/>
                <w:b w:val="0"/>
                <w:color w:val="17212B"/>
                <w:sz w:val="15"/>
              </w:rPr>
              <w:t>CLO-1, CLO-2, CLO-3</w:t>
              <w:br/>
              <w:t>B2 Ch. 10; B3 Ch. 9-10</w:t>
            </w:r>
          </w:p>
        </w:tc>
      </w:tr>
    </w:tbl>
    <w:tbl>
      <w:tblPr>
        <w:tblW w:type="dxa" w:w="9648"/>
        <w:jc w:val="center"/>
        <w:tblLayout w:type="fixed"/>
        <w:tblLook w:firstColumn="1" w:firstRow="1" w:lastColumn="0" w:lastRow="0" w:noHBand="0" w:noVBand="1" w:val="04A0"/>
        <w:tblBorders>
          <w:top w:val="single" w:sz="2" w:color="F3F5F7"/>
          <w:left w:val="single" w:sz="2" w:color="F3F5F7"/>
          <w:bottom w:val="single" w:sz="2" w:color="F3F5F7"/>
          <w:right w:val="single" w:sz="2" w:color="F3F5F7"/>
          <w:insideH w:val="single" w:sz="2" w:color="F3F5F7"/>
          <w:insideV w:val="single" w:sz="2" w:color="F3F5F7"/>
        </w:tblBorders>
      </w:tblPr>
      <w:tblGrid>
        <w:gridCol w:w="4824"/>
        <w:gridCol w:w="4824"/>
      </w:tblGrid>
      <w:tr>
        <w:trPr>
          <w:cantSplit/>
        </w:trPr>
        <w:tc>
          <w:tcPr>
            <w:tcW w:type="dxa" w:w="187"/>
            <w:vAlign w:val="center"/>
            <w:tcMar>
              <w:top w:w="80" w:type="dxa"/>
              <w:start w:w="120" w:type="dxa"/>
              <w:bottom w:w="80" w:type="dxa"/>
              <w:end w:w="120" w:type="dxa"/>
            </w:tcMar>
            <w:shd w:fill="C96B20"/>
          </w:tcPr>
          <w:p>
            <w:r/>
          </w:p>
        </w:tc>
        <w:tc>
          <w:tcPr>
            <w:tcW w:type="dxa" w:w="9460"/>
            <w:vAlign w:val="center"/>
            <w:tcMar>
              <w:top w:w="80" w:type="dxa"/>
              <w:start w:w="120" w:type="dxa"/>
              <w:bottom w:w="80" w:type="dxa"/>
              <w:end w:w="120" w:type="dxa"/>
            </w:tcMar>
            <w:shd w:fill="F3F5F7"/>
          </w:tcPr>
          <w:p>
            <w:pPr>
              <w:spacing w:after="40"/>
            </w:pPr>
            <w:r/>
            <w:r>
              <w:rPr>
                <w:b/>
                <w:color w:val="173B57"/>
                <w:sz w:val="20"/>
              </w:rPr>
              <w:t>Midterm assessment</w:t>
            </w:r>
          </w:p>
          <w:p>
            <w:pPr>
              <w:spacing w:after="0" w:line="259" w:lineRule="auto"/>
            </w:pPr>
            <w:r>
              <w:rPr>
                <w:sz w:val="19"/>
              </w:rPr>
              <w:t>Schedule the midterm after Week 8 as a separate assessment event. It covers Weeks 1-8 and does not replace a teaching week.</w:t>
            </w:r>
          </w:p>
        </w:tc>
      </w:tr>
    </w:tbl>
    <w:p>
      <w:pPr>
        <w:pStyle w:val="Heading2"/>
      </w:pPr>
      <w:r>
        <w:t>Weeks 9-16 | Transformers, generation, graphs, responsibility, and deployment</w:t>
      </w:r>
    </w:p>
    <w:tbl>
      <w:tblPr>
        <w:tblW w:type="dxa" w:w="9648"/>
        <w:tblLayout w:type="fixed"/>
        <w:tblLook w:firstColumn="1" w:firstRow="1" w:lastColumn="0" w:lastRow="0" w:noHBand="0" w:noVBand="1" w:val="04A0"/>
        <w:jc w:val="center"/>
        <w:tblBorders>
          <w:top w:val="single" w:sz="6" w:color="D8E0E7"/>
          <w:left w:val="single" w:sz="6" w:color="D8E0E7"/>
          <w:bottom w:val="single" w:sz="6" w:color="D8E0E7"/>
          <w:right w:val="single" w:sz="6" w:color="D8E0E7"/>
          <w:insideH w:val="single" w:sz="6" w:color="D8E0E7"/>
          <w:insideV w:val="single" w:sz="6" w:color="D8E0E7"/>
        </w:tblBorders>
      </w:tblPr>
      <w:tblGrid>
        <w:gridCol w:w="2412"/>
        <w:gridCol w:w="2412"/>
        <w:gridCol w:w="2412"/>
        <w:gridCol w:w="2412"/>
      </w:tblGrid>
      <w:tr>
        <w:trPr>
          <w:cantSplit/>
          <w:tblHeader w:val="true"/>
          <w:cantSplit/>
        </w:trPr>
        <w:tc>
          <w:tcPr>
            <w:tcW w:type="dxa" w:w="604"/>
            <w:vAlign w:val="center"/>
            <w:tcMar>
              <w:top w:w="80" w:type="dxa"/>
              <w:start w:w="120" w:type="dxa"/>
              <w:bottom w:w="80" w:type="dxa"/>
              <w:end w:w="120" w:type="dxa"/>
            </w:tcMar>
            <w:shd w:fill="173B57"/>
          </w:tcPr>
          <w:p>
            <w:pPr>
              <w:spacing w:after="0" w:line="252" w:lineRule="auto"/>
              <w:jc w:val="center"/>
            </w:pPr>
            <w:r/>
            <w:r>
              <w:rPr>
                <w:rFonts w:ascii="Calibri" w:hAnsi="Calibri"/>
                <w:b/>
                <w:color w:val="FFFFFF"/>
                <w:sz w:val="16"/>
              </w:rPr>
              <w:t>Wk</w:t>
            </w:r>
          </w:p>
        </w:tc>
        <w:tc>
          <w:tcPr>
            <w:tcW w:type="dxa" w:w="4320"/>
            <w:vAlign w:val="center"/>
            <w:tcMar>
              <w:top w:w="80" w:type="dxa"/>
              <w:start w:w="120" w:type="dxa"/>
              <w:bottom w:w="80" w:type="dxa"/>
              <w:end w:w="120" w:type="dxa"/>
            </w:tcMar>
            <w:shd w:fill="173B57"/>
          </w:tcPr>
          <w:p>
            <w:pPr>
              <w:spacing w:after="0" w:line="252" w:lineRule="auto"/>
              <w:jc w:val="center"/>
            </w:pPr>
            <w:r/>
            <w:r>
              <w:rPr>
                <w:rFonts w:ascii="Calibri" w:hAnsi="Calibri"/>
                <w:b/>
                <w:color w:val="FFFFFF"/>
                <w:sz w:val="16"/>
              </w:rPr>
              <w:t>Lecture and key coverage</w:t>
            </w:r>
          </w:p>
        </w:tc>
        <w:tc>
          <w:tcPr>
            <w:tcW w:type="dxa" w:w="2736"/>
            <w:vAlign w:val="center"/>
            <w:tcMar>
              <w:top w:w="80" w:type="dxa"/>
              <w:start w:w="120" w:type="dxa"/>
              <w:bottom w:w="80" w:type="dxa"/>
              <w:end w:w="120" w:type="dxa"/>
            </w:tcMar>
            <w:shd w:fill="173B57"/>
          </w:tcPr>
          <w:p>
            <w:pPr>
              <w:spacing w:after="0" w:line="252" w:lineRule="auto"/>
              <w:jc w:val="center"/>
            </w:pPr>
            <w:r/>
            <w:r>
              <w:rPr>
                <w:rFonts w:ascii="Calibri" w:hAnsi="Calibri"/>
                <w:b/>
                <w:color w:val="FFFFFF"/>
                <w:sz w:val="16"/>
              </w:rPr>
              <w:t>Three-hour laboratory</w:t>
            </w:r>
          </w:p>
        </w:tc>
        <w:tc>
          <w:tcPr>
            <w:tcW w:type="dxa" w:w="1987"/>
            <w:vAlign w:val="center"/>
            <w:tcMar>
              <w:top w:w="80" w:type="dxa"/>
              <w:start w:w="120" w:type="dxa"/>
              <w:bottom w:w="80" w:type="dxa"/>
              <w:end w:w="120" w:type="dxa"/>
            </w:tcMar>
            <w:shd w:fill="173B57"/>
          </w:tcPr>
          <w:p>
            <w:pPr>
              <w:spacing w:after="0" w:line="252" w:lineRule="auto"/>
              <w:jc w:val="center"/>
            </w:pPr>
            <w:r/>
            <w:r>
              <w:rPr>
                <w:rFonts w:ascii="Calibri" w:hAnsi="Calibri"/>
                <w:b/>
                <w:color w:val="FFFFFF"/>
                <w:sz w:val="16"/>
              </w:rPr>
              <w:t>CLO / books</w:t>
            </w:r>
          </w:p>
        </w:tc>
      </w:tr>
      <w:tr>
        <w:trPr>
          <w:cantSplit/>
        </w:trPr>
        <w:tc>
          <w:tcPr>
            <w:tcW w:type="dxa" w:w="604"/>
            <w:vAlign w:val="center"/>
            <w:tcMar>
              <w:top w:w="80" w:type="dxa"/>
              <w:start w:w="120" w:type="dxa"/>
              <w:bottom w:w="80" w:type="dxa"/>
              <w:end w:w="120" w:type="dxa"/>
            </w:tcMar>
          </w:tcPr>
          <w:p>
            <w:pPr>
              <w:spacing w:after="0" w:line="252" w:lineRule="auto"/>
              <w:jc w:val="center"/>
            </w:pPr>
            <w:r/>
            <w:r>
              <w:rPr>
                <w:rFonts w:ascii="Calibri" w:hAnsi="Calibri"/>
                <w:b/>
                <w:color w:val="2E74B5"/>
                <w:sz w:val="18"/>
              </w:rPr>
              <w:t>9</w:t>
            </w:r>
          </w:p>
        </w:tc>
        <w:tc>
          <w:tcPr>
            <w:tcW w:type="dxa" w:w="4320"/>
            <w:vAlign w:val="center"/>
            <w:tcMar>
              <w:top w:w="80" w:type="dxa"/>
              <w:start w:w="120" w:type="dxa"/>
              <w:bottom w:w="80" w:type="dxa"/>
              <w:end w:w="120" w:type="dxa"/>
            </w:tcMar>
          </w:tcPr>
          <w:p>
            <w:pPr>
              <w:spacing w:after="0" w:line="252" w:lineRule="auto"/>
              <w:jc w:val="left"/>
            </w:pPr>
            <w:r/>
            <w:r>
              <w:rPr>
                <w:rFonts w:ascii="Calibri" w:hAnsi="Calibri"/>
                <w:b w:val="0"/>
                <w:color w:val="17212B"/>
                <w:sz w:val="16"/>
              </w:rPr>
              <w:t>Attention Mechanics and Transformer Blocks</w:t>
              <w:br/>
              <w:t>Queries, keys, and values; scaled dot-product attention; masks; multi-head attention; positional encoding; residual connections; layer normalization; encoder-decoder structure.</w:t>
            </w:r>
          </w:p>
        </w:tc>
        <w:tc>
          <w:tcPr>
            <w:tcW w:type="dxa" w:w="2736"/>
            <w:vAlign w:val="center"/>
            <w:tcMar>
              <w:top w:w="80" w:type="dxa"/>
              <w:start w:w="120" w:type="dxa"/>
              <w:bottom w:w="80" w:type="dxa"/>
              <w:end w:w="120" w:type="dxa"/>
            </w:tcMar>
          </w:tcPr>
          <w:p>
            <w:pPr>
              <w:spacing w:after="0" w:line="252" w:lineRule="auto"/>
              <w:jc w:val="left"/>
            </w:pPr>
            <w:r/>
            <w:r>
              <w:rPr>
                <w:rFonts w:ascii="Calibri" w:hAnsi="Calibri"/>
                <w:b w:val="0"/>
                <w:color w:val="17212B"/>
                <w:sz w:val="16"/>
              </w:rPr>
              <w:t>Scaled attention and a tiny Transformer</w:t>
            </w:r>
          </w:p>
        </w:tc>
        <w:tc>
          <w:tcPr>
            <w:tcW w:type="dxa" w:w="1987"/>
            <w:vAlign w:val="center"/>
            <w:tcMar>
              <w:top w:w="80" w:type="dxa"/>
              <w:start w:w="120" w:type="dxa"/>
              <w:bottom w:w="80" w:type="dxa"/>
              <w:end w:w="120" w:type="dxa"/>
            </w:tcMar>
          </w:tcPr>
          <w:p>
            <w:pPr>
              <w:spacing w:after="0" w:line="252" w:lineRule="auto"/>
              <w:jc w:val="left"/>
            </w:pPr>
            <w:r/>
            <w:r>
              <w:rPr>
                <w:rFonts w:ascii="Calibri" w:hAnsi="Calibri"/>
                <w:b w:val="0"/>
                <w:color w:val="17212B"/>
                <w:sz w:val="15"/>
              </w:rPr>
              <w:t>CLO-1, CLO-2, CLO-3</w:t>
              <w:br/>
              <w:t>B1 Ch. 12.1-12.4; B3 Ch. 11.1-11.7; B4 Ch. 12</w:t>
            </w:r>
          </w:p>
        </w:tc>
      </w:tr>
      <w:tr>
        <w:trPr>
          <w:cantSplit/>
        </w:trPr>
        <w:tc>
          <w:tcPr>
            <w:tcW w:type="dxa" w:w="604"/>
            <w:vAlign w:val="center"/>
            <w:tcMar>
              <w:top w:w="80" w:type="dxa"/>
              <w:start w:w="120" w:type="dxa"/>
              <w:bottom w:w="80" w:type="dxa"/>
              <w:end w:w="120" w:type="dxa"/>
            </w:tcMar>
          </w:tcPr>
          <w:p>
            <w:pPr>
              <w:spacing w:after="0" w:line="252" w:lineRule="auto"/>
              <w:jc w:val="center"/>
            </w:pPr>
            <w:r/>
            <w:r>
              <w:rPr>
                <w:rFonts w:ascii="Calibri" w:hAnsi="Calibri"/>
                <w:b/>
                <w:color w:val="2E74B5"/>
                <w:sz w:val="18"/>
              </w:rPr>
              <w:t>10</w:t>
            </w:r>
          </w:p>
        </w:tc>
        <w:tc>
          <w:tcPr>
            <w:tcW w:type="dxa" w:w="4320"/>
            <w:vAlign w:val="center"/>
            <w:tcMar>
              <w:top w:w="80" w:type="dxa"/>
              <w:start w:w="120" w:type="dxa"/>
              <w:bottom w:w="80" w:type="dxa"/>
              <w:end w:w="120" w:type="dxa"/>
            </w:tcMar>
          </w:tcPr>
          <w:p>
            <w:pPr>
              <w:spacing w:after="0" w:line="252" w:lineRule="auto"/>
              <w:jc w:val="left"/>
            </w:pPr>
            <w:r/>
            <w:r>
              <w:rPr>
                <w:rFonts w:ascii="Calibri" w:hAnsi="Calibri"/>
                <w:b w:val="0"/>
                <w:color w:val="17212B"/>
                <w:sz w:val="16"/>
              </w:rPr>
              <w:t>Pretraining and Transformer Model Families</w:t>
              <w:br/>
              <w:t>Tokenization; masked and causal language modeling; BERT, GPT, and T5 patterns; transfer learning; parameter-efficient adaptation concepts; evaluation and limitations.</w:t>
            </w:r>
          </w:p>
        </w:tc>
        <w:tc>
          <w:tcPr>
            <w:tcW w:type="dxa" w:w="2736"/>
            <w:vAlign w:val="center"/>
            <w:tcMar>
              <w:top w:w="80" w:type="dxa"/>
              <w:start w:w="120" w:type="dxa"/>
              <w:bottom w:w="80" w:type="dxa"/>
              <w:end w:w="120" w:type="dxa"/>
            </w:tcMar>
          </w:tcPr>
          <w:p>
            <w:pPr>
              <w:spacing w:after="0" w:line="252" w:lineRule="auto"/>
              <w:jc w:val="left"/>
            </w:pPr>
            <w:r/>
            <w:r>
              <w:rPr>
                <w:rFonts w:ascii="Calibri" w:hAnsi="Calibri"/>
                <w:b w:val="0"/>
                <w:color w:val="17212B"/>
                <w:sz w:val="16"/>
              </w:rPr>
              <w:t>Toy masked-sequence pretraining and classification transfer</w:t>
            </w:r>
          </w:p>
        </w:tc>
        <w:tc>
          <w:tcPr>
            <w:tcW w:type="dxa" w:w="1987"/>
            <w:vAlign w:val="center"/>
            <w:tcMar>
              <w:top w:w="80" w:type="dxa"/>
              <w:start w:w="120" w:type="dxa"/>
              <w:bottom w:w="80" w:type="dxa"/>
              <w:end w:w="120" w:type="dxa"/>
            </w:tcMar>
          </w:tcPr>
          <w:p>
            <w:pPr>
              <w:spacing w:after="0" w:line="252" w:lineRule="auto"/>
              <w:jc w:val="left"/>
            </w:pPr>
            <w:r/>
            <w:r>
              <w:rPr>
                <w:rFonts w:ascii="Calibri" w:hAnsi="Calibri"/>
                <w:b w:val="0"/>
                <w:color w:val="17212B"/>
                <w:sz w:val="15"/>
              </w:rPr>
              <w:t>CLO-1, CLO-2, CLO-3, CLO-4</w:t>
              <w:br/>
              <w:t>B1 Ch. 12.5-12.10; B3 Sec. 11.9, 15.8-15.10, 16.7</w:t>
            </w:r>
          </w:p>
        </w:tc>
      </w:tr>
      <w:tr>
        <w:trPr>
          <w:cantSplit/>
        </w:trPr>
        <w:tc>
          <w:tcPr>
            <w:tcW w:type="dxa" w:w="604"/>
            <w:vAlign w:val="center"/>
            <w:tcMar>
              <w:top w:w="80" w:type="dxa"/>
              <w:start w:w="120" w:type="dxa"/>
              <w:bottom w:w="80" w:type="dxa"/>
              <w:end w:w="120" w:type="dxa"/>
            </w:tcMar>
          </w:tcPr>
          <w:p>
            <w:pPr>
              <w:spacing w:after="0" w:line="252" w:lineRule="auto"/>
              <w:jc w:val="center"/>
            </w:pPr>
            <w:r/>
            <w:r>
              <w:rPr>
                <w:rFonts w:ascii="Calibri" w:hAnsi="Calibri"/>
                <w:b/>
                <w:color w:val="2E74B5"/>
                <w:sz w:val="18"/>
              </w:rPr>
              <w:t>11</w:t>
            </w:r>
          </w:p>
        </w:tc>
        <w:tc>
          <w:tcPr>
            <w:tcW w:type="dxa" w:w="4320"/>
            <w:vAlign w:val="center"/>
            <w:tcMar>
              <w:top w:w="80" w:type="dxa"/>
              <w:start w:w="120" w:type="dxa"/>
              <w:bottom w:w="80" w:type="dxa"/>
              <w:end w:w="120" w:type="dxa"/>
            </w:tcMar>
          </w:tcPr>
          <w:p>
            <w:pPr>
              <w:spacing w:after="0" w:line="252" w:lineRule="auto"/>
              <w:jc w:val="left"/>
            </w:pPr>
            <w:r/>
            <w:r>
              <w:rPr>
                <w:rFonts w:ascii="Calibri" w:hAnsi="Calibri"/>
                <w:b w:val="0"/>
                <w:color w:val="17212B"/>
                <w:sz w:val="16"/>
              </w:rPr>
              <w:t>Autoencoders and Variational Autoencoders</w:t>
              <w:br/>
              <w:t>Representation bottlenecks; reconstruction objectives; latent-variable models; ELBO; KL regularization; reparameterization; latent interpolation and posterior collapse.</w:t>
            </w:r>
          </w:p>
        </w:tc>
        <w:tc>
          <w:tcPr>
            <w:tcW w:type="dxa" w:w="2736"/>
            <w:vAlign w:val="center"/>
            <w:tcMar>
              <w:top w:w="80" w:type="dxa"/>
              <w:start w:w="120" w:type="dxa"/>
              <w:bottom w:w="80" w:type="dxa"/>
              <w:end w:w="120" w:type="dxa"/>
            </w:tcMar>
          </w:tcPr>
          <w:p>
            <w:pPr>
              <w:spacing w:after="0" w:line="252" w:lineRule="auto"/>
              <w:jc w:val="left"/>
            </w:pPr>
            <w:r/>
            <w:r>
              <w:rPr>
                <w:rFonts w:ascii="Calibri" w:hAnsi="Calibri"/>
                <w:b w:val="0"/>
                <w:color w:val="17212B"/>
                <w:sz w:val="16"/>
              </w:rPr>
              <w:t>VAE reconstruction, ELBO, and latent-space exploration</w:t>
            </w:r>
          </w:p>
        </w:tc>
        <w:tc>
          <w:tcPr>
            <w:tcW w:type="dxa" w:w="1987"/>
            <w:vAlign w:val="center"/>
            <w:tcMar>
              <w:top w:w="80" w:type="dxa"/>
              <w:start w:w="120" w:type="dxa"/>
              <w:bottom w:w="80" w:type="dxa"/>
              <w:end w:w="120" w:type="dxa"/>
            </w:tcMar>
          </w:tcPr>
          <w:p>
            <w:pPr>
              <w:spacing w:after="0" w:line="252" w:lineRule="auto"/>
              <w:jc w:val="left"/>
            </w:pPr>
            <w:r/>
            <w:r>
              <w:rPr>
                <w:rFonts w:ascii="Calibri" w:hAnsi="Calibri"/>
                <w:b w:val="0"/>
                <w:color w:val="17212B"/>
                <w:sz w:val="15"/>
              </w:rPr>
              <w:t>CLO-1, CLO-2, CLO-3</w:t>
              <w:br/>
              <w:t>B1 Ch. 14 and 17; B2 Ch. 14 and 20; B4 Ch. 17; B5 Ch. 3</w:t>
            </w:r>
          </w:p>
        </w:tc>
      </w:tr>
      <w:tr>
        <w:trPr>
          <w:cantSplit/>
        </w:trPr>
        <w:tc>
          <w:tcPr>
            <w:tcW w:type="dxa" w:w="604"/>
            <w:vAlign w:val="center"/>
            <w:tcMar>
              <w:top w:w="80" w:type="dxa"/>
              <w:start w:w="120" w:type="dxa"/>
              <w:bottom w:w="80" w:type="dxa"/>
              <w:end w:w="120" w:type="dxa"/>
            </w:tcMar>
          </w:tcPr>
          <w:p>
            <w:pPr>
              <w:spacing w:after="0" w:line="252" w:lineRule="auto"/>
              <w:jc w:val="center"/>
            </w:pPr>
            <w:r/>
            <w:r>
              <w:rPr>
                <w:rFonts w:ascii="Calibri" w:hAnsi="Calibri"/>
                <w:b/>
                <w:color w:val="2E74B5"/>
                <w:sz w:val="18"/>
              </w:rPr>
              <w:t>12</w:t>
            </w:r>
          </w:p>
        </w:tc>
        <w:tc>
          <w:tcPr>
            <w:tcW w:type="dxa" w:w="4320"/>
            <w:vAlign w:val="center"/>
            <w:tcMar>
              <w:top w:w="80" w:type="dxa"/>
              <w:start w:w="120" w:type="dxa"/>
              <w:bottom w:w="80" w:type="dxa"/>
              <w:end w:w="120" w:type="dxa"/>
            </w:tcMar>
          </w:tcPr>
          <w:p>
            <w:pPr>
              <w:spacing w:after="0" w:line="252" w:lineRule="auto"/>
              <w:jc w:val="left"/>
            </w:pPr>
            <w:r/>
            <w:r>
              <w:rPr>
                <w:rFonts w:ascii="Calibri" w:hAnsi="Calibri"/>
                <w:b w:val="0"/>
                <w:color w:val="17212B"/>
                <w:sz w:val="16"/>
              </w:rPr>
              <w:t>Generative Adversarial Networks</w:t>
              <w:br/>
              <w:t>Minimax objectives; alternating updates; discriminator-generator balance; DCGAN and conditioning; instability; mode collapse; sample evaluation.</w:t>
            </w:r>
          </w:p>
        </w:tc>
        <w:tc>
          <w:tcPr>
            <w:tcW w:type="dxa" w:w="2736"/>
            <w:vAlign w:val="center"/>
            <w:tcMar>
              <w:top w:w="80" w:type="dxa"/>
              <w:start w:w="120" w:type="dxa"/>
              <w:bottom w:w="80" w:type="dxa"/>
              <w:end w:w="120" w:type="dxa"/>
            </w:tcMar>
          </w:tcPr>
          <w:p>
            <w:pPr>
              <w:spacing w:after="0" w:line="252" w:lineRule="auto"/>
              <w:jc w:val="left"/>
            </w:pPr>
            <w:r/>
            <w:r>
              <w:rPr>
                <w:rFonts w:ascii="Calibri" w:hAnsi="Calibri"/>
                <w:b w:val="0"/>
                <w:color w:val="17212B"/>
                <w:sz w:val="16"/>
              </w:rPr>
              <w:t>Toy GAN training dynamics and mode-collapse diagnosis</w:t>
            </w:r>
          </w:p>
        </w:tc>
        <w:tc>
          <w:tcPr>
            <w:tcW w:type="dxa" w:w="1987"/>
            <w:vAlign w:val="center"/>
            <w:tcMar>
              <w:top w:w="80" w:type="dxa"/>
              <w:start w:w="120" w:type="dxa"/>
              <w:bottom w:w="80" w:type="dxa"/>
              <w:end w:w="120" w:type="dxa"/>
            </w:tcMar>
          </w:tcPr>
          <w:p>
            <w:pPr>
              <w:spacing w:after="0" w:line="252" w:lineRule="auto"/>
              <w:jc w:val="left"/>
            </w:pPr>
            <w:r/>
            <w:r>
              <w:rPr>
                <w:rFonts w:ascii="Calibri" w:hAnsi="Calibri"/>
                <w:b w:val="0"/>
                <w:color w:val="17212B"/>
                <w:sz w:val="15"/>
              </w:rPr>
              <w:t>CLO-1, CLO-2, CLO-3, CLO-4</w:t>
              <w:br/>
              <w:t>B1 Ch. 15; B2 Ch. 20; B4 Ch. 17; B5 Ch. 4</w:t>
            </w:r>
          </w:p>
        </w:tc>
      </w:tr>
      <w:tr>
        <w:trPr>
          <w:cantSplit/>
        </w:trPr>
        <w:tc>
          <w:tcPr>
            <w:tcW w:type="dxa" w:w="604"/>
            <w:vAlign w:val="center"/>
            <w:tcMar>
              <w:top w:w="80" w:type="dxa"/>
              <w:start w:w="120" w:type="dxa"/>
              <w:bottom w:w="80" w:type="dxa"/>
              <w:end w:w="120" w:type="dxa"/>
            </w:tcMar>
          </w:tcPr>
          <w:p>
            <w:pPr>
              <w:spacing w:after="0" w:line="252" w:lineRule="auto"/>
              <w:jc w:val="center"/>
            </w:pPr>
            <w:r/>
            <w:r>
              <w:rPr>
                <w:rFonts w:ascii="Calibri" w:hAnsi="Calibri"/>
                <w:b/>
                <w:color w:val="2E74B5"/>
                <w:sz w:val="18"/>
              </w:rPr>
              <w:t>13</w:t>
            </w:r>
          </w:p>
        </w:tc>
        <w:tc>
          <w:tcPr>
            <w:tcW w:type="dxa" w:w="4320"/>
            <w:vAlign w:val="center"/>
            <w:tcMar>
              <w:top w:w="80" w:type="dxa"/>
              <w:start w:w="120" w:type="dxa"/>
              <w:bottom w:w="80" w:type="dxa"/>
              <w:end w:w="120" w:type="dxa"/>
            </w:tcMar>
          </w:tcPr>
          <w:p>
            <w:pPr>
              <w:spacing w:after="0" w:line="252" w:lineRule="auto"/>
              <w:jc w:val="left"/>
            </w:pPr>
            <w:r/>
            <w:r>
              <w:rPr>
                <w:rFonts w:ascii="Calibri" w:hAnsi="Calibri"/>
                <w:b w:val="0"/>
                <w:color w:val="17212B"/>
                <w:sz w:val="16"/>
              </w:rPr>
              <w:t>Diffusion Models and Latent Generation</w:t>
              <w:br/>
              <w:t>Forward noising; noise schedules; learned reverse denoising; score/noise prediction; DDPM and DDIM ideas; conditioning; latent diffusion; quality-compute trade-offs.</w:t>
            </w:r>
          </w:p>
        </w:tc>
        <w:tc>
          <w:tcPr>
            <w:tcW w:type="dxa" w:w="2736"/>
            <w:vAlign w:val="center"/>
            <w:tcMar>
              <w:top w:w="80" w:type="dxa"/>
              <w:start w:w="120" w:type="dxa"/>
              <w:bottom w:w="80" w:type="dxa"/>
              <w:end w:w="120" w:type="dxa"/>
            </w:tcMar>
          </w:tcPr>
          <w:p>
            <w:pPr>
              <w:spacing w:after="0" w:line="252" w:lineRule="auto"/>
              <w:jc w:val="left"/>
            </w:pPr>
            <w:r/>
            <w:r>
              <w:rPr>
                <w:rFonts w:ascii="Calibri" w:hAnsi="Calibri"/>
                <w:b w:val="0"/>
                <w:color w:val="17212B"/>
                <w:sz w:val="16"/>
              </w:rPr>
              <w:t>Toy diffusion with forward and reverse trajectories</w:t>
            </w:r>
          </w:p>
        </w:tc>
        <w:tc>
          <w:tcPr>
            <w:tcW w:type="dxa" w:w="1987"/>
            <w:vAlign w:val="center"/>
            <w:tcMar>
              <w:top w:w="80" w:type="dxa"/>
              <w:start w:w="120" w:type="dxa"/>
              <w:bottom w:w="80" w:type="dxa"/>
              <w:end w:w="120" w:type="dxa"/>
            </w:tcMar>
          </w:tcPr>
          <w:p>
            <w:pPr>
              <w:spacing w:after="0" w:line="252" w:lineRule="auto"/>
              <w:jc w:val="left"/>
            </w:pPr>
            <w:r/>
            <w:r>
              <w:rPr>
                <w:rFonts w:ascii="Calibri" w:hAnsi="Calibri"/>
                <w:b w:val="0"/>
                <w:color w:val="17212B"/>
                <w:sz w:val="15"/>
              </w:rPr>
              <w:t>CLO-1, CLO-2, CLO-3</w:t>
              <w:br/>
              <w:t>B1 Ch. 18; B5 Ch. 8 and 13</w:t>
            </w:r>
          </w:p>
        </w:tc>
      </w:tr>
      <w:tr>
        <w:trPr>
          <w:cantSplit/>
        </w:trPr>
        <w:tc>
          <w:tcPr>
            <w:tcW w:type="dxa" w:w="604"/>
            <w:vAlign w:val="center"/>
            <w:tcMar>
              <w:top w:w="80" w:type="dxa"/>
              <w:start w:w="120" w:type="dxa"/>
              <w:bottom w:w="80" w:type="dxa"/>
              <w:end w:w="120" w:type="dxa"/>
            </w:tcMar>
          </w:tcPr>
          <w:p>
            <w:pPr>
              <w:spacing w:after="0" w:line="252" w:lineRule="auto"/>
              <w:jc w:val="center"/>
            </w:pPr>
            <w:r/>
            <w:r>
              <w:rPr>
                <w:rFonts w:ascii="Calibri" w:hAnsi="Calibri"/>
                <w:b/>
                <w:color w:val="2E74B5"/>
                <w:sz w:val="18"/>
              </w:rPr>
              <w:t>14</w:t>
            </w:r>
          </w:p>
        </w:tc>
        <w:tc>
          <w:tcPr>
            <w:tcW w:type="dxa" w:w="4320"/>
            <w:vAlign w:val="center"/>
            <w:tcMar>
              <w:top w:w="80" w:type="dxa"/>
              <w:start w:w="120" w:type="dxa"/>
              <w:bottom w:w="80" w:type="dxa"/>
              <w:end w:w="120" w:type="dxa"/>
            </w:tcMar>
          </w:tcPr>
          <w:p>
            <w:pPr>
              <w:spacing w:after="0" w:line="252" w:lineRule="auto"/>
              <w:jc w:val="left"/>
            </w:pPr>
            <w:r/>
            <w:r>
              <w:rPr>
                <w:rFonts w:ascii="Calibri" w:hAnsi="Calibri"/>
                <w:b w:val="0"/>
                <w:color w:val="17212B"/>
                <w:sz w:val="16"/>
              </w:rPr>
              <w:t>Graph Neural Networks and Message Passing</w:t>
              <w:br/>
              <w:t>Graph representation; node, edge, and graph tasks; permutation invariance; message passing; GCN, GraphSAGE, and GAT; inductive learning and oversmoothing.</w:t>
            </w:r>
          </w:p>
        </w:tc>
        <w:tc>
          <w:tcPr>
            <w:tcW w:type="dxa" w:w="2736"/>
            <w:vAlign w:val="center"/>
            <w:tcMar>
              <w:top w:w="80" w:type="dxa"/>
              <w:start w:w="120" w:type="dxa"/>
              <w:bottom w:w="80" w:type="dxa"/>
              <w:end w:w="120" w:type="dxa"/>
            </w:tcMar>
          </w:tcPr>
          <w:p>
            <w:pPr>
              <w:spacing w:after="0" w:line="252" w:lineRule="auto"/>
              <w:jc w:val="left"/>
            </w:pPr>
            <w:r/>
            <w:r>
              <w:rPr>
                <w:rFonts w:ascii="Calibri" w:hAnsi="Calibri"/>
                <w:b w:val="0"/>
                <w:color w:val="17212B"/>
                <w:sz w:val="16"/>
              </w:rPr>
              <w:t>GCN from first principles on a small explicit graph</w:t>
            </w:r>
          </w:p>
        </w:tc>
        <w:tc>
          <w:tcPr>
            <w:tcW w:type="dxa" w:w="1987"/>
            <w:vAlign w:val="center"/>
            <w:tcMar>
              <w:top w:w="80" w:type="dxa"/>
              <w:start w:w="120" w:type="dxa"/>
              <w:bottom w:w="80" w:type="dxa"/>
              <w:end w:w="120" w:type="dxa"/>
            </w:tcMar>
          </w:tcPr>
          <w:p>
            <w:pPr>
              <w:spacing w:after="0" w:line="252" w:lineRule="auto"/>
              <w:jc w:val="left"/>
            </w:pPr>
            <w:r/>
            <w:r>
              <w:rPr>
                <w:rFonts w:ascii="Calibri" w:hAnsi="Calibri"/>
                <w:b w:val="0"/>
                <w:color w:val="17212B"/>
                <w:sz w:val="15"/>
              </w:rPr>
              <w:t>CLO-1, CLO-2, CLO-3</w:t>
              <w:br/>
              <w:t>B1 Ch. 13; B4 Ch. 13</w:t>
            </w:r>
          </w:p>
        </w:tc>
      </w:tr>
      <w:tr>
        <w:trPr>
          <w:cantSplit/>
        </w:trPr>
        <w:tc>
          <w:tcPr>
            <w:tcW w:type="dxa" w:w="604"/>
            <w:vAlign w:val="center"/>
            <w:tcMar>
              <w:top w:w="80" w:type="dxa"/>
              <w:start w:w="120" w:type="dxa"/>
              <w:bottom w:w="80" w:type="dxa"/>
              <w:end w:w="120" w:type="dxa"/>
            </w:tcMar>
          </w:tcPr>
          <w:p>
            <w:pPr>
              <w:spacing w:after="0" w:line="252" w:lineRule="auto"/>
              <w:jc w:val="center"/>
            </w:pPr>
            <w:r/>
            <w:r>
              <w:rPr>
                <w:rFonts w:ascii="Calibri" w:hAnsi="Calibri"/>
                <w:b/>
                <w:color w:val="2E74B5"/>
                <w:sz w:val="18"/>
              </w:rPr>
              <w:t>15</w:t>
            </w:r>
          </w:p>
        </w:tc>
        <w:tc>
          <w:tcPr>
            <w:tcW w:type="dxa" w:w="4320"/>
            <w:vAlign w:val="center"/>
            <w:tcMar>
              <w:top w:w="80" w:type="dxa"/>
              <w:start w:w="120" w:type="dxa"/>
              <w:bottom w:w="80" w:type="dxa"/>
              <w:end w:w="120" w:type="dxa"/>
            </w:tcMar>
          </w:tcPr>
          <w:p>
            <w:pPr>
              <w:spacing w:after="0" w:line="252" w:lineRule="auto"/>
              <w:jc w:val="left"/>
            </w:pPr>
            <w:r/>
            <w:r>
              <w:rPr>
                <w:rFonts w:ascii="Calibri" w:hAnsi="Calibri"/>
                <w:b w:val="0"/>
                <w:color w:val="17212B"/>
                <w:sz w:val="16"/>
              </w:rPr>
              <w:t>Explainability and Responsible Deep Learning</w:t>
              <w:br/>
              <w:t>Calibration and shift; saliency, Grad-CAM, LIME, and SHAP; explanation faithfulness; bias sources; subgroup metrics; fairness criteria; privacy, safety, sustainability, and model cards.</w:t>
            </w:r>
          </w:p>
        </w:tc>
        <w:tc>
          <w:tcPr>
            <w:tcW w:type="dxa" w:w="2736"/>
            <w:vAlign w:val="center"/>
            <w:tcMar>
              <w:top w:w="80" w:type="dxa"/>
              <w:start w:w="120" w:type="dxa"/>
              <w:bottom w:w="80" w:type="dxa"/>
              <w:end w:w="120" w:type="dxa"/>
            </w:tcMar>
          </w:tcPr>
          <w:p>
            <w:pPr>
              <w:spacing w:after="0" w:line="252" w:lineRule="auto"/>
              <w:jc w:val="left"/>
            </w:pPr>
            <w:r/>
            <w:r>
              <w:rPr>
                <w:rFonts w:ascii="Calibri" w:hAnsi="Calibri"/>
                <w:b w:val="0"/>
                <w:color w:val="17212B"/>
                <w:sz w:val="16"/>
              </w:rPr>
              <w:t>Saliency and Grad-CAM with a simulated fairness audit and model card</w:t>
            </w:r>
          </w:p>
        </w:tc>
        <w:tc>
          <w:tcPr>
            <w:tcW w:type="dxa" w:w="1987"/>
            <w:vAlign w:val="center"/>
            <w:tcMar>
              <w:top w:w="80" w:type="dxa"/>
              <w:start w:w="120" w:type="dxa"/>
              <w:bottom w:w="80" w:type="dxa"/>
              <w:end w:w="120" w:type="dxa"/>
            </w:tcMar>
          </w:tcPr>
          <w:p>
            <w:pPr>
              <w:spacing w:after="0" w:line="252" w:lineRule="auto"/>
              <w:jc w:val="left"/>
            </w:pPr>
            <w:r/>
            <w:r>
              <w:rPr>
                <w:rFonts w:ascii="Calibri" w:hAnsi="Calibri"/>
                <w:b w:val="0"/>
                <w:color w:val="17212B"/>
                <w:sz w:val="15"/>
              </w:rPr>
              <w:t>CLO-3, CLO-5</w:t>
              <w:br/>
              <w:t>B1 Ch. 21; B6 Ch. 4-5 and 8; B7 Ch. 6, 8, 11; B8 Ch. 1, 3-5, 9</w:t>
            </w:r>
          </w:p>
        </w:tc>
      </w:tr>
      <w:tr>
        <w:trPr>
          <w:cantSplit/>
        </w:trPr>
        <w:tc>
          <w:tcPr>
            <w:tcW w:type="dxa" w:w="604"/>
            <w:vAlign w:val="center"/>
            <w:tcMar>
              <w:top w:w="80" w:type="dxa"/>
              <w:start w:w="120" w:type="dxa"/>
              <w:bottom w:w="80" w:type="dxa"/>
              <w:end w:w="120" w:type="dxa"/>
            </w:tcMar>
          </w:tcPr>
          <w:p>
            <w:pPr>
              <w:spacing w:after="0" w:line="252" w:lineRule="auto"/>
              <w:jc w:val="center"/>
            </w:pPr>
            <w:r/>
            <w:r>
              <w:rPr>
                <w:rFonts w:ascii="Calibri" w:hAnsi="Calibri"/>
                <w:b/>
                <w:color w:val="2E74B5"/>
                <w:sz w:val="18"/>
              </w:rPr>
              <w:t>16</w:t>
            </w:r>
          </w:p>
        </w:tc>
        <w:tc>
          <w:tcPr>
            <w:tcW w:type="dxa" w:w="4320"/>
            <w:vAlign w:val="center"/>
            <w:tcMar>
              <w:top w:w="80" w:type="dxa"/>
              <w:start w:w="120" w:type="dxa"/>
              <w:bottom w:w="80" w:type="dxa"/>
              <w:end w:w="120" w:type="dxa"/>
            </w:tcMar>
          </w:tcPr>
          <w:p>
            <w:pPr>
              <w:spacing w:after="0" w:line="252" w:lineRule="auto"/>
              <w:jc w:val="left"/>
            </w:pPr>
            <w:r/>
            <w:r>
              <w:rPr>
                <w:rFonts w:ascii="Calibri" w:hAnsi="Calibri"/>
                <w:b w:val="0"/>
                <w:color w:val="17212B"/>
                <w:sz w:val="16"/>
              </w:rPr>
              <w:t>Deployment, Monitoring, and Project Defense</w:t>
              <w:br/>
              <w:t>Model artifacts and prediction contracts; batch versus online inference; latency, throughput, compression, monitoring, drift, rollback, retraining, reproducibility, and evidence-based project defense.</w:t>
            </w:r>
          </w:p>
        </w:tc>
        <w:tc>
          <w:tcPr>
            <w:tcW w:type="dxa" w:w="2736"/>
            <w:vAlign w:val="center"/>
            <w:tcMar>
              <w:top w:w="80" w:type="dxa"/>
              <w:start w:w="120" w:type="dxa"/>
              <w:bottom w:w="80" w:type="dxa"/>
              <w:end w:w="120" w:type="dxa"/>
            </w:tcMar>
          </w:tcPr>
          <w:p>
            <w:pPr>
              <w:spacing w:after="0" w:line="252" w:lineRule="auto"/>
              <w:jc w:val="left"/>
            </w:pPr>
            <w:r/>
            <w:r>
              <w:rPr>
                <w:rFonts w:ascii="Calibri" w:hAnsi="Calibri"/>
                <w:b w:val="0"/>
                <w:color w:val="17212B"/>
                <w:sz w:val="16"/>
              </w:rPr>
              <w:t>TorchScript export, latency, drift, and mini-capstone demonstration</w:t>
            </w:r>
          </w:p>
        </w:tc>
        <w:tc>
          <w:tcPr>
            <w:tcW w:type="dxa" w:w="1987"/>
            <w:vAlign w:val="center"/>
            <w:tcMar>
              <w:top w:w="80" w:type="dxa"/>
              <w:start w:w="120" w:type="dxa"/>
              <w:bottom w:w="80" w:type="dxa"/>
              <w:end w:w="120" w:type="dxa"/>
            </w:tcMar>
          </w:tcPr>
          <w:p>
            <w:pPr>
              <w:spacing w:after="0" w:line="252" w:lineRule="auto"/>
              <w:jc w:val="left"/>
            </w:pPr>
            <w:r/>
            <w:r>
              <w:rPr>
                <w:rFonts w:ascii="Calibri" w:hAnsi="Calibri"/>
                <w:b w:val="0"/>
                <w:color w:val="17212B"/>
                <w:sz w:val="15"/>
              </w:rPr>
              <w:t>CLO-2, CLO-3, CLO-4, CLO-5</w:t>
              <w:br/>
              <w:t>B2 Ch. 11; B7 Ch. 6-10</w:t>
            </w:r>
          </w:p>
        </w:tc>
      </w:tr>
    </w:tbl>
    <w:p>
      <w:pPr>
        <w:pStyle w:val="Heading1"/>
      </w:pPr>
      <w:r>
        <w:t>7. Laboratory evidence standard</w:t>
      </w:r>
    </w:p>
    <w:p>
      <w:pPr>
        <w:pStyle w:val="ListBullet"/>
      </w:pPr>
      <w:r>
        <w:t>An executed notebook with all baseline assertions passing.</w:t>
      </w:r>
    </w:p>
    <w:p>
      <w:pPr>
        <w:pStyle w:val="ListBullet"/>
      </w:pPr>
      <w:r>
        <w:t>At least one quantitative result and one interpretation tied to the stated prediction.</w:t>
      </w:r>
    </w:p>
    <w:p>
      <w:pPr>
        <w:pStyle w:val="ListBullet"/>
      </w:pPr>
      <w:r>
        <w:t>Saved figures, metrics, checkpoints, or model artifacts in the designated lab artifact folder.</w:t>
      </w:r>
    </w:p>
    <w:p>
      <w:pPr>
        <w:pStyle w:val="ListBullet"/>
      </w:pPr>
      <w:r>
        <w:t>A concise limitation or failure-mode statement and a defensible next experiment.</w:t>
      </w:r>
    </w:p>
    <w:p>
      <w:pPr>
        <w:pStyle w:val="ListBullet"/>
      </w:pPr>
      <w:r>
        <w:t>For responsible-AI tasks, explicit simulation notices and no unsupported real-world fairness claims.</w:t>
      </w:r>
    </w:p>
    <w:p>
      <w:pPr>
        <w:pStyle w:val="Heading1"/>
      </w:pPr>
      <w:r>
        <w:t>8. Assessment guidance</w:t>
      </w:r>
    </w:p>
    <w:tbl>
      <w:tblPr>
        <w:tblW w:type="dxa" w:w="9648"/>
        <w:jc w:val="center"/>
        <w:tblLayout w:type="fixed"/>
        <w:tblLook w:firstColumn="1" w:firstRow="1" w:lastColumn="0" w:lastRow="0" w:noHBand="0" w:noVBand="1" w:val="04A0"/>
        <w:tblBorders>
          <w:top w:val="single" w:sz="2" w:color="F3F5F7"/>
          <w:left w:val="single" w:sz="2" w:color="F3F5F7"/>
          <w:bottom w:val="single" w:sz="2" w:color="F3F5F7"/>
          <w:right w:val="single" w:sz="2" w:color="F3F5F7"/>
          <w:insideH w:val="single" w:sz="2" w:color="F3F5F7"/>
          <w:insideV w:val="single" w:sz="2" w:color="F3F5F7"/>
        </w:tblBorders>
      </w:tblPr>
      <w:tblGrid>
        <w:gridCol w:w="4824"/>
        <w:gridCol w:w="4824"/>
      </w:tblGrid>
      <w:tr>
        <w:trPr>
          <w:cantSplit/>
        </w:trPr>
        <w:tc>
          <w:tcPr>
            <w:tcW w:type="dxa" w:w="187"/>
            <w:vAlign w:val="center"/>
            <w:tcMar>
              <w:top w:w="80" w:type="dxa"/>
              <w:start w:w="120" w:type="dxa"/>
              <w:bottom w:w="80" w:type="dxa"/>
              <w:end w:w="120" w:type="dxa"/>
            </w:tcMar>
            <w:shd w:fill="C96B20"/>
          </w:tcPr>
          <w:p>
            <w:r/>
          </w:p>
        </w:tc>
        <w:tc>
          <w:tcPr>
            <w:tcW w:type="dxa" w:w="9460"/>
            <w:vAlign w:val="center"/>
            <w:tcMar>
              <w:top w:w="80" w:type="dxa"/>
              <w:start w:w="120" w:type="dxa"/>
              <w:bottom w:w="80" w:type="dxa"/>
              <w:end w:w="120" w:type="dxa"/>
            </w:tcMar>
            <w:shd w:fill="F3F5F7"/>
          </w:tcPr>
          <w:p>
            <w:pPr>
              <w:spacing w:after="40"/>
            </w:pPr>
            <w:r/>
            <w:r>
              <w:rPr>
                <w:b/>
                <w:color w:val="173B57"/>
                <w:sz w:val="20"/>
              </w:rPr>
              <w:t>Policy note</w:t>
            </w:r>
          </w:p>
          <w:p>
            <w:pPr>
              <w:spacing w:after="0" w:line="259" w:lineRule="auto"/>
            </w:pPr>
            <w:r>
              <w:rPr>
                <w:sz w:val="19"/>
              </w:rPr>
              <w:t>Weights below are suggested and should be aligned with current University of Gwadar and departmental assessment regulations before approval.</w:t>
            </w:r>
          </w:p>
        </w:tc>
      </w:tr>
    </w:tbl>
    <w:tbl>
      <w:tblPr>
        <w:tblW w:type="dxa" w:w="9648"/>
        <w:tblLayout w:type="fixed"/>
        <w:tblLook w:firstColumn="1" w:firstRow="1" w:lastColumn="0" w:lastRow="0" w:noHBand="0" w:noVBand="1" w:val="04A0"/>
        <w:jc w:val="center"/>
        <w:tblBorders>
          <w:top w:val="single" w:sz="6" w:color="D8E0E7"/>
          <w:left w:val="single" w:sz="6" w:color="D8E0E7"/>
          <w:bottom w:val="single" w:sz="6" w:color="D8E0E7"/>
          <w:right w:val="single" w:sz="6" w:color="D8E0E7"/>
          <w:insideH w:val="single" w:sz="6" w:color="D8E0E7"/>
          <w:insideV w:val="single" w:sz="6" w:color="D8E0E7"/>
        </w:tblBorders>
      </w:tblPr>
      <w:tblGrid>
        <w:gridCol w:w="3216"/>
        <w:gridCol w:w="3216"/>
        <w:gridCol w:w="3216"/>
      </w:tblGrid>
      <w:tr>
        <w:trPr>
          <w:cantSplit/>
          <w:tblHeader w:val="true"/>
          <w:cantSplit/>
        </w:trPr>
        <w:tc>
          <w:tcPr>
            <w:tcW w:type="dxa" w:w="3240"/>
            <w:vAlign w:val="center"/>
            <w:tcMar>
              <w:top w:w="80" w:type="dxa"/>
              <w:start w:w="120" w:type="dxa"/>
              <w:bottom w:w="80" w:type="dxa"/>
              <w:end w:w="120" w:type="dxa"/>
            </w:tcMar>
            <w:shd w:fill="173B57"/>
          </w:tcPr>
          <w:p>
            <w:pPr>
              <w:spacing w:after="0" w:line="252" w:lineRule="auto"/>
              <w:jc w:val="center"/>
            </w:pPr>
            <w:r/>
            <w:r>
              <w:rPr>
                <w:rFonts w:ascii="Calibri" w:hAnsi="Calibri"/>
                <w:b/>
                <w:color w:val="FFFFFF"/>
                <w:sz w:val="17"/>
              </w:rPr>
              <w:t>Component</w:t>
            </w:r>
          </w:p>
        </w:tc>
        <w:tc>
          <w:tcPr>
            <w:tcW w:type="dxa" w:w="1440"/>
            <w:vAlign w:val="center"/>
            <w:tcMar>
              <w:top w:w="80" w:type="dxa"/>
              <w:start w:w="120" w:type="dxa"/>
              <w:bottom w:w="80" w:type="dxa"/>
              <w:end w:w="120" w:type="dxa"/>
            </w:tcMar>
            <w:shd w:fill="173B57"/>
          </w:tcPr>
          <w:p>
            <w:pPr>
              <w:spacing w:after="0" w:line="252" w:lineRule="auto"/>
              <w:jc w:val="center"/>
            </w:pPr>
            <w:r/>
            <w:r>
              <w:rPr>
                <w:rFonts w:ascii="Calibri" w:hAnsi="Calibri"/>
                <w:b/>
                <w:color w:val="FFFFFF"/>
                <w:sz w:val="17"/>
              </w:rPr>
              <w:t>Weight</w:t>
            </w:r>
          </w:p>
        </w:tc>
        <w:tc>
          <w:tcPr>
            <w:tcW w:type="dxa" w:w="4968"/>
            <w:vAlign w:val="center"/>
            <w:tcMar>
              <w:top w:w="80" w:type="dxa"/>
              <w:start w:w="120" w:type="dxa"/>
              <w:bottom w:w="80" w:type="dxa"/>
              <w:end w:w="120" w:type="dxa"/>
            </w:tcMar>
            <w:shd w:fill="173B57"/>
          </w:tcPr>
          <w:p>
            <w:pPr>
              <w:spacing w:after="0" w:line="252" w:lineRule="auto"/>
              <w:jc w:val="center"/>
            </w:pPr>
            <w:r/>
            <w:r>
              <w:rPr>
                <w:rFonts w:ascii="Calibri" w:hAnsi="Calibri"/>
                <w:b/>
                <w:color w:val="FFFFFF"/>
                <w:sz w:val="17"/>
              </w:rPr>
              <w:t>Evidence</w:t>
            </w:r>
          </w:p>
        </w:tc>
      </w:tr>
      <w:tr>
        <w:trPr>
          <w:cantSplit/>
        </w:trPr>
        <w:tc>
          <w:tcPr>
            <w:tcW w:type="dxa" w:w="3240"/>
            <w:vAlign w:val="center"/>
            <w:tcMar>
              <w:top w:w="80" w:type="dxa"/>
              <w:start w:w="120" w:type="dxa"/>
              <w:bottom w:w="80" w:type="dxa"/>
              <w:end w:w="120" w:type="dxa"/>
            </w:tcMar>
          </w:tcPr>
          <w:p>
            <w:pPr>
              <w:spacing w:after="0" w:line="252" w:lineRule="auto"/>
              <w:jc w:val="left"/>
            </w:pPr>
            <w:r/>
            <w:r>
              <w:rPr>
                <w:rFonts w:ascii="Calibri" w:hAnsi="Calibri"/>
                <w:b w:val="0"/>
                <w:color w:val="17212B"/>
                <w:sz w:val="17"/>
              </w:rPr>
              <w:t>Laboratory work and reproducibility checks</w:t>
            </w:r>
          </w:p>
        </w:tc>
        <w:tc>
          <w:tcPr>
            <w:tcW w:type="dxa" w:w="1440"/>
            <w:vAlign w:val="center"/>
            <w:tcMar>
              <w:top w:w="80" w:type="dxa"/>
              <w:start w:w="120" w:type="dxa"/>
              <w:bottom w:w="80" w:type="dxa"/>
              <w:end w:w="120" w:type="dxa"/>
            </w:tcMar>
          </w:tcPr>
          <w:p>
            <w:pPr>
              <w:spacing w:after="0" w:line="252" w:lineRule="auto"/>
              <w:jc w:val="center"/>
            </w:pPr>
            <w:r/>
            <w:r>
              <w:rPr>
                <w:rFonts w:ascii="Calibri" w:hAnsi="Calibri"/>
                <w:b/>
                <w:color w:val="2E74B5"/>
                <w:sz w:val="18"/>
              </w:rPr>
              <w:t>20%</w:t>
            </w:r>
          </w:p>
        </w:tc>
        <w:tc>
          <w:tcPr>
            <w:tcW w:type="dxa" w:w="4968"/>
            <w:vAlign w:val="center"/>
            <w:tcMar>
              <w:top w:w="80" w:type="dxa"/>
              <w:start w:w="120" w:type="dxa"/>
              <w:bottom w:w="80" w:type="dxa"/>
              <w:end w:w="120" w:type="dxa"/>
            </w:tcMar>
          </w:tcPr>
          <w:p>
            <w:pPr>
              <w:spacing w:after="0" w:line="252" w:lineRule="auto"/>
              <w:jc w:val="left"/>
            </w:pPr>
            <w:r/>
            <w:r>
              <w:rPr>
                <w:rFonts w:ascii="Calibri" w:hAnsi="Calibri"/>
                <w:b w:val="0"/>
                <w:color w:val="17212B"/>
                <w:sz w:val="17"/>
              </w:rPr>
              <w:t>16 Colab notebooks, assertions, figures, interpretations, and artifacts</w:t>
            </w:r>
          </w:p>
        </w:tc>
      </w:tr>
      <w:tr>
        <w:trPr>
          <w:cantSplit/>
        </w:trPr>
        <w:tc>
          <w:tcPr>
            <w:tcW w:type="dxa" w:w="3240"/>
            <w:vAlign w:val="center"/>
            <w:tcMar>
              <w:top w:w="80" w:type="dxa"/>
              <w:start w:w="120" w:type="dxa"/>
              <w:bottom w:w="80" w:type="dxa"/>
              <w:end w:w="120" w:type="dxa"/>
            </w:tcMar>
          </w:tcPr>
          <w:p>
            <w:pPr>
              <w:spacing w:after="0" w:line="252" w:lineRule="auto"/>
              <w:jc w:val="left"/>
            </w:pPr>
            <w:r/>
            <w:r>
              <w:rPr>
                <w:rFonts w:ascii="Calibri" w:hAnsi="Calibri"/>
                <w:b w:val="0"/>
                <w:color w:val="17212B"/>
                <w:sz w:val="17"/>
              </w:rPr>
              <w:t>Quizzes and short assignments</w:t>
            </w:r>
          </w:p>
        </w:tc>
        <w:tc>
          <w:tcPr>
            <w:tcW w:type="dxa" w:w="1440"/>
            <w:vAlign w:val="center"/>
            <w:tcMar>
              <w:top w:w="80" w:type="dxa"/>
              <w:start w:w="120" w:type="dxa"/>
              <w:bottom w:w="80" w:type="dxa"/>
              <w:end w:w="120" w:type="dxa"/>
            </w:tcMar>
          </w:tcPr>
          <w:p>
            <w:pPr>
              <w:spacing w:after="0" w:line="252" w:lineRule="auto"/>
              <w:jc w:val="center"/>
            </w:pPr>
            <w:r/>
            <w:r>
              <w:rPr>
                <w:rFonts w:ascii="Calibri" w:hAnsi="Calibri"/>
                <w:b/>
                <w:color w:val="2E74B5"/>
                <w:sz w:val="18"/>
              </w:rPr>
              <w:t>10%</w:t>
            </w:r>
          </w:p>
        </w:tc>
        <w:tc>
          <w:tcPr>
            <w:tcW w:type="dxa" w:w="4968"/>
            <w:vAlign w:val="center"/>
            <w:tcMar>
              <w:top w:w="80" w:type="dxa"/>
              <w:start w:w="120" w:type="dxa"/>
              <w:bottom w:w="80" w:type="dxa"/>
              <w:end w:w="120" w:type="dxa"/>
            </w:tcMar>
          </w:tcPr>
          <w:p>
            <w:pPr>
              <w:spacing w:after="0" w:line="252" w:lineRule="auto"/>
              <w:jc w:val="left"/>
            </w:pPr>
            <w:r/>
            <w:r>
              <w:rPr>
                <w:rFonts w:ascii="Calibri" w:hAnsi="Calibri"/>
                <w:b w:val="0"/>
                <w:color w:val="17212B"/>
                <w:sz w:val="17"/>
              </w:rPr>
              <w:t>Conceptual, mathematical, and diagnostic questions</w:t>
            </w:r>
          </w:p>
        </w:tc>
      </w:tr>
      <w:tr>
        <w:trPr>
          <w:cantSplit/>
        </w:trPr>
        <w:tc>
          <w:tcPr>
            <w:tcW w:type="dxa" w:w="3240"/>
            <w:vAlign w:val="center"/>
            <w:tcMar>
              <w:top w:w="80" w:type="dxa"/>
              <w:start w:w="120" w:type="dxa"/>
              <w:bottom w:w="80" w:type="dxa"/>
              <w:end w:w="120" w:type="dxa"/>
            </w:tcMar>
          </w:tcPr>
          <w:p>
            <w:pPr>
              <w:spacing w:after="0" w:line="252" w:lineRule="auto"/>
              <w:jc w:val="left"/>
            </w:pPr>
            <w:r/>
            <w:r>
              <w:rPr>
                <w:rFonts w:ascii="Calibri" w:hAnsi="Calibri"/>
                <w:b w:val="0"/>
                <w:color w:val="17212B"/>
                <w:sz w:val="17"/>
              </w:rPr>
              <w:t>Midterm examination</w:t>
            </w:r>
          </w:p>
        </w:tc>
        <w:tc>
          <w:tcPr>
            <w:tcW w:type="dxa" w:w="1440"/>
            <w:vAlign w:val="center"/>
            <w:tcMar>
              <w:top w:w="80" w:type="dxa"/>
              <w:start w:w="120" w:type="dxa"/>
              <w:bottom w:w="80" w:type="dxa"/>
              <w:end w:w="120" w:type="dxa"/>
            </w:tcMar>
          </w:tcPr>
          <w:p>
            <w:pPr>
              <w:spacing w:after="0" w:line="252" w:lineRule="auto"/>
              <w:jc w:val="center"/>
            </w:pPr>
            <w:r/>
            <w:r>
              <w:rPr>
                <w:rFonts w:ascii="Calibri" w:hAnsi="Calibri"/>
                <w:b/>
                <w:color w:val="2E74B5"/>
                <w:sz w:val="18"/>
              </w:rPr>
              <w:t>20%</w:t>
            </w:r>
          </w:p>
        </w:tc>
        <w:tc>
          <w:tcPr>
            <w:tcW w:type="dxa" w:w="4968"/>
            <w:vAlign w:val="center"/>
            <w:tcMar>
              <w:top w:w="80" w:type="dxa"/>
              <w:start w:w="120" w:type="dxa"/>
              <w:bottom w:w="80" w:type="dxa"/>
              <w:end w:w="120" w:type="dxa"/>
            </w:tcMar>
          </w:tcPr>
          <w:p>
            <w:pPr>
              <w:spacing w:after="0" w:line="252" w:lineRule="auto"/>
              <w:jc w:val="left"/>
            </w:pPr>
            <w:r/>
            <w:r>
              <w:rPr>
                <w:rFonts w:ascii="Calibri" w:hAnsi="Calibri"/>
                <w:b w:val="0"/>
                <w:color w:val="17212B"/>
                <w:sz w:val="17"/>
              </w:rPr>
              <w:t>Weeks 1-8; scheduled as a separate assessment event</w:t>
            </w:r>
          </w:p>
        </w:tc>
      </w:tr>
      <w:tr>
        <w:trPr>
          <w:cantSplit/>
        </w:trPr>
        <w:tc>
          <w:tcPr>
            <w:tcW w:type="dxa" w:w="3240"/>
            <w:vAlign w:val="center"/>
            <w:tcMar>
              <w:top w:w="80" w:type="dxa"/>
              <w:start w:w="120" w:type="dxa"/>
              <w:bottom w:w="80" w:type="dxa"/>
              <w:end w:w="120" w:type="dxa"/>
            </w:tcMar>
          </w:tcPr>
          <w:p>
            <w:pPr>
              <w:spacing w:after="0" w:line="252" w:lineRule="auto"/>
              <w:jc w:val="left"/>
            </w:pPr>
            <w:r/>
            <w:r>
              <w:rPr>
                <w:rFonts w:ascii="Calibri" w:hAnsi="Calibri"/>
                <w:b w:val="0"/>
                <w:color w:val="17212B"/>
                <w:sz w:val="17"/>
              </w:rPr>
              <w:t>Mini-capstone project</w:t>
            </w:r>
          </w:p>
        </w:tc>
        <w:tc>
          <w:tcPr>
            <w:tcW w:type="dxa" w:w="1440"/>
            <w:vAlign w:val="center"/>
            <w:tcMar>
              <w:top w:w="80" w:type="dxa"/>
              <w:start w:w="120" w:type="dxa"/>
              <w:bottom w:w="80" w:type="dxa"/>
              <w:end w:w="120" w:type="dxa"/>
            </w:tcMar>
          </w:tcPr>
          <w:p>
            <w:pPr>
              <w:spacing w:after="0" w:line="252" w:lineRule="auto"/>
              <w:jc w:val="center"/>
            </w:pPr>
            <w:r/>
            <w:r>
              <w:rPr>
                <w:rFonts w:ascii="Calibri" w:hAnsi="Calibri"/>
                <w:b/>
                <w:color w:val="2E74B5"/>
                <w:sz w:val="18"/>
              </w:rPr>
              <w:t>20%</w:t>
            </w:r>
          </w:p>
        </w:tc>
        <w:tc>
          <w:tcPr>
            <w:tcW w:type="dxa" w:w="4968"/>
            <w:vAlign w:val="center"/>
            <w:tcMar>
              <w:top w:w="80" w:type="dxa"/>
              <w:start w:w="120" w:type="dxa"/>
              <w:bottom w:w="80" w:type="dxa"/>
              <w:end w:w="120" w:type="dxa"/>
            </w:tcMar>
          </w:tcPr>
          <w:p>
            <w:pPr>
              <w:spacing w:after="0" w:line="252" w:lineRule="auto"/>
              <w:jc w:val="left"/>
            </w:pPr>
            <w:r/>
            <w:r>
              <w:rPr>
                <w:rFonts w:ascii="Calibri" w:hAnsi="Calibri"/>
                <w:b w:val="0"/>
                <w:color w:val="17212B"/>
                <w:sz w:val="17"/>
              </w:rPr>
              <w:t>Comparative experiment, model card, artifact, and presentation</w:t>
            </w:r>
          </w:p>
        </w:tc>
      </w:tr>
      <w:tr>
        <w:trPr>
          <w:cantSplit/>
        </w:trPr>
        <w:tc>
          <w:tcPr>
            <w:tcW w:type="dxa" w:w="3240"/>
            <w:vAlign w:val="center"/>
            <w:tcMar>
              <w:top w:w="80" w:type="dxa"/>
              <w:start w:w="120" w:type="dxa"/>
              <w:bottom w:w="80" w:type="dxa"/>
              <w:end w:w="120" w:type="dxa"/>
            </w:tcMar>
          </w:tcPr>
          <w:p>
            <w:pPr>
              <w:spacing w:after="0" w:line="252" w:lineRule="auto"/>
              <w:jc w:val="left"/>
            </w:pPr>
            <w:r/>
            <w:r>
              <w:rPr>
                <w:rFonts w:ascii="Calibri" w:hAnsi="Calibri"/>
                <w:b w:val="0"/>
                <w:color w:val="17212B"/>
                <w:sz w:val="17"/>
              </w:rPr>
              <w:t>Final examination</w:t>
            </w:r>
          </w:p>
        </w:tc>
        <w:tc>
          <w:tcPr>
            <w:tcW w:type="dxa" w:w="1440"/>
            <w:vAlign w:val="center"/>
            <w:tcMar>
              <w:top w:w="80" w:type="dxa"/>
              <w:start w:w="120" w:type="dxa"/>
              <w:bottom w:w="80" w:type="dxa"/>
              <w:end w:w="120" w:type="dxa"/>
            </w:tcMar>
          </w:tcPr>
          <w:p>
            <w:pPr>
              <w:spacing w:after="0" w:line="252" w:lineRule="auto"/>
              <w:jc w:val="center"/>
            </w:pPr>
            <w:r/>
            <w:r>
              <w:rPr>
                <w:rFonts w:ascii="Calibri" w:hAnsi="Calibri"/>
                <w:b/>
                <w:color w:val="2E74B5"/>
                <w:sz w:val="18"/>
              </w:rPr>
              <w:t>30%</w:t>
            </w:r>
          </w:p>
        </w:tc>
        <w:tc>
          <w:tcPr>
            <w:tcW w:type="dxa" w:w="4968"/>
            <w:vAlign w:val="center"/>
            <w:tcMar>
              <w:top w:w="80" w:type="dxa"/>
              <w:start w:w="120" w:type="dxa"/>
              <w:bottom w:w="80" w:type="dxa"/>
              <w:end w:w="120" w:type="dxa"/>
            </w:tcMar>
          </w:tcPr>
          <w:p>
            <w:pPr>
              <w:spacing w:after="0" w:line="252" w:lineRule="auto"/>
              <w:jc w:val="left"/>
            </w:pPr>
            <w:r/>
            <w:r>
              <w:rPr>
                <w:rFonts w:ascii="Calibri" w:hAnsi="Calibri"/>
                <w:b w:val="0"/>
                <w:color w:val="17212B"/>
                <w:sz w:val="17"/>
              </w:rPr>
              <w:t>Cumulative reasoning, model selection, evaluation, and responsible use</w:t>
            </w:r>
          </w:p>
        </w:tc>
      </w:tr>
    </w:tbl>
    <w:p>
      <w:pPr>
        <w:pStyle w:val="Heading1"/>
      </w:pPr>
      <w:r>
        <w:t>9. Reference books</w:t>
      </w:r>
    </w:p>
    <w:p>
      <w:r>
        <w:t>Only books are included. Codes B1-B8 are used throughout the lecture decks, notebooks, and lab manual.</w:t>
      </w:r>
    </w:p>
    <w:tbl>
      <w:tblPr>
        <w:tblW w:type="dxa" w:w="9647"/>
        <w:tblLayout w:type="fixed"/>
        <w:tblLook w:firstColumn="1" w:firstRow="1" w:lastColumn="0" w:lastRow="0" w:noHBand="0" w:noVBand="1" w:val="04A0"/>
        <w:jc w:val="center"/>
        <w:tblBorders>
          <w:top w:val="single" w:sz="6" w:color="D8E0E7"/>
          <w:left w:val="single" w:sz="6" w:color="D8E0E7"/>
          <w:bottom w:val="single" w:sz="6" w:color="D8E0E7"/>
          <w:right w:val="single" w:sz="6" w:color="D8E0E7"/>
          <w:insideH w:val="single" w:sz="6" w:color="D8E0E7"/>
          <w:insideV w:val="single" w:sz="6" w:color="D8E0E7"/>
        </w:tblBorders>
      </w:tblPr>
      <w:tblGrid>
        <w:gridCol w:w="3216"/>
        <w:gridCol w:w="3216"/>
        <w:gridCol w:w="3216"/>
      </w:tblGrid>
      <w:tr>
        <w:trPr>
          <w:cantSplit/>
          <w:tblHeader w:val="true"/>
          <w:cantSplit/>
        </w:trPr>
        <w:tc>
          <w:tcPr>
            <w:tcW w:type="dxa" w:w="792"/>
            <w:vAlign w:val="center"/>
            <w:tcMar>
              <w:top w:w="80" w:type="dxa"/>
              <w:start w:w="120" w:type="dxa"/>
              <w:bottom w:w="80" w:type="dxa"/>
              <w:end w:w="120" w:type="dxa"/>
            </w:tcMar>
            <w:shd w:fill="173B57"/>
          </w:tcPr>
          <w:p>
            <w:pPr>
              <w:spacing w:after="0" w:line="252" w:lineRule="auto"/>
              <w:jc w:val="center"/>
            </w:pPr>
            <w:r/>
            <w:r>
              <w:rPr>
                <w:rFonts w:ascii="Calibri" w:hAnsi="Calibri"/>
                <w:b/>
                <w:color w:val="FFFFFF"/>
                <w:sz w:val="17"/>
              </w:rPr>
              <w:t>Code</w:t>
            </w:r>
          </w:p>
        </w:tc>
        <w:tc>
          <w:tcPr>
            <w:tcW w:type="dxa" w:w="6983"/>
            <w:vAlign w:val="center"/>
            <w:tcMar>
              <w:top w:w="80" w:type="dxa"/>
              <w:start w:w="120" w:type="dxa"/>
              <w:bottom w:w="80" w:type="dxa"/>
              <w:end w:w="120" w:type="dxa"/>
            </w:tcMar>
            <w:shd w:fill="173B57"/>
          </w:tcPr>
          <w:p>
            <w:pPr>
              <w:spacing w:after="0" w:line="252" w:lineRule="auto"/>
              <w:jc w:val="center"/>
            </w:pPr>
            <w:r/>
            <w:r>
              <w:rPr>
                <w:rFonts w:ascii="Calibri" w:hAnsi="Calibri"/>
                <w:b/>
                <w:color w:val="FFFFFF"/>
                <w:sz w:val="17"/>
              </w:rPr>
              <w:t>Book</w:t>
            </w:r>
          </w:p>
        </w:tc>
        <w:tc>
          <w:tcPr>
            <w:tcW w:type="dxa" w:w="1872"/>
            <w:vAlign w:val="center"/>
            <w:tcMar>
              <w:top w:w="80" w:type="dxa"/>
              <w:start w:w="120" w:type="dxa"/>
              <w:bottom w:w="80" w:type="dxa"/>
              <w:end w:w="120" w:type="dxa"/>
            </w:tcMar>
            <w:shd w:fill="173B57"/>
          </w:tcPr>
          <w:p>
            <w:pPr>
              <w:spacing w:after="0" w:line="252" w:lineRule="auto"/>
              <w:jc w:val="center"/>
            </w:pPr>
            <w:r/>
            <w:r>
              <w:rPr>
                <w:rFonts w:ascii="Calibri" w:hAnsi="Calibri"/>
                <w:b/>
                <w:color w:val="FFFFFF"/>
                <w:sz w:val="17"/>
              </w:rPr>
              <w:t>Primary role</w:t>
            </w:r>
          </w:p>
        </w:tc>
      </w:tr>
      <w:tr>
        <w:trPr>
          <w:cantSplit/>
        </w:trPr>
        <w:tc>
          <w:tcPr>
            <w:tcW w:type="dxa" w:w="792"/>
            <w:vAlign w:val="center"/>
            <w:tcMar>
              <w:top w:w="80" w:type="dxa"/>
              <w:start w:w="120" w:type="dxa"/>
              <w:bottom w:w="80" w:type="dxa"/>
              <w:end w:w="120" w:type="dxa"/>
            </w:tcMar>
          </w:tcPr>
          <w:p>
            <w:pPr>
              <w:spacing w:after="0" w:line="252" w:lineRule="auto"/>
              <w:jc w:val="center"/>
            </w:pPr>
            <w:r/>
            <w:r>
              <w:rPr>
                <w:rFonts w:ascii="Calibri" w:hAnsi="Calibri"/>
                <w:b/>
                <w:color w:val="2E74B5"/>
                <w:sz w:val="17"/>
              </w:rPr>
              <w:t>B1</w:t>
            </w:r>
          </w:p>
        </w:tc>
        <w:tc>
          <w:tcPr>
            <w:tcW w:type="dxa" w:w="6983"/>
            <w:vAlign w:val="center"/>
            <w:tcMar>
              <w:top w:w="80" w:type="dxa"/>
              <w:start w:w="120" w:type="dxa"/>
              <w:bottom w:w="80" w:type="dxa"/>
              <w:end w:w="120" w:type="dxa"/>
            </w:tcMar>
          </w:tcPr>
          <w:p>
            <w:pPr>
              <w:spacing w:after="0" w:line="252" w:lineRule="auto"/>
              <w:jc w:val="left"/>
            </w:pPr>
            <w:r/>
            <w:r>
              <w:rPr>
                <w:rFonts w:ascii="Calibri" w:hAnsi="Calibri"/>
                <w:b w:val="0"/>
                <w:color w:val="17212B"/>
                <w:sz w:val="17"/>
              </w:rPr>
              <w:t>Prince, S. J. D. Understanding Deep Learning. 1st ed. The MIT Press, 2023.</w:t>
            </w:r>
          </w:p>
        </w:tc>
        <w:tc>
          <w:tcPr>
            <w:tcW w:type="dxa" w:w="1872"/>
            <w:vAlign w:val="center"/>
            <w:tcMar>
              <w:top w:w="80" w:type="dxa"/>
              <w:start w:w="120" w:type="dxa"/>
              <w:bottom w:w="80" w:type="dxa"/>
              <w:end w:w="120" w:type="dxa"/>
            </w:tcMar>
          </w:tcPr>
          <w:p>
            <w:pPr>
              <w:spacing w:after="0" w:line="252" w:lineRule="auto"/>
              <w:jc w:val="left"/>
            </w:pPr>
            <w:r/>
            <w:r>
              <w:rPr>
                <w:rFonts w:ascii="Calibri" w:hAnsi="Calibri"/>
                <w:b w:val="0"/>
                <w:color w:val="17212B"/>
                <w:sz w:val="16"/>
              </w:rPr>
              <w:t>Primary modern conceptual text</w:t>
            </w:r>
          </w:p>
        </w:tc>
      </w:tr>
      <w:tr>
        <w:trPr>
          <w:cantSplit/>
        </w:trPr>
        <w:tc>
          <w:tcPr>
            <w:tcW w:type="dxa" w:w="792"/>
            <w:vAlign w:val="center"/>
            <w:tcMar>
              <w:top w:w="80" w:type="dxa"/>
              <w:start w:w="120" w:type="dxa"/>
              <w:bottom w:w="80" w:type="dxa"/>
              <w:end w:w="120" w:type="dxa"/>
            </w:tcMar>
          </w:tcPr>
          <w:p>
            <w:pPr>
              <w:spacing w:after="0" w:line="252" w:lineRule="auto"/>
              <w:jc w:val="center"/>
            </w:pPr>
            <w:r/>
            <w:r>
              <w:rPr>
                <w:rFonts w:ascii="Calibri" w:hAnsi="Calibri"/>
                <w:b/>
                <w:color w:val="2E74B5"/>
                <w:sz w:val="17"/>
              </w:rPr>
              <w:t>B2</w:t>
            </w:r>
          </w:p>
        </w:tc>
        <w:tc>
          <w:tcPr>
            <w:tcW w:type="dxa" w:w="6983"/>
            <w:vAlign w:val="center"/>
            <w:tcMar>
              <w:top w:w="80" w:type="dxa"/>
              <w:start w:w="120" w:type="dxa"/>
              <w:bottom w:w="80" w:type="dxa"/>
              <w:end w:w="120" w:type="dxa"/>
            </w:tcMar>
          </w:tcPr>
          <w:p>
            <w:pPr>
              <w:spacing w:after="0" w:line="252" w:lineRule="auto"/>
              <w:jc w:val="left"/>
            </w:pPr>
            <w:r/>
            <w:r>
              <w:rPr>
                <w:rFonts w:ascii="Calibri" w:hAnsi="Calibri"/>
                <w:b w:val="0"/>
                <w:color w:val="17212B"/>
                <w:sz w:val="17"/>
              </w:rPr>
              <w:t>Goodfellow, I., Bengio, Y., and Courville, A. Deep Learning. 1st ed. The MIT Press, 2016.</w:t>
            </w:r>
          </w:p>
        </w:tc>
        <w:tc>
          <w:tcPr>
            <w:tcW w:type="dxa" w:w="1872"/>
            <w:vAlign w:val="center"/>
            <w:tcMar>
              <w:top w:w="80" w:type="dxa"/>
              <w:start w:w="120" w:type="dxa"/>
              <w:bottom w:w="80" w:type="dxa"/>
              <w:end w:w="120" w:type="dxa"/>
            </w:tcMar>
          </w:tcPr>
          <w:p>
            <w:pPr>
              <w:spacing w:after="0" w:line="252" w:lineRule="auto"/>
              <w:jc w:val="left"/>
            </w:pPr>
            <w:r/>
            <w:r>
              <w:rPr>
                <w:rFonts w:ascii="Calibri" w:hAnsi="Calibri"/>
                <w:b w:val="0"/>
                <w:color w:val="17212B"/>
                <w:sz w:val="16"/>
              </w:rPr>
              <w:t>Foundational theory and methodology</w:t>
            </w:r>
          </w:p>
        </w:tc>
      </w:tr>
      <w:tr>
        <w:trPr>
          <w:cantSplit/>
        </w:trPr>
        <w:tc>
          <w:tcPr>
            <w:tcW w:type="dxa" w:w="792"/>
            <w:vAlign w:val="center"/>
            <w:tcMar>
              <w:top w:w="80" w:type="dxa"/>
              <w:start w:w="120" w:type="dxa"/>
              <w:bottom w:w="80" w:type="dxa"/>
              <w:end w:w="120" w:type="dxa"/>
            </w:tcMar>
          </w:tcPr>
          <w:p>
            <w:pPr>
              <w:spacing w:after="0" w:line="252" w:lineRule="auto"/>
              <w:jc w:val="center"/>
            </w:pPr>
            <w:r/>
            <w:r>
              <w:rPr>
                <w:rFonts w:ascii="Calibri" w:hAnsi="Calibri"/>
                <w:b/>
                <w:color w:val="2E74B5"/>
                <w:sz w:val="17"/>
              </w:rPr>
              <w:t>B3</w:t>
            </w:r>
          </w:p>
        </w:tc>
        <w:tc>
          <w:tcPr>
            <w:tcW w:type="dxa" w:w="6983"/>
            <w:vAlign w:val="center"/>
            <w:tcMar>
              <w:top w:w="80" w:type="dxa"/>
              <w:start w:w="120" w:type="dxa"/>
              <w:bottom w:w="80" w:type="dxa"/>
              <w:end w:w="120" w:type="dxa"/>
            </w:tcMar>
          </w:tcPr>
          <w:p>
            <w:pPr>
              <w:spacing w:after="0" w:line="252" w:lineRule="auto"/>
              <w:jc w:val="left"/>
            </w:pPr>
            <w:r/>
            <w:r>
              <w:rPr>
                <w:rFonts w:ascii="Calibri" w:hAnsi="Calibri"/>
                <w:b w:val="0"/>
                <w:color w:val="17212B"/>
                <w:sz w:val="17"/>
              </w:rPr>
              <w:t>Zhang, A., Lipton, Z. C., Li, M., and Smola, A. J. Dive into Deep Learning. 1st ed. Cambridge University Press, 2024.</w:t>
            </w:r>
          </w:p>
        </w:tc>
        <w:tc>
          <w:tcPr>
            <w:tcW w:type="dxa" w:w="1872"/>
            <w:vAlign w:val="center"/>
            <w:tcMar>
              <w:top w:w="80" w:type="dxa"/>
              <w:start w:w="120" w:type="dxa"/>
              <w:bottom w:w="80" w:type="dxa"/>
              <w:end w:w="120" w:type="dxa"/>
            </w:tcMar>
          </w:tcPr>
          <w:p>
            <w:pPr>
              <w:spacing w:after="0" w:line="252" w:lineRule="auto"/>
              <w:jc w:val="left"/>
            </w:pPr>
            <w:r/>
            <w:r>
              <w:rPr>
                <w:rFonts w:ascii="Calibri" w:hAnsi="Calibri"/>
                <w:b w:val="0"/>
                <w:color w:val="17212B"/>
                <w:sz w:val="16"/>
              </w:rPr>
              <w:t>Code, mathematics, and applied examples</w:t>
            </w:r>
          </w:p>
        </w:tc>
      </w:tr>
      <w:tr>
        <w:trPr>
          <w:cantSplit/>
        </w:trPr>
        <w:tc>
          <w:tcPr>
            <w:tcW w:type="dxa" w:w="792"/>
            <w:vAlign w:val="center"/>
            <w:tcMar>
              <w:top w:w="80" w:type="dxa"/>
              <w:start w:w="120" w:type="dxa"/>
              <w:bottom w:w="80" w:type="dxa"/>
              <w:end w:w="120" w:type="dxa"/>
            </w:tcMar>
          </w:tcPr>
          <w:p>
            <w:pPr>
              <w:spacing w:after="0" w:line="252" w:lineRule="auto"/>
              <w:jc w:val="center"/>
            </w:pPr>
            <w:r/>
            <w:r>
              <w:rPr>
                <w:rFonts w:ascii="Calibri" w:hAnsi="Calibri"/>
                <w:b/>
                <w:color w:val="2E74B5"/>
                <w:sz w:val="17"/>
              </w:rPr>
              <w:t>B4</w:t>
            </w:r>
          </w:p>
        </w:tc>
        <w:tc>
          <w:tcPr>
            <w:tcW w:type="dxa" w:w="6983"/>
            <w:vAlign w:val="center"/>
            <w:tcMar>
              <w:top w:w="80" w:type="dxa"/>
              <w:start w:w="120" w:type="dxa"/>
              <w:bottom w:w="80" w:type="dxa"/>
              <w:end w:w="120" w:type="dxa"/>
            </w:tcMar>
          </w:tcPr>
          <w:p>
            <w:pPr>
              <w:spacing w:after="0" w:line="252" w:lineRule="auto"/>
              <w:jc w:val="left"/>
            </w:pPr>
            <w:r/>
            <w:r>
              <w:rPr>
                <w:rFonts w:ascii="Calibri" w:hAnsi="Calibri"/>
                <w:b w:val="0"/>
                <w:color w:val="17212B"/>
                <w:sz w:val="17"/>
              </w:rPr>
              <w:t>Bishop, C. M., and Bishop, H. Deep Learning: Foundations and Concepts. 1st ed. Springer, 2024.</w:t>
            </w:r>
          </w:p>
        </w:tc>
        <w:tc>
          <w:tcPr>
            <w:tcW w:type="dxa" w:w="1872"/>
            <w:vAlign w:val="center"/>
            <w:tcMar>
              <w:top w:w="80" w:type="dxa"/>
              <w:start w:w="120" w:type="dxa"/>
              <w:bottom w:w="80" w:type="dxa"/>
              <w:end w:w="120" w:type="dxa"/>
            </w:tcMar>
          </w:tcPr>
          <w:p>
            <w:pPr>
              <w:spacing w:after="0" w:line="252" w:lineRule="auto"/>
              <w:jc w:val="left"/>
            </w:pPr>
            <w:r/>
            <w:r>
              <w:rPr>
                <w:rFonts w:ascii="Calibri" w:hAnsi="Calibri"/>
                <w:b w:val="0"/>
                <w:color w:val="17212B"/>
                <w:sz w:val="16"/>
              </w:rPr>
              <w:t>Modern mathematical treatment</w:t>
            </w:r>
          </w:p>
        </w:tc>
      </w:tr>
      <w:tr>
        <w:trPr>
          <w:cantSplit/>
        </w:trPr>
        <w:tc>
          <w:tcPr>
            <w:tcW w:type="dxa" w:w="792"/>
            <w:vAlign w:val="center"/>
            <w:tcMar>
              <w:top w:w="80" w:type="dxa"/>
              <w:start w:w="120" w:type="dxa"/>
              <w:bottom w:w="80" w:type="dxa"/>
              <w:end w:w="120" w:type="dxa"/>
            </w:tcMar>
          </w:tcPr>
          <w:p>
            <w:pPr>
              <w:spacing w:after="0" w:line="252" w:lineRule="auto"/>
              <w:jc w:val="center"/>
            </w:pPr>
            <w:r/>
            <w:r>
              <w:rPr>
                <w:rFonts w:ascii="Calibri" w:hAnsi="Calibri"/>
                <w:b/>
                <w:color w:val="2E74B5"/>
                <w:sz w:val="17"/>
              </w:rPr>
              <w:t>B5</w:t>
            </w:r>
          </w:p>
        </w:tc>
        <w:tc>
          <w:tcPr>
            <w:tcW w:type="dxa" w:w="6983"/>
            <w:vAlign w:val="center"/>
            <w:tcMar>
              <w:top w:w="80" w:type="dxa"/>
              <w:start w:w="120" w:type="dxa"/>
              <w:bottom w:w="80" w:type="dxa"/>
              <w:end w:w="120" w:type="dxa"/>
            </w:tcMar>
          </w:tcPr>
          <w:p>
            <w:pPr>
              <w:spacing w:after="0" w:line="252" w:lineRule="auto"/>
              <w:jc w:val="left"/>
            </w:pPr>
            <w:r/>
            <w:r>
              <w:rPr>
                <w:rFonts w:ascii="Calibri" w:hAnsi="Calibri"/>
                <w:b w:val="0"/>
                <w:color w:val="17212B"/>
                <w:sz w:val="17"/>
              </w:rPr>
              <w:t>Foster, D. Generative Deep Learning: Teaching Machines to Paint, Write, Compose, and Play. 2nd ed. O'Reilly Media, 2023.</w:t>
            </w:r>
          </w:p>
        </w:tc>
        <w:tc>
          <w:tcPr>
            <w:tcW w:type="dxa" w:w="1872"/>
            <w:vAlign w:val="center"/>
            <w:tcMar>
              <w:top w:w="80" w:type="dxa"/>
              <w:start w:w="120" w:type="dxa"/>
              <w:bottom w:w="80" w:type="dxa"/>
              <w:end w:w="120" w:type="dxa"/>
            </w:tcMar>
          </w:tcPr>
          <w:p>
            <w:pPr>
              <w:spacing w:after="0" w:line="252" w:lineRule="auto"/>
              <w:jc w:val="left"/>
            </w:pPr>
            <w:r/>
            <w:r>
              <w:rPr>
                <w:rFonts w:ascii="Calibri" w:hAnsi="Calibri"/>
                <w:b w:val="0"/>
                <w:color w:val="17212B"/>
                <w:sz w:val="16"/>
              </w:rPr>
              <w:t>Generative modeling</w:t>
            </w:r>
          </w:p>
        </w:tc>
      </w:tr>
      <w:tr>
        <w:trPr>
          <w:cantSplit/>
        </w:trPr>
        <w:tc>
          <w:tcPr>
            <w:tcW w:type="dxa" w:w="792"/>
            <w:vAlign w:val="center"/>
            <w:tcMar>
              <w:top w:w="80" w:type="dxa"/>
              <w:start w:w="120" w:type="dxa"/>
              <w:bottom w:w="80" w:type="dxa"/>
              <w:end w:w="120" w:type="dxa"/>
            </w:tcMar>
          </w:tcPr>
          <w:p>
            <w:pPr>
              <w:spacing w:after="0" w:line="252" w:lineRule="auto"/>
              <w:jc w:val="center"/>
            </w:pPr>
            <w:r/>
            <w:r>
              <w:rPr>
                <w:rFonts w:ascii="Calibri" w:hAnsi="Calibri"/>
                <w:b/>
                <w:color w:val="2E74B5"/>
                <w:sz w:val="17"/>
              </w:rPr>
              <w:t>B6</w:t>
            </w:r>
          </w:p>
        </w:tc>
        <w:tc>
          <w:tcPr>
            <w:tcW w:type="dxa" w:w="6983"/>
            <w:vAlign w:val="center"/>
            <w:tcMar>
              <w:top w:w="80" w:type="dxa"/>
              <w:start w:w="120" w:type="dxa"/>
              <w:bottom w:w="80" w:type="dxa"/>
              <w:end w:w="120" w:type="dxa"/>
            </w:tcMar>
          </w:tcPr>
          <w:p>
            <w:pPr>
              <w:spacing w:after="0" w:line="252" w:lineRule="auto"/>
              <w:jc w:val="left"/>
            </w:pPr>
            <w:r/>
            <w:r>
              <w:rPr>
                <w:rFonts w:ascii="Calibri" w:hAnsi="Calibri"/>
                <w:b w:val="0"/>
                <w:color w:val="17212B"/>
                <w:sz w:val="17"/>
              </w:rPr>
              <w:t>Thampi, A. Interpretable AI: Building Explainable Machine Learning Systems. 1st ed. Manning, 2022.</w:t>
            </w:r>
          </w:p>
        </w:tc>
        <w:tc>
          <w:tcPr>
            <w:tcW w:type="dxa" w:w="1872"/>
            <w:vAlign w:val="center"/>
            <w:tcMar>
              <w:top w:w="80" w:type="dxa"/>
              <w:start w:w="120" w:type="dxa"/>
              <w:bottom w:w="80" w:type="dxa"/>
              <w:end w:w="120" w:type="dxa"/>
            </w:tcMar>
          </w:tcPr>
          <w:p>
            <w:pPr>
              <w:spacing w:after="0" w:line="252" w:lineRule="auto"/>
              <w:jc w:val="left"/>
            </w:pPr>
            <w:r/>
            <w:r>
              <w:rPr>
                <w:rFonts w:ascii="Calibri" w:hAnsi="Calibri"/>
                <w:b w:val="0"/>
                <w:color w:val="17212B"/>
                <w:sz w:val="16"/>
              </w:rPr>
              <w:t>Interpretability and explanation</w:t>
            </w:r>
          </w:p>
        </w:tc>
      </w:tr>
      <w:tr>
        <w:trPr>
          <w:cantSplit/>
        </w:trPr>
        <w:tc>
          <w:tcPr>
            <w:tcW w:type="dxa" w:w="792"/>
            <w:vAlign w:val="center"/>
            <w:tcMar>
              <w:top w:w="80" w:type="dxa"/>
              <w:start w:w="120" w:type="dxa"/>
              <w:bottom w:w="80" w:type="dxa"/>
              <w:end w:w="120" w:type="dxa"/>
            </w:tcMar>
          </w:tcPr>
          <w:p>
            <w:pPr>
              <w:spacing w:after="0" w:line="252" w:lineRule="auto"/>
              <w:jc w:val="center"/>
            </w:pPr>
            <w:r/>
            <w:r>
              <w:rPr>
                <w:rFonts w:ascii="Calibri" w:hAnsi="Calibri"/>
                <w:b/>
                <w:color w:val="2E74B5"/>
                <w:sz w:val="17"/>
              </w:rPr>
              <w:t>B7</w:t>
            </w:r>
          </w:p>
        </w:tc>
        <w:tc>
          <w:tcPr>
            <w:tcW w:type="dxa" w:w="6983"/>
            <w:vAlign w:val="center"/>
            <w:tcMar>
              <w:top w:w="80" w:type="dxa"/>
              <w:start w:w="120" w:type="dxa"/>
              <w:bottom w:w="80" w:type="dxa"/>
              <w:end w:w="120" w:type="dxa"/>
            </w:tcMar>
          </w:tcPr>
          <w:p>
            <w:pPr>
              <w:spacing w:after="0" w:line="252" w:lineRule="auto"/>
              <w:jc w:val="left"/>
            </w:pPr>
            <w:r/>
            <w:r>
              <w:rPr>
                <w:rFonts w:ascii="Calibri" w:hAnsi="Calibri"/>
                <w:b w:val="0"/>
                <w:color w:val="17212B"/>
                <w:sz w:val="17"/>
              </w:rPr>
              <w:t>Huyen, C. Designing Machine Learning Systems: An Iterative Process for Production-Ready Applications. 1st ed. O'Reilly Media, 2022.</w:t>
            </w:r>
          </w:p>
        </w:tc>
        <w:tc>
          <w:tcPr>
            <w:tcW w:type="dxa" w:w="1872"/>
            <w:vAlign w:val="center"/>
            <w:tcMar>
              <w:top w:w="80" w:type="dxa"/>
              <w:start w:w="120" w:type="dxa"/>
              <w:bottom w:w="80" w:type="dxa"/>
              <w:end w:w="120" w:type="dxa"/>
            </w:tcMar>
          </w:tcPr>
          <w:p>
            <w:pPr>
              <w:spacing w:after="0" w:line="252" w:lineRule="auto"/>
              <w:jc w:val="left"/>
            </w:pPr>
            <w:r/>
            <w:r>
              <w:rPr>
                <w:rFonts w:ascii="Calibri" w:hAnsi="Calibri"/>
                <w:b w:val="0"/>
                <w:color w:val="17212B"/>
                <w:sz w:val="16"/>
              </w:rPr>
              <w:t>Deployment, monitoring, and MLOps</w:t>
            </w:r>
          </w:p>
        </w:tc>
      </w:tr>
      <w:tr>
        <w:trPr>
          <w:cantSplit/>
        </w:trPr>
        <w:tc>
          <w:tcPr>
            <w:tcW w:type="dxa" w:w="792"/>
            <w:vAlign w:val="center"/>
            <w:tcMar>
              <w:top w:w="80" w:type="dxa"/>
              <w:start w:w="120" w:type="dxa"/>
              <w:bottom w:w="80" w:type="dxa"/>
              <w:end w:w="120" w:type="dxa"/>
            </w:tcMar>
          </w:tcPr>
          <w:p>
            <w:pPr>
              <w:spacing w:after="0" w:line="252" w:lineRule="auto"/>
              <w:jc w:val="center"/>
            </w:pPr>
            <w:r/>
            <w:r>
              <w:rPr>
                <w:rFonts w:ascii="Calibri" w:hAnsi="Calibri"/>
                <w:b/>
                <w:color w:val="2E74B5"/>
                <w:sz w:val="17"/>
              </w:rPr>
              <w:t>B8</w:t>
            </w:r>
          </w:p>
        </w:tc>
        <w:tc>
          <w:tcPr>
            <w:tcW w:type="dxa" w:w="6983"/>
            <w:vAlign w:val="center"/>
            <w:tcMar>
              <w:top w:w="80" w:type="dxa"/>
              <w:start w:w="120" w:type="dxa"/>
              <w:bottom w:w="80" w:type="dxa"/>
              <w:end w:w="120" w:type="dxa"/>
            </w:tcMar>
          </w:tcPr>
          <w:p>
            <w:pPr>
              <w:spacing w:after="0" w:line="252" w:lineRule="auto"/>
              <w:jc w:val="left"/>
            </w:pPr>
            <w:r/>
            <w:r>
              <w:rPr>
                <w:rFonts w:ascii="Calibri" w:hAnsi="Calibri"/>
                <w:b w:val="0"/>
                <w:color w:val="17212B"/>
                <w:sz w:val="17"/>
              </w:rPr>
              <w:t>Barocas, S., Hardt, M., and Narayanan, A. Fairness and Machine Learning: Limitations and Opportunities. 1st ed. The MIT Press, 2023.</w:t>
            </w:r>
          </w:p>
        </w:tc>
        <w:tc>
          <w:tcPr>
            <w:tcW w:type="dxa" w:w="1872"/>
            <w:vAlign w:val="center"/>
            <w:tcMar>
              <w:top w:w="80" w:type="dxa"/>
              <w:start w:w="120" w:type="dxa"/>
              <w:bottom w:w="80" w:type="dxa"/>
              <w:end w:w="120" w:type="dxa"/>
            </w:tcMar>
          </w:tcPr>
          <w:p>
            <w:pPr>
              <w:spacing w:after="0" w:line="252" w:lineRule="auto"/>
              <w:jc w:val="left"/>
            </w:pPr>
            <w:r/>
            <w:r>
              <w:rPr>
                <w:rFonts w:ascii="Calibri" w:hAnsi="Calibri"/>
                <w:b w:val="0"/>
                <w:color w:val="17212B"/>
                <w:sz w:val="16"/>
              </w:rPr>
              <w:t>Fairness and responsible machine learning</w:t>
            </w:r>
          </w:p>
        </w:tc>
      </w:tr>
    </w:tbl>
    <w:p>
      <w:pPr>
        <w:pStyle w:val="Heading1"/>
      </w:pPr>
      <w:r>
        <w:t>10. Approval checklist</w:t>
      </w:r>
    </w:p>
    <w:p>
      <w:pPr>
        <w:spacing w:after="80"/>
      </w:pPr>
      <w:r>
        <w:rPr>
          <w:color w:val="2E74B5"/>
        </w:rPr>
        <w:t xml:space="preserve">☐  </w:t>
      </w:r>
      <w:r>
        <w:t>Replace AI-XXX-XXXL with the approved course code.</w:t>
      </w:r>
    </w:p>
    <w:p>
      <w:pPr>
        <w:spacing w:after="80"/>
      </w:pPr>
      <w:r>
        <w:rPr>
          <w:color w:val="2E74B5"/>
        </w:rPr>
        <w:t xml:space="preserve">☐  </w:t>
      </w:r>
      <w:r>
        <w:t>Confirm CLO-PLO mappings against the current program accreditation matrix.</w:t>
      </w:r>
    </w:p>
    <w:p>
      <w:pPr>
        <w:spacing w:after="80"/>
      </w:pPr>
      <w:r>
        <w:rPr>
          <w:color w:val="2E74B5"/>
        </w:rPr>
        <w:t xml:space="preserve">☐  </w:t>
      </w:r>
      <w:r>
        <w:t>Confirm assessment weights and examination scheduling under current university policy.</w:t>
      </w:r>
    </w:p>
    <w:p>
      <w:pPr>
        <w:spacing w:after="80"/>
      </w:pPr>
      <w:r>
        <w:rPr>
          <w:color w:val="2E74B5"/>
        </w:rPr>
        <w:t xml:space="preserve">☐  </w:t>
      </w:r>
      <w:r>
        <w:t>Confirm Colab/PyTorch access and a fallback CPU environment before semester launch.</w:t>
      </w:r>
    </w:p>
    <w:p>
      <w:pPr>
        <w:spacing w:after="80"/>
      </w:pPr>
      <w:r>
        <w:rPr>
          <w:color w:val="2E74B5"/>
        </w:rPr>
        <w:t xml:space="preserve">☐  </w:t>
      </w:r>
      <w:r>
        <w:t>Review the bibliography annually for new editions while retaining book-only references.</w:t>
      </w:r>
    </w:p>
    <w:sectPr w:rsidR="00FC693F" w:rsidRPr="0006063C" w:rsidSect="00034616">
      <w:headerReference w:type="default" r:id="rId9"/>
      <w:footerReference w:type="default" r:id="rId10"/>
      <w:footerReference w:type="first" r:id="rId11"/>
      <w:pgSz w:w="12240" w:h="15840"/>
      <w:pgMar w:top="1238" w:right="1296" w:bottom="1123"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color w:val="536273"/>
        <w:sz w:val="16"/>
      </w:rPr>
      <w:t xml:space="preserve">University of Gwadar  |  Updated July 2026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color w:val="536273"/>
        <w:sz w:val="16"/>
      </w:rPr>
      <w:t>CURRICULUM EDITION  /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36273"/>
        <w:sz w:val="17"/>
      </w:rPr>
      <w:t>DEEP LEARNING  /  UPDATED COURSE OUTLINE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Rule="auto" w:line="276"/>
    </w:pPr>
    <w:rPr>
      <w:rFonts w:ascii="Calibri" w:hAnsi="Calibri"/>
      <w:color w:val="172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73B5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b/>
      <w:color w:val="173B5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59" w:lineRule="auto"/>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line="259" w:lineRule="auto"/>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Learning - Updated course outline</dc:title>
  <dc:subject>Sixteen-week Deep Learning course package</dc:subject>
  <dc:creator>Department of Computer Science, University of Gwadar</dc:creator>
  <cp:keywords/>
  <dc:description>generated by python-docx</dc:description>
  <cp:lastModifiedBy/>
  <cp:revision>1</cp:revision>
  <dcterms:created xsi:type="dcterms:W3CDTF">2013-12-23T23:15:00Z</dcterms:created>
  <dcterms:modified xsi:type="dcterms:W3CDTF">2013-12-23T23:15:00Z</dcterms:modified>
  <cp:category/>
</cp:coreProperties>
</file>