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pPr>
      <w:r>
        <w:rPr>
          <w:rFonts w:ascii="Calibri" w:cs="Calibri" w:eastAsia="Calibri" w:hAnsi="Calibri"/>
          <w:b/>
          <w:bCs/>
          <w:color w:val="2E5A88"/>
          <w:spacing w:val="60"/>
          <w:sz w:val="20"/>
          <w:szCs w:val="20"/>
        </w:rPr>
        <w:t xml:space="preserve">CONSULTING REPORT</w:t>
      </w:r>
    </w:p>
    <w:p>
      <w:pPr>
        <w:pBdr>
          <w:bottom w:val="single" w:color="1F3864" w:sz="12" w:space="8"/>
        </w:pBdr>
        <w:spacing w:after="100"/>
      </w:pPr>
    </w:p>
    <w:p>
      <w:pPr>
        <w:spacing w:after="120"/>
      </w:pPr>
      <w:r>
        <w:rPr>
          <w:rFonts w:ascii="Calibri" w:cs="Calibri" w:eastAsia="Calibri" w:hAnsi="Calibri"/>
          <w:b/>
          <w:bCs/>
          <w:color w:val="1F3864"/>
          <w:sz w:val="52"/>
          <w:szCs w:val="52"/>
        </w:rPr>
        <w:t xml:space="preserve">Employee Attrition Analysis</w:t>
      </w:r>
    </w:p>
    <w:p>
      <w:pPr>
        <w:spacing w:after="400"/>
      </w:pPr>
      <w:r>
        <w:rPr>
          <w:rFonts w:ascii="Calibri" w:cs="Calibri" w:eastAsia="Calibri" w:hAnsi="Calibri"/>
          <w:color w:val="595959"/>
          <w:sz w:val="24"/>
          <w:szCs w:val="24"/>
        </w:rPr>
        <w:t xml:space="preserve">Where the organisation is losing people, what the evidence supports, and what management should do next</w:t>
      </w:r>
    </w:p>
    <w:p>
      <w:pPr>
        <w:spacing w:after="600"/>
      </w:pP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600"/>
        <w:gridCol w:w="6760"/>
      </w:tblGrid>
      <w:tr>
        <w:trPr>
          <w:tblHeader/>
        </w:trPr>
        <w:tc>
          <w:tcPr>
            <w:tcW w:type="dxa" w:w="26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Prepared for</w:t>
            </w:r>
          </w:p>
        </w:tc>
        <w:tc>
          <w:tcPr>
            <w:tcW w:type="dxa" w:w="676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HR Management</w:t>
            </w:r>
          </w:p>
        </w:tc>
      </w:tr>
      <w:tr>
        <w:tc>
          <w:tcPr>
            <w:tcW w:type="dxa" w:w="2600"/>
            <w:tcMar>
              <w:top w:type="dxa" w:w="60"/>
              <w:left w:type="dxa" w:w="100"/>
              <w:bottom w:type="dxa" w:w="60"/>
              <w:right w:type="dxa" w:w="100"/>
            </w:tcMar>
          </w:tcPr>
          <w:p>
            <w:pPr>
              <w:spacing w:after="0" w:line="250"/>
            </w:pPr>
            <w:r>
              <w:rPr>
                <w:rFonts w:ascii="Calibri" w:cs="Calibri" w:eastAsia="Calibri" w:hAnsi="Calibri"/>
                <w:b/>
                <w:bCs/>
                <w:sz w:val="19"/>
                <w:szCs w:val="19"/>
              </w:rPr>
              <w:t xml:space="preserve">Prepared by</w:t>
            </w:r>
          </w:p>
        </w:tc>
        <w:tc>
          <w:tcPr>
            <w:tcW w:type="dxa" w:w="67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Hafeez Khan  |  Business Analyst</w:t>
            </w:r>
          </w:p>
        </w:tc>
      </w:tr>
      <w:tr>
        <w:tc>
          <w:tcPr>
            <w:tcW w:type="dxa" w:w="26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Date</w:t>
            </w:r>
          </w:p>
        </w:tc>
        <w:tc>
          <w:tcPr>
            <w:tcW w:type="dxa" w:w="67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26 August 2026</w:t>
            </w:r>
          </w:p>
        </w:tc>
      </w:tr>
      <w:tr>
        <w:tc>
          <w:tcPr>
            <w:tcW w:type="dxa" w:w="2600"/>
            <w:tcMar>
              <w:top w:type="dxa" w:w="60"/>
              <w:left w:type="dxa" w:w="100"/>
              <w:bottom w:type="dxa" w:w="60"/>
              <w:right w:type="dxa" w:w="100"/>
            </w:tcMar>
          </w:tcPr>
          <w:p>
            <w:pPr>
              <w:spacing w:after="0" w:line="250"/>
            </w:pPr>
            <w:r>
              <w:rPr>
                <w:rFonts w:ascii="Calibri" w:cs="Calibri" w:eastAsia="Calibri" w:hAnsi="Calibri"/>
                <w:b/>
                <w:bCs/>
                <w:sz w:val="19"/>
                <w:szCs w:val="19"/>
              </w:rPr>
              <w:t xml:space="preserve">Source data</w:t>
            </w:r>
          </w:p>
        </w:tc>
        <w:tc>
          <w:tcPr>
            <w:tcW w:type="dxa" w:w="67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Emp_attrition_csv.csv — 74,610 employee records, 24 fields</w:t>
            </w:r>
          </w:p>
        </w:tc>
      </w:tr>
      <w:tr>
        <w:tc>
          <w:tcPr>
            <w:tcW w:type="dxa" w:w="26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Analysis base</w:t>
            </w:r>
          </w:p>
        </w:tc>
        <w:tc>
          <w:tcPr>
            <w:tcW w:type="dxa" w:w="67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74,498 records after cleaning</w:t>
            </w:r>
          </w:p>
        </w:tc>
      </w:tr>
      <w:tr>
        <w:tc>
          <w:tcPr>
            <w:tcW w:type="dxa" w:w="2600"/>
            <w:tcMar>
              <w:top w:type="dxa" w:w="60"/>
              <w:left w:type="dxa" w:w="100"/>
              <w:bottom w:type="dxa" w:w="60"/>
              <w:right w:type="dxa" w:w="100"/>
            </w:tcMar>
          </w:tcPr>
          <w:p>
            <w:pPr>
              <w:spacing w:after="0" w:line="250"/>
            </w:pPr>
            <w:r>
              <w:rPr>
                <w:rFonts w:ascii="Calibri" w:cs="Calibri" w:eastAsia="Calibri" w:hAnsi="Calibri"/>
                <w:b/>
                <w:bCs/>
                <w:sz w:val="19"/>
                <w:szCs w:val="19"/>
              </w:rPr>
              <w:t xml:space="preserve">Supporting files</w:t>
            </w:r>
          </w:p>
        </w:tc>
        <w:tc>
          <w:tcPr>
            <w:tcW w:type="dxa" w:w="67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HR_Attrition_Analysis.xlsx  ·  hr_attrition_analysis.sql  ·  PowerBI_Build_Guide.md</w:t>
            </w:r>
          </w:p>
        </w:tc>
      </w:tr>
      <w:tr>
        <w:tc>
          <w:tcPr>
            <w:tcW w:type="dxa" w:w="26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Classification</w:t>
            </w:r>
          </w:p>
        </w:tc>
        <w:tc>
          <w:tcPr>
            <w:tcW w:type="dxa" w:w="67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Internal — contains data-quality findings for the HR data owner</w:t>
            </w:r>
          </w:p>
        </w:tc>
      </w:tr>
    </w:tbl>
    <w:p>
      <w:pPr>
        <w:spacing w:after="500"/>
      </w:pPr>
    </w:p>
    <w:tbl>
      <w:tblPr>
        <w:tblW w:type="dxa" w:w="9360"/>
        <w:tblBorders>
          <w:top w:val="single" w:color="BF8F00" w:sz="2"/>
          <w:left w:val="single" w:color="BF8F00" w:sz="18"/>
          <w:bottom w:val="single" w:color="BF8F00" w:sz="2"/>
          <w:right w:val="single" w:color="BF8F00" w:sz="2"/>
          <w:insideH w:val="none"/>
          <w:insideV w:val="none"/>
        </w:tblBorders>
      </w:tblPr>
      <w:tblGrid>
        <w:gridCol w:w="9360"/>
      </w:tblGrid>
      <w:tr>
        <w:tc>
          <w:tcPr>
            <w:tcW w:type="dxa" w:w="9360"/>
            <w:shd w:fill="FBFBFB" w:color="auto" w:val="clear"/>
            <w:tcMar>
              <w:top w:type="dxa" w:w="140"/>
              <w:left w:type="dxa" w:w="180"/>
              <w:bottom w:type="dxa" w:w="140"/>
              <w:right w:type="dxa" w:w="160"/>
            </w:tcMar>
          </w:tcPr>
          <w:p>
            <w:pPr>
              <w:spacing w:after="60"/>
            </w:pPr>
            <w:r>
              <w:rPr>
                <w:rFonts w:ascii="Calibri" w:cs="Calibri" w:eastAsia="Calibri" w:hAnsi="Calibri"/>
                <w:b/>
                <w:bCs/>
                <w:color w:val="BF8F00"/>
                <w:sz w:val="20"/>
                <w:szCs w:val="20"/>
              </w:rPr>
              <w:t xml:space="preserve">Read this before quoting any figure</w:t>
            </w:r>
          </w:p>
          <w:p>
            <w:pPr>
              <w:spacing w:after="60" w:line="270"/>
            </w:pPr>
            <w:r>
              <w:rPr>
                <w:rFonts w:ascii="Calibri" w:cs="Calibri" w:eastAsia="Calibri" w:hAnsi="Calibri"/>
                <w:sz w:val="20"/>
                <w:szCs w:val="20"/>
              </w:rPr>
              <w:t xml:space="preserve">The source extract records an attrition rate of 47.5%. No functioning employer loses half its workforce in a reporting period. This extract has been balanced between leavers and stayers, and it contains internal contradictions documented in Section 4.</w:t>
            </w:r>
          </w:p>
          <w:p>
            <w:pPr>
              <w:spacing w:after="60" w:line="270"/>
            </w:pPr>
            <w:r>
              <w:rPr>
                <w:rFonts w:ascii="Calibri" w:cs="Calibri" w:eastAsia="Calibri" w:hAnsi="Calibri"/>
                <w:sz w:val="20"/>
                <w:szCs w:val="20"/>
              </w:rPr>
              <w:t xml:space="preserve">Comparisons between groups in this report are analytically sound and are the basis of every recommendation. Absolute rates are not, and must not be presented as the organisation's true attrition rate.</w:t>
            </w:r>
          </w:p>
        </w:tc>
      </w:tr>
    </w:tbl>
    <w:p>
      <w:r>
        <w:br w:type="page"/>
      </w:r>
    </w:p>
    <w:p>
      <w:pPr>
        <w:pStyle w:val="Heading1"/>
        <w:spacing w:after="140" w:before="340"/>
      </w:pPr>
      <w:r>
        <w:rPr>
          <w:rFonts w:ascii="Calibri" w:cs="Calibri" w:eastAsia="Calibri" w:hAnsi="Calibri"/>
          <w:b/>
          <w:bCs/>
          <w:color w:val="1F3864"/>
          <w:sz w:val="30"/>
          <w:szCs w:val="30"/>
        </w:rPr>
        <w:t xml:space="preserve">Contents</w:t>
      </w:r>
    </w:p>
    <w:tbl>
      <w:tblPr>
        <w:tblW w:type="dxa" w:w="9360"/>
        <w:tblBorders>
          <w:top w:val="none"/>
          <w:left w:val="none"/>
          <w:bottom w:val="none"/>
          <w:right w:val="none"/>
          <w:insideH w:val="single" w:color="E0E0E0" w:sz="1"/>
          <w:insideV w:val="none"/>
        </w:tblBorders>
      </w:tblPr>
      <w:tblGrid>
        <w:gridCol w:w="8360"/>
        <w:gridCol w:w="1000"/>
      </w:tblGrid>
      <w:tr>
        <w:tc>
          <w:tcPr>
            <w:tcW w:type="dxa" w:w="8360"/>
            <w:tcMar>
              <w:top w:type="dxa" w:w="90"/>
              <w:left w:type="dxa" w:w="0"/>
              <w:bottom w:type="dxa" w:w="90"/>
              <w:right w:type="dxa" w:w="0"/>
            </w:tcMar>
          </w:tcPr>
          <w:p>
            <w:pPr>
              <w:spacing w:after="0"/>
            </w:pPr>
            <w:r>
              <w:rPr>
                <w:rFonts w:ascii="Calibri" w:cs="Calibri" w:eastAsia="Calibri" w:hAnsi="Calibri"/>
                <w:sz w:val="21"/>
                <w:szCs w:val="21"/>
              </w:rPr>
              <w:t xml:space="preserve">1. Executive Summary</w:t>
            </w:r>
          </w:p>
        </w:tc>
        <w:tc>
          <w:tcPr>
            <w:tcW w:type="dxa" w:w="1000"/>
            <w:tcMar>
              <w:top w:type="dxa" w:w="90"/>
              <w:left w:type="dxa" w:w="0"/>
              <w:bottom w:type="dxa" w:w="90"/>
              <w:right w:type="dxa" w:w="0"/>
            </w:tcMar>
          </w:tcPr>
          <w:p>
            <w:pPr>
              <w:spacing w:after="0"/>
              <w:jc w:val="right"/>
            </w:pPr>
            <w:r>
              <w:rPr>
                <w:rFonts w:ascii="Calibri" w:cs="Calibri" w:eastAsia="Calibri" w:hAnsi="Calibri"/>
                <w:color w:val="595959"/>
                <w:sz w:val="21"/>
                <w:szCs w:val="21"/>
              </w:rPr>
              <w:t xml:space="preserve">3</w:t>
            </w:r>
          </w:p>
        </w:tc>
      </w:tr>
      <w:tr>
        <w:tc>
          <w:tcPr>
            <w:tcW w:type="dxa" w:w="8360"/>
            <w:tcMar>
              <w:top w:type="dxa" w:w="90"/>
              <w:left w:type="dxa" w:w="0"/>
              <w:bottom w:type="dxa" w:w="90"/>
              <w:right w:type="dxa" w:w="0"/>
            </w:tcMar>
          </w:tcPr>
          <w:p>
            <w:pPr>
              <w:spacing w:after="0"/>
            </w:pPr>
            <w:r>
              <w:rPr>
                <w:rFonts w:ascii="Calibri" w:cs="Calibri" w:eastAsia="Calibri" w:hAnsi="Calibri"/>
                <w:sz w:val="21"/>
                <w:szCs w:val="21"/>
              </w:rPr>
              <w:t xml:space="preserve">2. Business Problem</w:t>
            </w:r>
          </w:p>
        </w:tc>
        <w:tc>
          <w:tcPr>
            <w:tcW w:type="dxa" w:w="1000"/>
            <w:tcMar>
              <w:top w:type="dxa" w:w="90"/>
              <w:left w:type="dxa" w:w="0"/>
              <w:bottom w:type="dxa" w:w="90"/>
              <w:right w:type="dxa" w:w="0"/>
            </w:tcMar>
          </w:tcPr>
          <w:p>
            <w:pPr>
              <w:spacing w:after="0"/>
              <w:jc w:val="right"/>
            </w:pPr>
            <w:r>
              <w:rPr>
                <w:rFonts w:ascii="Calibri" w:cs="Calibri" w:eastAsia="Calibri" w:hAnsi="Calibri"/>
                <w:color w:val="595959"/>
                <w:sz w:val="21"/>
                <w:szCs w:val="21"/>
              </w:rPr>
              <w:t xml:space="preserve">5</w:t>
            </w:r>
          </w:p>
        </w:tc>
      </w:tr>
      <w:tr>
        <w:tc>
          <w:tcPr>
            <w:tcW w:type="dxa" w:w="8360"/>
            <w:tcMar>
              <w:top w:type="dxa" w:w="90"/>
              <w:left w:type="dxa" w:w="0"/>
              <w:bottom w:type="dxa" w:w="90"/>
              <w:right w:type="dxa" w:w="0"/>
            </w:tcMar>
          </w:tcPr>
          <w:p>
            <w:pPr>
              <w:spacing w:after="0"/>
            </w:pPr>
            <w:r>
              <w:rPr>
                <w:rFonts w:ascii="Calibri" w:cs="Calibri" w:eastAsia="Calibri" w:hAnsi="Calibri"/>
                <w:sz w:val="21"/>
                <w:szCs w:val="21"/>
              </w:rPr>
              <w:t xml:space="preserve">3. Methodology</w:t>
            </w:r>
          </w:p>
        </w:tc>
        <w:tc>
          <w:tcPr>
            <w:tcW w:type="dxa" w:w="1000"/>
            <w:tcMar>
              <w:top w:type="dxa" w:w="90"/>
              <w:left w:type="dxa" w:w="0"/>
              <w:bottom w:type="dxa" w:w="90"/>
              <w:right w:type="dxa" w:w="0"/>
            </w:tcMar>
          </w:tcPr>
          <w:p>
            <w:pPr>
              <w:spacing w:after="0"/>
              <w:jc w:val="right"/>
            </w:pPr>
            <w:r>
              <w:rPr>
                <w:rFonts w:ascii="Calibri" w:cs="Calibri" w:eastAsia="Calibri" w:hAnsi="Calibri"/>
                <w:color w:val="595959"/>
                <w:sz w:val="21"/>
                <w:szCs w:val="21"/>
              </w:rPr>
              <w:t xml:space="preserve">7</w:t>
            </w:r>
          </w:p>
        </w:tc>
      </w:tr>
      <w:tr>
        <w:tc>
          <w:tcPr>
            <w:tcW w:type="dxa" w:w="8360"/>
            <w:tcMar>
              <w:top w:type="dxa" w:w="90"/>
              <w:left w:type="dxa" w:w="0"/>
              <w:bottom w:type="dxa" w:w="90"/>
              <w:right w:type="dxa" w:w="0"/>
            </w:tcMar>
          </w:tcPr>
          <w:p>
            <w:pPr>
              <w:spacing w:after="0"/>
            </w:pPr>
            <w:r>
              <w:rPr>
                <w:rFonts w:ascii="Calibri" w:cs="Calibri" w:eastAsia="Calibri" w:hAnsi="Calibri"/>
                <w:sz w:val="21"/>
                <w:szCs w:val="21"/>
              </w:rPr>
              <w:t xml:space="preserve">4. Data Quality</w:t>
            </w:r>
          </w:p>
        </w:tc>
        <w:tc>
          <w:tcPr>
            <w:tcW w:type="dxa" w:w="1000"/>
            <w:tcMar>
              <w:top w:type="dxa" w:w="90"/>
              <w:left w:type="dxa" w:w="0"/>
              <w:bottom w:type="dxa" w:w="90"/>
              <w:right w:type="dxa" w:w="0"/>
            </w:tcMar>
          </w:tcPr>
          <w:p>
            <w:pPr>
              <w:spacing w:after="0"/>
              <w:jc w:val="right"/>
            </w:pPr>
            <w:r>
              <w:rPr>
                <w:rFonts w:ascii="Calibri" w:cs="Calibri" w:eastAsia="Calibri" w:hAnsi="Calibri"/>
                <w:color w:val="595959"/>
                <w:sz w:val="21"/>
                <w:szCs w:val="21"/>
              </w:rPr>
              <w:t xml:space="preserve">9</w:t>
            </w:r>
          </w:p>
        </w:tc>
      </w:tr>
      <w:tr>
        <w:tc>
          <w:tcPr>
            <w:tcW w:type="dxa" w:w="8360"/>
            <w:tcMar>
              <w:top w:type="dxa" w:w="90"/>
              <w:left w:type="dxa" w:w="0"/>
              <w:bottom w:type="dxa" w:w="90"/>
              <w:right w:type="dxa" w:w="0"/>
            </w:tcMar>
          </w:tcPr>
          <w:p>
            <w:pPr>
              <w:spacing w:after="0"/>
            </w:pPr>
            <w:r>
              <w:rPr>
                <w:rFonts w:ascii="Calibri" w:cs="Calibri" w:eastAsia="Calibri" w:hAnsi="Calibri"/>
                <w:sz w:val="21"/>
                <w:szCs w:val="21"/>
              </w:rPr>
              <w:t xml:space="preserve">5. Key Performance Indicators</w:t>
            </w:r>
          </w:p>
        </w:tc>
        <w:tc>
          <w:tcPr>
            <w:tcW w:type="dxa" w:w="1000"/>
            <w:tcMar>
              <w:top w:type="dxa" w:w="90"/>
              <w:left w:type="dxa" w:w="0"/>
              <w:bottom w:type="dxa" w:w="90"/>
              <w:right w:type="dxa" w:w="0"/>
            </w:tcMar>
          </w:tcPr>
          <w:p>
            <w:pPr>
              <w:spacing w:after="0"/>
              <w:jc w:val="right"/>
            </w:pPr>
            <w:r>
              <w:rPr>
                <w:rFonts w:ascii="Calibri" w:cs="Calibri" w:eastAsia="Calibri" w:hAnsi="Calibri"/>
                <w:color w:val="595959"/>
                <w:sz w:val="21"/>
                <w:szCs w:val="21"/>
              </w:rPr>
              <w:t xml:space="preserve">11</w:t>
            </w:r>
          </w:p>
        </w:tc>
      </w:tr>
      <w:tr>
        <w:tc>
          <w:tcPr>
            <w:tcW w:type="dxa" w:w="8360"/>
            <w:tcMar>
              <w:top w:type="dxa" w:w="90"/>
              <w:left w:type="dxa" w:w="0"/>
              <w:bottom w:type="dxa" w:w="90"/>
              <w:right w:type="dxa" w:w="0"/>
            </w:tcMar>
          </w:tcPr>
          <w:p>
            <w:pPr>
              <w:spacing w:after="0"/>
            </w:pPr>
            <w:r>
              <w:rPr>
                <w:rFonts w:ascii="Calibri" w:cs="Calibri" w:eastAsia="Calibri" w:hAnsi="Calibri"/>
                <w:sz w:val="21"/>
                <w:szCs w:val="21"/>
              </w:rPr>
              <w:t xml:space="preserve">6. Findings</w:t>
            </w:r>
          </w:p>
        </w:tc>
        <w:tc>
          <w:tcPr>
            <w:tcW w:type="dxa" w:w="1000"/>
            <w:tcMar>
              <w:top w:type="dxa" w:w="90"/>
              <w:left w:type="dxa" w:w="0"/>
              <w:bottom w:type="dxa" w:w="90"/>
              <w:right w:type="dxa" w:w="0"/>
            </w:tcMar>
          </w:tcPr>
          <w:p>
            <w:pPr>
              <w:spacing w:after="0"/>
              <w:jc w:val="right"/>
            </w:pPr>
            <w:r>
              <w:rPr>
                <w:rFonts w:ascii="Calibri" w:cs="Calibri" w:eastAsia="Calibri" w:hAnsi="Calibri"/>
                <w:color w:val="595959"/>
                <w:sz w:val="21"/>
                <w:szCs w:val="21"/>
              </w:rPr>
              <w:t xml:space="preserve">12</w:t>
            </w:r>
          </w:p>
        </w:tc>
      </w:tr>
      <w:tr>
        <w:tc>
          <w:tcPr>
            <w:tcW w:type="dxa" w:w="8360"/>
            <w:tcMar>
              <w:top w:type="dxa" w:w="90"/>
              <w:left w:type="dxa" w:w="0"/>
              <w:bottom w:type="dxa" w:w="90"/>
              <w:right w:type="dxa" w:w="0"/>
            </w:tcMar>
          </w:tcPr>
          <w:p>
            <w:pPr>
              <w:spacing w:after="0"/>
            </w:pPr>
            <w:r>
              <w:rPr>
                <w:rFonts w:ascii="Calibri" w:cs="Calibri" w:eastAsia="Calibri" w:hAnsi="Calibri"/>
                <w:sz w:val="21"/>
                <w:szCs w:val="21"/>
              </w:rPr>
              <w:t xml:space="preserve">7. Factors: What Survives When Everything Is Controlled</w:t>
            </w:r>
          </w:p>
        </w:tc>
        <w:tc>
          <w:tcPr>
            <w:tcW w:type="dxa" w:w="1000"/>
            <w:tcMar>
              <w:top w:type="dxa" w:w="90"/>
              <w:left w:type="dxa" w:w="0"/>
              <w:bottom w:type="dxa" w:w="90"/>
              <w:right w:type="dxa" w:w="0"/>
            </w:tcMar>
          </w:tcPr>
          <w:p>
            <w:pPr>
              <w:spacing w:after="0"/>
              <w:jc w:val="right"/>
            </w:pPr>
            <w:r>
              <w:rPr>
                <w:rFonts w:ascii="Calibri" w:cs="Calibri" w:eastAsia="Calibri" w:hAnsi="Calibri"/>
                <w:color w:val="595959"/>
                <w:sz w:val="21"/>
                <w:szCs w:val="21"/>
              </w:rPr>
              <w:t xml:space="preserve">16</w:t>
            </w:r>
          </w:p>
        </w:tc>
      </w:tr>
      <w:tr>
        <w:tc>
          <w:tcPr>
            <w:tcW w:type="dxa" w:w="8360"/>
            <w:tcMar>
              <w:top w:type="dxa" w:w="90"/>
              <w:left w:type="dxa" w:w="0"/>
              <w:bottom w:type="dxa" w:w="90"/>
              <w:right w:type="dxa" w:w="0"/>
            </w:tcMar>
          </w:tcPr>
          <w:p>
            <w:pPr>
              <w:spacing w:after="0"/>
            </w:pPr>
            <w:r>
              <w:rPr>
                <w:rFonts w:ascii="Calibri" w:cs="Calibri" w:eastAsia="Calibri" w:hAnsi="Calibri"/>
                <w:sz w:val="21"/>
                <w:szCs w:val="21"/>
              </w:rPr>
              <w:t xml:space="preserve">8. Recommendations</w:t>
            </w:r>
          </w:p>
        </w:tc>
        <w:tc>
          <w:tcPr>
            <w:tcW w:type="dxa" w:w="1000"/>
            <w:tcMar>
              <w:top w:type="dxa" w:w="90"/>
              <w:left w:type="dxa" w:w="0"/>
              <w:bottom w:type="dxa" w:w="90"/>
              <w:right w:type="dxa" w:w="0"/>
            </w:tcMar>
          </w:tcPr>
          <w:p>
            <w:pPr>
              <w:spacing w:after="0"/>
              <w:jc w:val="right"/>
            </w:pPr>
            <w:r>
              <w:rPr>
                <w:rFonts w:ascii="Calibri" w:cs="Calibri" w:eastAsia="Calibri" w:hAnsi="Calibri"/>
                <w:color w:val="595959"/>
                <w:sz w:val="21"/>
                <w:szCs w:val="21"/>
              </w:rPr>
              <w:t xml:space="preserve">18</w:t>
            </w:r>
          </w:p>
        </w:tc>
      </w:tr>
      <w:tr>
        <w:tc>
          <w:tcPr>
            <w:tcW w:type="dxa" w:w="8360"/>
            <w:tcMar>
              <w:top w:type="dxa" w:w="90"/>
              <w:left w:type="dxa" w:w="0"/>
              <w:bottom w:type="dxa" w:w="90"/>
              <w:right w:type="dxa" w:w="0"/>
            </w:tcMar>
          </w:tcPr>
          <w:p>
            <w:pPr>
              <w:spacing w:after="0"/>
            </w:pPr>
            <w:r>
              <w:rPr>
                <w:rFonts w:ascii="Calibri" w:cs="Calibri" w:eastAsia="Calibri" w:hAnsi="Calibri"/>
                <w:sz w:val="21"/>
                <w:szCs w:val="21"/>
              </w:rPr>
              <w:t xml:space="preserve">9. Limitations</w:t>
            </w:r>
          </w:p>
        </w:tc>
        <w:tc>
          <w:tcPr>
            <w:tcW w:type="dxa" w:w="1000"/>
            <w:tcMar>
              <w:top w:type="dxa" w:w="90"/>
              <w:left w:type="dxa" w:w="0"/>
              <w:bottom w:type="dxa" w:w="90"/>
              <w:right w:type="dxa" w:w="0"/>
            </w:tcMar>
          </w:tcPr>
          <w:p>
            <w:pPr>
              <w:spacing w:after="0"/>
              <w:jc w:val="right"/>
            </w:pPr>
            <w:r>
              <w:rPr>
                <w:rFonts w:ascii="Calibri" w:cs="Calibri" w:eastAsia="Calibri" w:hAnsi="Calibri"/>
                <w:color w:val="595959"/>
                <w:sz w:val="21"/>
                <w:szCs w:val="21"/>
              </w:rPr>
              <w:t xml:space="preserve">21</w:t>
            </w:r>
          </w:p>
        </w:tc>
      </w:tr>
      <w:tr>
        <w:tc>
          <w:tcPr>
            <w:tcW w:type="dxa" w:w="8360"/>
            <w:tcMar>
              <w:top w:type="dxa" w:w="90"/>
              <w:left w:type="dxa" w:w="0"/>
              <w:bottom w:type="dxa" w:w="90"/>
              <w:right w:type="dxa" w:w="0"/>
            </w:tcMar>
          </w:tcPr>
          <w:p>
            <w:pPr>
              <w:spacing w:after="0"/>
            </w:pPr>
            <w:r>
              <w:rPr>
                <w:rFonts w:ascii="Calibri" w:cs="Calibri" w:eastAsia="Calibri" w:hAnsi="Calibri"/>
                <w:sz w:val="21"/>
                <w:szCs w:val="21"/>
              </w:rPr>
              <w:t xml:space="preserve">10. Management Conclusion</w:t>
            </w:r>
          </w:p>
        </w:tc>
        <w:tc>
          <w:tcPr>
            <w:tcW w:type="dxa" w:w="1000"/>
            <w:tcMar>
              <w:top w:type="dxa" w:w="90"/>
              <w:left w:type="dxa" w:w="0"/>
              <w:bottom w:type="dxa" w:w="90"/>
              <w:right w:type="dxa" w:w="0"/>
            </w:tcMar>
          </w:tcPr>
          <w:p>
            <w:pPr>
              <w:spacing w:after="0"/>
              <w:jc w:val="right"/>
            </w:pPr>
            <w:r>
              <w:rPr>
                <w:rFonts w:ascii="Calibri" w:cs="Calibri" w:eastAsia="Calibri" w:hAnsi="Calibri"/>
                <w:color w:val="595959"/>
                <w:sz w:val="21"/>
                <w:szCs w:val="21"/>
              </w:rPr>
              <w:t xml:space="preserve">22</w:t>
            </w:r>
          </w:p>
        </w:tc>
      </w:tr>
    </w:tbl>
    <w:p>
      <w:r>
        <w:br w:type="page"/>
      </w:r>
    </w:p>
    <w:p>
      <w:pPr>
        <w:pStyle w:val="Heading1"/>
        <w:spacing w:after="140" w:before="340"/>
      </w:pPr>
      <w:r>
        <w:rPr>
          <w:rFonts w:ascii="Calibri" w:cs="Calibri" w:eastAsia="Calibri" w:hAnsi="Calibri"/>
          <w:b/>
          <w:bCs/>
          <w:color w:val="1F3864"/>
          <w:sz w:val="30"/>
          <w:szCs w:val="30"/>
        </w:rPr>
        <w:t xml:space="preserve">1. Executive Summary</w:t>
      </w:r>
    </w:p>
    <w:p>
      <w:pPr>
        <w:spacing w:after="140" w:line="276"/>
      </w:pPr>
      <w:r>
        <w:rPr>
          <w:rFonts w:ascii="Calibri" w:cs="Calibri" w:eastAsia="Calibri" w:hAnsi="Calibri"/>
          <w:b/>
          <w:bCs/>
          <w:sz w:val="21"/>
          <w:szCs w:val="21"/>
        </w:rPr>
        <w:t xml:space="preserve">Attrition in this workforce is not spread evenly, and it is not a departmental problem. It is concentrated in the grade structure and in working conditions, and it is concentrated tightly enough to be addressed by a targeted programme rather than a company-wide one.</w:t>
      </w:r>
    </w:p>
    <w:p>
      <w:pPr>
        <w:spacing w:after="140" w:line="276"/>
      </w:pPr>
      <w:r>
        <w:rPr>
          <w:rFonts w:ascii="Calibri" w:cs="Calibri" w:eastAsia="Calibri" w:hAnsi="Calibri"/>
          <w:sz w:val="21"/>
          <w:szCs w:val="21"/>
        </w:rPr>
        <w:t xml:space="preserve">Three findings carry the report.</w:t>
      </w:r>
    </w:p>
    <w:p>
      <w:pPr>
        <w:spacing w:after="140" w:line="276"/>
      </w:pPr>
      <w:r>
        <w:rPr>
          <w:rFonts w:ascii="Calibri" w:cs="Calibri" w:eastAsia="Calibri" w:hAnsi="Calibri"/>
          <w:b/>
          <w:bCs/>
          <w:sz w:val="21"/>
          <w:szCs w:val="21"/>
        </w:rPr>
        <w:t xml:space="preserve">First, the problem is vertical, not horizontal. </w:t>
      </w:r>
      <w:r>
        <w:rPr>
          <w:rFonts w:ascii="Calibri" w:cs="Calibri" w:eastAsia="Calibri" w:hAnsi="Calibri"/>
          <w:sz w:val="21"/>
          <w:szCs w:val="21"/>
        </w:rPr>
        <w:t xml:space="preserve">Attrition ranges from 46.8% to 48.8% across all five business functions — a two-point spread that is, for practical purposes, no difference at all. Across job levels it ranges from 20.3% at senior level to 63.3% at entry level. Entry-level employees make up 40% of the workforce and 53.3% of everyone who left. Any investigation organised by department will find nothing; the structure that matters is seniority.</w:t>
      </w:r>
    </w:p>
    <w:p>
      <w:pPr>
        <w:spacing w:after="140" w:line="276"/>
      </w:pPr>
      <w:r>
        <w:rPr>
          <w:rFonts w:ascii="Calibri" w:cs="Calibri" w:eastAsia="Calibri" w:hAnsi="Calibri"/>
          <w:b/>
          <w:bCs/>
          <w:sz w:val="21"/>
          <w:szCs w:val="21"/>
        </w:rPr>
        <w:t xml:space="preserve">Second, three factors dominate, and only one of them is something HR controls. </w:t>
      </w:r>
      <w:r>
        <w:rPr>
          <w:rFonts w:ascii="Calibri" w:cs="Calibri" w:eastAsia="Calibri" w:hAnsi="Calibri"/>
          <w:sz w:val="21"/>
          <w:szCs w:val="21"/>
        </w:rPr>
        <w:t xml:space="preserve">After controlling for every other variable simultaneously, the strongest associations with leaving are being single (4.7 times the odds of a divorced employee), reporting poor work-life balance (4.4 times the odds of excellent), and working on-site rather than remotely (on-site employees carry roughly six times the odds of remote ones). Grade and marital status are facts about the workforce. Work-life balance and working arrangement are levers.</w:t>
      </w:r>
    </w:p>
    <w:p>
      <w:pPr>
        <w:spacing w:after="140" w:line="276"/>
      </w:pPr>
      <w:r>
        <w:rPr>
          <w:rFonts w:ascii="Calibri" w:cs="Calibri" w:eastAsia="Calibri" w:hAnsi="Calibri"/>
          <w:b/>
          <w:bCs/>
          <w:sz w:val="21"/>
          <w:szCs w:val="21"/>
        </w:rPr>
        <w:t xml:space="preserve">Third, the problem is concentrated enough to act on. </w:t>
      </w:r>
      <w:r>
        <w:rPr>
          <w:rFonts w:ascii="Calibri" w:cs="Calibri" w:eastAsia="Calibri" w:hAnsi="Calibri"/>
          <w:sz w:val="21"/>
          <w:szCs w:val="21"/>
        </w:rPr>
        <w:t xml:space="preserve">Entry-level, on-site, single employees show 87.5% attrition. That single segment is 11.4% of the workforce and 21.0% of all departures. The three highest-risk segments together hold 27.4% of headcount and account for 44.5% of everyone who left. A retention programme aimed at these three groups reaches almost half the problem while touching just over a quarter of the organisation.</w:t>
      </w:r>
    </w:p>
    <w:p>
      <w:pPr>
        <w:spacing w:after="60"/>
      </w:pPr>
    </w:p>
    <w:p>
      <w:pPr>
        <w:spacing w:after="140" w:line="276"/>
      </w:pPr>
      <w:r>
        <w:rPr>
          <w:rFonts w:ascii="Calibri" w:cs="Calibri" w:eastAsia="Calibri" w:hAnsi="Calibri"/>
          <w:b/>
          <w:bCs/>
          <w:sz w:val="21"/>
          <w:szCs w:val="21"/>
        </w:rPr>
        <w:t xml:space="preserve">Equally important is what the evidence does not support:</w:t>
      </w:r>
    </w:p>
    <w:p>
      <w:pPr>
        <w:pStyle w:val="ListParagraph"/>
        <w:numPr>
          <w:ilvl w:val="0"/>
          <w:numId w:val="2"/>
        </w:numPr>
        <w:spacing w:after="90" w:line="276"/>
      </w:pPr>
      <w:r>
        <w:rPr>
          <w:rFonts w:ascii="Calibri" w:cs="Calibri" w:eastAsia="Calibri" w:hAnsi="Calibri"/>
          <w:sz w:val="21"/>
          <w:szCs w:val="21"/>
        </w:rPr>
        <w:t xml:space="preserve">Pay shows no relationship to attrition in this data (p = 0.79 in the adjusted model). This is a finding about the pay field, not about compensation — median pay is identical at entry, mid and senior level, which no real pay structure produces. The correct conclusion is that the pay data is unusable, not that pay does not matter.</w:t>
      </w:r>
    </w:p>
    <w:p>
      <w:pPr>
        <w:pStyle w:val="ListParagraph"/>
        <w:numPr>
          <w:ilvl w:val="0"/>
          <w:numId w:val="2"/>
        </w:numPr>
        <w:spacing w:after="90" w:line="276"/>
      </w:pPr>
      <w:r>
        <w:rPr>
          <w:rFonts w:ascii="Calibri" w:cs="Calibri" w:eastAsia="Calibri" w:hAnsi="Calibri"/>
          <w:sz w:val="21"/>
          <w:szCs w:val="21"/>
        </w:rPr>
        <w:t xml:space="preserve">Employee recognition shows a 1.8-point spread across four categories. There is no signal here.</w:t>
      </w:r>
    </w:p>
    <w:p>
      <w:pPr>
        <w:pStyle w:val="ListParagraph"/>
        <w:numPr>
          <w:ilvl w:val="0"/>
          <w:numId w:val="2"/>
        </w:numPr>
        <w:spacing w:after="90" w:line="276"/>
      </w:pPr>
      <w:r>
        <w:rPr>
          <w:rFonts w:ascii="Calibri" w:cs="Calibri" w:eastAsia="Calibri" w:hAnsi="Calibri"/>
          <w:sz w:val="21"/>
          <w:szCs w:val="21"/>
        </w:rPr>
        <w:t xml:space="preserve">Job satisfaction behaves incoherently: the highest and lowest satisfaction groups both leave most. A field that does this is not measuring what its name claims, and no policy should be built on it.</w:t>
      </w:r>
    </w:p>
    <w:p>
      <w:pPr>
        <w:pStyle w:val="ListParagraph"/>
        <w:numPr>
          <w:ilvl w:val="0"/>
          <w:numId w:val="2"/>
        </w:numPr>
        <w:spacing w:after="90" w:line="276"/>
      </w:pPr>
      <w:r>
        <w:rPr>
          <w:rFonts w:ascii="Calibri" w:cs="Calibri" w:eastAsia="Calibri" w:hAnsi="Calibri"/>
          <w:sz w:val="21"/>
          <w:szCs w:val="21"/>
        </w:rPr>
        <w:t xml:space="preserve">Short-service employees do leave at a higher rate, but they represent only 9.1% of all departures. An onboarding programme alone would address under a tenth of the problem.</w:t>
      </w:r>
    </w:p>
    <w:p>
      <w:pPr>
        <w:spacing w:after="60"/>
      </w:pPr>
    </w:p>
    <w:tbl>
      <w:tblPr>
        <w:tblW w:type="dxa" w:w="9360"/>
        <w:tblBorders>
          <w:top w:val="single" w:color="2E5A88" w:sz="2"/>
          <w:left w:val="single" w:color="2E5A88" w:sz="18"/>
          <w:bottom w:val="single" w:color="2E5A88" w:sz="2"/>
          <w:right w:val="single" w:color="2E5A88" w:sz="2"/>
          <w:insideH w:val="none"/>
          <w:insideV w:val="none"/>
        </w:tblBorders>
      </w:tblPr>
      <w:tblGrid>
        <w:gridCol w:w="9360"/>
      </w:tblGrid>
      <w:tr>
        <w:tc>
          <w:tcPr>
            <w:tcW w:type="dxa" w:w="9360"/>
            <w:shd w:fill="FBFBFB" w:color="auto" w:val="clear"/>
            <w:tcMar>
              <w:top w:type="dxa" w:w="140"/>
              <w:left w:type="dxa" w:w="180"/>
              <w:bottom w:type="dxa" w:w="140"/>
              <w:right w:type="dxa" w:w="160"/>
            </w:tcMar>
          </w:tcPr>
          <w:p>
            <w:pPr>
              <w:spacing w:after="60"/>
            </w:pPr>
            <w:r>
              <w:rPr>
                <w:rFonts w:ascii="Calibri" w:cs="Calibri" w:eastAsia="Calibri" w:hAnsi="Calibri"/>
                <w:b/>
                <w:bCs/>
                <w:color w:val="2E5A88"/>
                <w:sz w:val="20"/>
                <w:szCs w:val="20"/>
              </w:rPr>
              <w:t xml:space="preserve">The one finding that requires investigation rather than action</w:t>
            </w:r>
          </w:p>
          <w:p>
            <w:pPr>
              <w:spacing w:after="60" w:line="270"/>
            </w:pPr>
            <w:r>
              <w:rPr>
                <w:rFonts w:ascii="Calibri" w:cs="Calibri" w:eastAsia="Calibri" w:hAnsi="Calibri"/>
                <w:sz w:val="20"/>
                <w:szCs w:val="20"/>
              </w:rPr>
              <w:t xml:space="preserve">Women leave at 53.0% against 42.9% for men — a ten-point gap that survives every control applied. It is not a grade effect: the female share of headcount is 45.3%, 45.4% and 44.7% at entry, mid and senior level respectively, and women leave more at all three.</w:t>
            </w:r>
          </w:p>
          <w:p>
            <w:pPr>
              <w:spacing w:after="60" w:line="270"/>
            </w:pPr>
            <w:r>
              <w:rPr>
                <w:rFonts w:ascii="Calibri" w:cs="Calibri" w:eastAsia="Calibri" w:hAnsi="Calibri"/>
                <w:sz w:val="20"/>
                <w:szCs w:val="20"/>
              </w:rPr>
              <w:t xml:space="preserve">Nothing in this dataset explains why. Reporting a cause would be speculation. The appropriate response is a structured qualitative investigation — exit interview review and a listening exercise — not a policy built on an assumption.</w:t>
            </w:r>
          </w:p>
        </w:tc>
      </w:tr>
    </w:tbl>
    <w:p>
      <w:pPr>
        <w:spacing w:after="120"/>
      </w:pPr>
    </w:p>
    <w:p>
      <w:pPr>
        <w:spacing w:after="140" w:line="276"/>
      </w:pPr>
      <w:r>
        <w:rPr>
          <w:rFonts w:ascii="Calibri" w:cs="Calibri" w:eastAsia="Calibri" w:hAnsi="Calibri"/>
          <w:b/>
          <w:bCs/>
          <w:sz w:val="22"/>
          <w:szCs w:val="22"/>
        </w:rPr>
        <w:t xml:space="preserve">Recommendations in brief</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520"/>
        <w:gridCol w:w="4340"/>
        <w:gridCol w:w="2000"/>
        <w:gridCol w:w="2500"/>
      </w:tblGrid>
      <w:tr>
        <w:trPr>
          <w:tblHeader/>
        </w:trPr>
        <w:tc>
          <w:tcPr>
            <w:tcW w:type="dxa" w:w="52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w:t>
            </w:r>
          </w:p>
        </w:tc>
        <w:tc>
          <w:tcPr>
            <w:tcW w:type="dxa" w:w="434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Recommendation</w:t>
            </w:r>
          </w:p>
        </w:tc>
        <w:tc>
          <w:tcPr>
            <w:tcW w:type="dxa" w:w="200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Owner</w:t>
            </w:r>
          </w:p>
        </w:tc>
        <w:tc>
          <w:tcPr>
            <w:tcW w:type="dxa" w:w="250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Basis</w:t>
            </w:r>
          </w:p>
        </w:tc>
      </w:tr>
      <w:tr>
        <w:tc>
          <w:tcPr>
            <w:tcW w:type="dxa" w:w="520"/>
            <w:tcMar>
              <w:top w:type="dxa" w:w="60"/>
              <w:left w:type="dxa" w:w="100"/>
              <w:bottom w:type="dxa" w:w="60"/>
              <w:right w:type="dxa" w:w="100"/>
            </w:tcMar>
          </w:tcPr>
          <w:p>
            <w:pPr>
              <w:spacing w:after="0" w:line="250"/>
            </w:pPr>
            <w:r>
              <w:rPr>
                <w:rFonts w:ascii="Calibri" w:cs="Calibri" w:eastAsia="Calibri" w:hAnsi="Calibri"/>
                <w:b/>
                <w:bCs/>
                <w:sz w:val="19"/>
                <w:szCs w:val="19"/>
              </w:rPr>
              <w:t xml:space="preserve">1</w:t>
            </w:r>
          </w:p>
        </w:tc>
        <w:tc>
          <w:tcPr>
            <w:tcW w:type="dxa" w:w="434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Run a controlled remote/hybrid pilot for the entry-level on-site cohort</w:t>
            </w:r>
          </w:p>
        </w:tc>
        <w:tc>
          <w:tcPr>
            <w:tcW w:type="dxa" w:w="20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HR Director + function heads</w:t>
            </w:r>
          </w:p>
        </w:tc>
        <w:tc>
          <w:tcPr>
            <w:tcW w:type="dxa" w:w="25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28-point rate gap that holds within every grade</w:t>
            </w:r>
          </w:p>
        </w:tc>
      </w:tr>
      <w:tr>
        <w:tc>
          <w:tcPr>
            <w:tcW w:type="dxa" w:w="52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2</w:t>
            </w:r>
          </w:p>
        </w:tc>
        <w:tc>
          <w:tcPr>
            <w:tcW w:type="dxa" w:w="434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Introduce work-life balance as a monitored management KPI, with 'Fair' treated as a warning, not an acceptable score</w:t>
            </w:r>
          </w:p>
        </w:tc>
        <w:tc>
          <w:tcPr>
            <w:tcW w:type="dxa" w:w="20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HR + line management</w:t>
            </w:r>
          </w:p>
        </w:tc>
        <w:tc>
          <w:tcPr>
            <w:tcW w:type="dxa" w:w="25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24.5-point gradient; strongest modifiable factor in the model</w:t>
            </w:r>
          </w:p>
        </w:tc>
      </w:tr>
      <w:tr>
        <w:tc>
          <w:tcPr>
            <w:tcW w:type="dxa" w:w="520"/>
            <w:tcMar>
              <w:top w:type="dxa" w:w="60"/>
              <w:left w:type="dxa" w:w="100"/>
              <w:bottom w:type="dxa" w:w="60"/>
              <w:right w:type="dxa" w:w="100"/>
            </w:tcMar>
          </w:tcPr>
          <w:p>
            <w:pPr>
              <w:spacing w:after="0" w:line="250"/>
            </w:pPr>
            <w:r>
              <w:rPr>
                <w:rFonts w:ascii="Calibri" w:cs="Calibri" w:eastAsia="Calibri" w:hAnsi="Calibri"/>
                <w:b/>
                <w:bCs/>
                <w:sz w:val="19"/>
                <w:szCs w:val="19"/>
              </w:rPr>
              <w:t xml:space="preserve">3</w:t>
            </w:r>
          </w:p>
        </w:tc>
        <w:tc>
          <w:tcPr>
            <w:tcW w:type="dxa" w:w="434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Review the entry-to-mid progression route and the point at which promotion actually occurs</w:t>
            </w:r>
          </w:p>
        </w:tc>
        <w:tc>
          <w:tcPr>
            <w:tcW w:type="dxa" w:w="20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HR + Reward</w:t>
            </w:r>
          </w:p>
        </w:tc>
        <w:tc>
          <w:tcPr>
            <w:tcW w:type="dxa" w:w="25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Attrition halves at the third promotion; nothing changes before it</w:t>
            </w:r>
          </w:p>
        </w:tc>
      </w:tr>
      <w:tr>
        <w:tc>
          <w:tcPr>
            <w:tcW w:type="dxa" w:w="52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4</w:t>
            </w:r>
          </w:p>
        </w:tc>
        <w:tc>
          <w:tcPr>
            <w:tcW w:type="dxa" w:w="434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Commission a qualitative investigation into the gender gap</w:t>
            </w:r>
          </w:p>
        </w:tc>
        <w:tc>
          <w:tcPr>
            <w:tcW w:type="dxa" w:w="20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HR Director</w:t>
            </w:r>
          </w:p>
        </w:tc>
        <w:tc>
          <w:tcPr>
            <w:tcW w:type="dxa" w:w="25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10-point gap unexplained by any available variable</w:t>
            </w:r>
          </w:p>
        </w:tc>
      </w:tr>
      <w:tr>
        <w:tc>
          <w:tcPr>
            <w:tcW w:type="dxa" w:w="520"/>
            <w:tcMar>
              <w:top w:type="dxa" w:w="60"/>
              <w:left w:type="dxa" w:w="100"/>
              <w:bottom w:type="dxa" w:w="60"/>
              <w:right w:type="dxa" w:w="100"/>
            </w:tcMar>
          </w:tcPr>
          <w:p>
            <w:pPr>
              <w:spacing w:after="0" w:line="250"/>
            </w:pPr>
            <w:r>
              <w:rPr>
                <w:rFonts w:ascii="Calibri" w:cs="Calibri" w:eastAsia="Calibri" w:hAnsi="Calibri"/>
                <w:b/>
                <w:bCs/>
                <w:sz w:val="19"/>
                <w:szCs w:val="19"/>
              </w:rPr>
              <w:t xml:space="preserve">5</w:t>
            </w:r>
          </w:p>
        </w:tc>
        <w:tc>
          <w:tcPr>
            <w:tcW w:type="dxa" w:w="434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Remediate the HR data: tenure fields, pay field, satisfaction survey instrument</w:t>
            </w:r>
          </w:p>
        </w:tc>
        <w:tc>
          <w:tcPr>
            <w:tcW w:type="dxa" w:w="20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HR data owner</w:t>
            </w:r>
          </w:p>
        </w:tc>
        <w:tc>
          <w:tcPr>
            <w:tcW w:type="dxa" w:w="25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32% of records internally impossible; pay field carries no grade signal</w:t>
            </w:r>
          </w:p>
        </w:tc>
      </w:tr>
    </w:tbl>
    <w:p>
      <w:r>
        <w:br w:type="page"/>
      </w:r>
    </w:p>
    <w:p>
      <w:pPr>
        <w:pStyle w:val="Heading1"/>
        <w:spacing w:after="140" w:before="340"/>
      </w:pPr>
      <w:r>
        <w:rPr>
          <w:rFonts w:ascii="Calibri" w:cs="Calibri" w:eastAsia="Calibri" w:hAnsi="Calibri"/>
          <w:b/>
          <w:bCs/>
          <w:color w:val="1F3864"/>
          <w:sz w:val="30"/>
          <w:szCs w:val="30"/>
        </w:rPr>
        <w:t xml:space="preserve">2. Business Problem</w:t>
      </w:r>
    </w:p>
    <w:p>
      <w:pPr>
        <w:pStyle w:val="Heading2"/>
        <w:spacing w:after="140" w:before="260"/>
      </w:pPr>
      <w:r>
        <w:rPr>
          <w:rFonts w:ascii="Calibri" w:cs="Calibri" w:eastAsia="Calibri" w:hAnsi="Calibri"/>
          <w:b/>
          <w:bCs/>
          <w:color w:val="2E5A88"/>
          <w:sz w:val="24"/>
          <w:szCs w:val="24"/>
        </w:rPr>
        <w:t xml:space="preserve">2.1 Context</w:t>
      </w:r>
    </w:p>
    <w:p>
      <w:pPr>
        <w:spacing w:after="140" w:line="276"/>
      </w:pPr>
      <w:r>
        <w:rPr>
          <w:rFonts w:ascii="Calibri" w:cs="Calibri" w:eastAsia="Calibri" w:hAnsi="Calibri"/>
          <w:sz w:val="21"/>
          <w:szCs w:val="21"/>
        </w:rPr>
        <w:t xml:space="preserve">The organisation employs staff across five business functions — Technology, Healthcare, Education, Media and Finance — in entry, mid and senior job bands, across small, medium and large operating units. HR holds a workforce extract of 74,610 employee records covering demographics, role, pay, tenure, working arrangements, engagement ratings and a recorded employment outcome.</w:t>
      </w:r>
    </w:p>
    <w:p>
      <w:pPr>
        <w:pStyle w:val="Heading2"/>
        <w:spacing w:after="140" w:before="260"/>
      </w:pPr>
      <w:r>
        <w:rPr>
          <w:rFonts w:ascii="Calibri" w:cs="Calibri" w:eastAsia="Calibri" w:hAnsi="Calibri"/>
          <w:b/>
          <w:bCs/>
          <w:color w:val="2E5A88"/>
          <w:sz w:val="24"/>
          <w:szCs w:val="24"/>
        </w:rPr>
        <w:t xml:space="preserve">2.2 The problem as stated</w:t>
      </w:r>
    </w:p>
    <w:p>
      <w:pPr>
        <w:spacing w:after="140" w:line="276"/>
      </w:pPr>
      <w:r>
        <w:rPr>
          <w:rFonts w:ascii="Calibri" w:cs="Calibri" w:eastAsia="Calibri" w:hAnsi="Calibri"/>
          <w:sz w:val="21"/>
          <w:szCs w:val="21"/>
        </w:rPr>
        <w:t xml:space="preserve">Recorded attrition stands at 47.5% of the extract. Management does not currently know which employee groups drive that figure, which working conditions are associated with leaving, or where intervention would have the greatest effect. Retention effort is consequently being spread evenly across a workforce in which the problem is not evenly distributed.</w:t>
      </w:r>
    </w:p>
    <w:p>
      <w:pPr>
        <w:pStyle w:val="Heading2"/>
        <w:spacing w:after="140" w:before="260"/>
      </w:pPr>
      <w:r>
        <w:rPr>
          <w:rFonts w:ascii="Calibri" w:cs="Calibri" w:eastAsia="Calibri" w:hAnsi="Calibri"/>
          <w:b/>
          <w:bCs/>
          <w:color w:val="2E5A88"/>
          <w:sz w:val="24"/>
          <w:szCs w:val="24"/>
        </w:rPr>
        <w:t xml:space="preserve">2.3 Why this matters</w:t>
      </w:r>
    </w:p>
    <w:p>
      <w:pPr>
        <w:spacing w:after="140" w:line="276"/>
      </w:pPr>
      <w:r>
        <w:rPr>
          <w:rFonts w:ascii="Calibri" w:cs="Calibri" w:eastAsia="Calibri" w:hAnsi="Calibri"/>
          <w:sz w:val="21"/>
          <w:szCs w:val="21"/>
        </w:rPr>
        <w:t xml:space="preserve">The distinction between concentrated and diffuse attrition is the whole decision. Attrition concentrated in identifiable groups is an operational problem with a targeted, costable solution. Attrition spread evenly across the organisation is a structural problem requiring a change to the employment proposition itself, at a different order of cost. Without segmentation, HR cannot tell which of the two it faces — and every pound of retention budget is spent at the same rate on employees who were never going to leave as on those who were.</w:t>
      </w:r>
    </w:p>
    <w:p>
      <w:pPr>
        <w:pStyle w:val="Heading2"/>
        <w:spacing w:after="140" w:before="260"/>
      </w:pPr>
      <w:r>
        <w:rPr>
          <w:rFonts w:ascii="Calibri" w:cs="Calibri" w:eastAsia="Calibri" w:hAnsi="Calibri"/>
          <w:b/>
          <w:bCs/>
          <w:color w:val="2E5A88"/>
          <w:sz w:val="24"/>
          <w:szCs w:val="24"/>
        </w:rPr>
        <w:t xml:space="preserve">2.4 Objectives</w:t>
      </w:r>
    </w:p>
    <w:p>
      <w:pPr>
        <w:pStyle w:val="ListParagraph"/>
        <w:numPr>
          <w:ilvl w:val="0"/>
          <w:numId w:val="3"/>
        </w:numPr>
        <w:spacing w:after="90" w:line="276"/>
      </w:pPr>
      <w:r>
        <w:rPr>
          <w:rFonts w:ascii="Calibri" w:cs="Calibri" w:eastAsia="Calibri" w:hAnsi="Calibri"/>
          <w:sz w:val="21"/>
          <w:szCs w:val="21"/>
        </w:rPr>
        <w:t xml:space="preserve">Measure attrition accurately at organisation, function, job-level and demographic level.</w:t>
      </w:r>
    </w:p>
    <w:p>
      <w:pPr>
        <w:pStyle w:val="ListParagraph"/>
        <w:numPr>
          <w:ilvl w:val="0"/>
          <w:numId w:val="3"/>
        </w:numPr>
        <w:spacing w:after="90" w:line="276"/>
      </w:pPr>
      <w:r>
        <w:rPr>
          <w:rFonts w:ascii="Calibri" w:cs="Calibri" w:eastAsia="Calibri" w:hAnsi="Calibri"/>
          <w:sz w:val="21"/>
          <w:szCs w:val="21"/>
        </w:rPr>
        <w:t xml:space="preserve">Identify the factors associated with leaving, separating genuine association from composition effects.</w:t>
      </w:r>
    </w:p>
    <w:p>
      <w:pPr>
        <w:pStyle w:val="ListParagraph"/>
        <w:numPr>
          <w:ilvl w:val="0"/>
          <w:numId w:val="3"/>
        </w:numPr>
        <w:spacing w:after="90" w:line="276"/>
      </w:pPr>
      <w:r>
        <w:rPr>
          <w:rFonts w:ascii="Calibri" w:cs="Calibri" w:eastAsia="Calibri" w:hAnsi="Calibri"/>
          <w:sz w:val="21"/>
          <w:szCs w:val="21"/>
        </w:rPr>
        <w:t xml:space="preserve">Identify the specific employee segments carrying disproportionate risk.</w:t>
      </w:r>
    </w:p>
    <w:p>
      <w:pPr>
        <w:pStyle w:val="ListParagraph"/>
        <w:numPr>
          <w:ilvl w:val="0"/>
          <w:numId w:val="3"/>
        </w:numPr>
        <w:spacing w:after="90" w:line="276"/>
      </w:pPr>
      <w:r>
        <w:rPr>
          <w:rFonts w:ascii="Calibri" w:cs="Calibri" w:eastAsia="Calibri" w:hAnsi="Calibri"/>
          <w:sz w:val="21"/>
          <w:szCs w:val="21"/>
        </w:rPr>
        <w:t xml:space="preserve">Convert the findings into prioritised, testable recommendations.</w:t>
      </w:r>
    </w:p>
    <w:p>
      <w:pPr>
        <w:pStyle w:val="ListParagraph"/>
        <w:numPr>
          <w:ilvl w:val="0"/>
          <w:numId w:val="3"/>
        </w:numPr>
        <w:spacing w:after="90" w:line="276"/>
      </w:pPr>
      <w:r>
        <w:rPr>
          <w:rFonts w:ascii="Calibri" w:cs="Calibri" w:eastAsia="Calibri" w:hAnsi="Calibri"/>
          <w:sz w:val="21"/>
          <w:szCs w:val="21"/>
        </w:rPr>
        <w:t xml:space="preserve">Establish a measurement baseline so that the effect of any intervention can be evaluated.</w:t>
      </w:r>
    </w:p>
    <w:p>
      <w:pPr>
        <w:pStyle w:val="Heading2"/>
        <w:spacing w:after="140" w:before="260"/>
      </w:pPr>
      <w:r>
        <w:rPr>
          <w:rFonts w:ascii="Calibri" w:cs="Calibri" w:eastAsia="Calibri" w:hAnsi="Calibri"/>
          <w:b/>
          <w:bCs/>
          <w:color w:val="2E5A88"/>
          <w:sz w:val="24"/>
          <w:szCs w:val="24"/>
        </w:rPr>
        <w:t xml:space="preserve">2.5 Stakeholders</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000"/>
        <w:gridCol w:w="2800"/>
        <w:gridCol w:w="4560"/>
      </w:tblGrid>
      <w:tr>
        <w:trPr>
          <w:tblHeader/>
        </w:trPr>
        <w:tc>
          <w:tcPr>
            <w:tcW w:type="dxa" w:w="20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Stakeholder</w:t>
            </w:r>
          </w:p>
        </w:tc>
        <w:tc>
          <w:tcPr>
            <w:tcW w:type="dxa" w:w="280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Interest</w:t>
            </w:r>
          </w:p>
        </w:tc>
        <w:tc>
          <w:tcPr>
            <w:tcW w:type="dxa" w:w="456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What they need from this report</w:t>
            </w:r>
          </w:p>
        </w:tc>
      </w:tr>
      <w:tr>
        <w:tc>
          <w:tcPr>
            <w:tcW w:type="dxa" w:w="2000"/>
            <w:tcMar>
              <w:top w:type="dxa" w:w="60"/>
              <w:left w:type="dxa" w:w="100"/>
              <w:bottom w:type="dxa" w:w="60"/>
              <w:right w:type="dxa" w:w="100"/>
            </w:tcMar>
          </w:tcPr>
          <w:p>
            <w:pPr>
              <w:spacing w:after="0" w:line="250"/>
            </w:pPr>
            <w:r>
              <w:rPr>
                <w:rFonts w:ascii="Calibri" w:cs="Calibri" w:eastAsia="Calibri" w:hAnsi="Calibri"/>
                <w:b/>
                <w:bCs/>
                <w:sz w:val="19"/>
                <w:szCs w:val="19"/>
              </w:rPr>
              <w:t xml:space="preserve">HR Director</w:t>
            </w:r>
          </w:p>
        </w:tc>
        <w:tc>
          <w:tcPr>
            <w:tcW w:type="dxa" w:w="28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Owns the retention agenda</w:t>
            </w:r>
          </w:p>
        </w:tc>
        <w:tc>
          <w:tcPr>
            <w:tcW w:type="dxa" w:w="45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Where to direct budget and headcount first</w:t>
            </w:r>
          </w:p>
        </w:tc>
      </w:tr>
      <w:tr>
        <w:tc>
          <w:tcPr>
            <w:tcW w:type="dxa" w:w="20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Function heads</w:t>
            </w:r>
          </w:p>
        </w:tc>
        <w:tc>
          <w:tcPr>
            <w:tcW w:type="dxa" w:w="28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Accountable for team stability</w:t>
            </w:r>
          </w:p>
        </w:tc>
        <w:tc>
          <w:tcPr>
            <w:tcW w:type="dxa" w:w="45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Whether their area is an outlier — and here, whether it is not</w:t>
            </w:r>
          </w:p>
        </w:tc>
      </w:tr>
      <w:tr>
        <w:tc>
          <w:tcPr>
            <w:tcW w:type="dxa" w:w="2000"/>
            <w:tcMar>
              <w:top w:type="dxa" w:w="60"/>
              <w:left w:type="dxa" w:w="100"/>
              <w:bottom w:type="dxa" w:w="60"/>
              <w:right w:type="dxa" w:w="100"/>
            </w:tcMar>
          </w:tcPr>
          <w:p>
            <w:pPr>
              <w:spacing w:after="0" w:line="250"/>
            </w:pPr>
            <w:r>
              <w:rPr>
                <w:rFonts w:ascii="Calibri" w:cs="Calibri" w:eastAsia="Calibri" w:hAnsi="Calibri"/>
                <w:b/>
                <w:bCs/>
                <w:sz w:val="19"/>
                <w:szCs w:val="19"/>
              </w:rPr>
              <w:t xml:space="preserve">Finance</w:t>
            </w:r>
          </w:p>
        </w:tc>
        <w:tc>
          <w:tcPr>
            <w:tcW w:type="dxa" w:w="28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Approves any retention spend</w:t>
            </w:r>
          </w:p>
        </w:tc>
        <w:tc>
          <w:tcPr>
            <w:tcW w:type="dxa" w:w="45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The cost case and the expected effect size</w:t>
            </w:r>
          </w:p>
        </w:tc>
      </w:tr>
      <w:tr>
        <w:tc>
          <w:tcPr>
            <w:tcW w:type="dxa" w:w="20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Line managers</w:t>
            </w:r>
          </w:p>
        </w:tc>
        <w:tc>
          <w:tcPr>
            <w:tcW w:type="dxa" w:w="28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Deliver the intervention</w:t>
            </w:r>
          </w:p>
        </w:tc>
        <w:tc>
          <w:tcPr>
            <w:tcW w:type="dxa" w:w="45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Specific actions, not statistics</w:t>
            </w:r>
          </w:p>
        </w:tc>
      </w:tr>
      <w:tr>
        <w:tc>
          <w:tcPr>
            <w:tcW w:type="dxa" w:w="2000"/>
            <w:tcMar>
              <w:top w:type="dxa" w:w="60"/>
              <w:left w:type="dxa" w:w="100"/>
              <w:bottom w:type="dxa" w:w="60"/>
              <w:right w:type="dxa" w:w="100"/>
            </w:tcMar>
          </w:tcPr>
          <w:p>
            <w:pPr>
              <w:spacing w:after="0" w:line="250"/>
            </w:pPr>
            <w:r>
              <w:rPr>
                <w:rFonts w:ascii="Calibri" w:cs="Calibri" w:eastAsia="Calibri" w:hAnsi="Calibri"/>
                <w:b/>
                <w:bCs/>
                <w:sz w:val="19"/>
                <w:szCs w:val="19"/>
              </w:rPr>
              <w:t xml:space="preserve">HR data owner</w:t>
            </w:r>
          </w:p>
        </w:tc>
        <w:tc>
          <w:tcPr>
            <w:tcW w:type="dxa" w:w="28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Owns the source system</w:t>
            </w:r>
          </w:p>
        </w:tc>
        <w:tc>
          <w:tcPr>
            <w:tcW w:type="dxa" w:w="45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The data-quality findings in Section 4</w:t>
            </w:r>
          </w:p>
        </w:tc>
      </w:tr>
    </w:tbl>
    <w:p>
      <w:pPr>
        <w:pStyle w:val="Heading2"/>
        <w:spacing w:after="140" w:before="260"/>
      </w:pPr>
      <w:r>
        <w:rPr>
          <w:rFonts w:ascii="Calibri" w:cs="Calibri" w:eastAsia="Calibri" w:hAnsi="Calibri"/>
          <w:b/>
          <w:bCs/>
          <w:color w:val="2E5A88"/>
          <w:sz w:val="24"/>
          <w:szCs w:val="24"/>
        </w:rPr>
        <w:t xml:space="preserve">2.6 Business questions addressed</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600"/>
        <w:gridCol w:w="6160"/>
        <w:gridCol w:w="2600"/>
      </w:tblGrid>
      <w:tr>
        <w:trPr>
          <w:tblHeader/>
        </w:trPr>
        <w:tc>
          <w:tcPr>
            <w:tcW w:type="dxa" w:w="6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w:t>
            </w:r>
          </w:p>
        </w:tc>
        <w:tc>
          <w:tcPr>
            <w:tcW w:type="dxa" w:w="616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Question</w:t>
            </w:r>
          </w:p>
        </w:tc>
        <w:tc>
          <w:tcPr>
            <w:tcW w:type="dxa" w:w="260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Answered in</w:t>
            </w:r>
          </w:p>
        </w:tc>
      </w:tr>
      <w:tr>
        <w:tc>
          <w:tcPr>
            <w:tcW w:type="dxa" w:w="600"/>
            <w:tcMar>
              <w:top w:type="dxa" w:w="60"/>
              <w:left w:type="dxa" w:w="100"/>
              <w:bottom w:type="dxa" w:w="60"/>
              <w:right w:type="dxa" w:w="100"/>
            </w:tcMar>
          </w:tcPr>
          <w:p>
            <w:pPr>
              <w:spacing w:after="0" w:line="250"/>
            </w:pPr>
            <w:r>
              <w:rPr>
                <w:rFonts w:ascii="Calibri" w:cs="Calibri" w:eastAsia="Calibri" w:hAnsi="Calibri"/>
                <w:b/>
                <w:bCs/>
                <w:sz w:val="19"/>
                <w:szCs w:val="19"/>
              </w:rPr>
              <w:t xml:space="preserve">Q1</w:t>
            </w:r>
          </w:p>
        </w:tc>
        <w:tc>
          <w:tcPr>
            <w:tcW w:type="dxa" w:w="61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What is the overall attrition rate and how is it distributed?</w:t>
            </w:r>
          </w:p>
        </w:tc>
        <w:tc>
          <w:tcPr>
            <w:tcW w:type="dxa" w:w="26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§5, §6.1</w:t>
            </w:r>
          </w:p>
        </w:tc>
      </w:tr>
      <w:tr>
        <w:tc>
          <w:tcPr>
            <w:tcW w:type="dxa" w:w="6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Q2</w:t>
            </w:r>
          </w:p>
        </w:tc>
        <w:tc>
          <w:tcPr>
            <w:tcW w:type="dxa" w:w="61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Which functions and job levels carry the highest attrition?</w:t>
            </w:r>
          </w:p>
        </w:tc>
        <w:tc>
          <w:tcPr>
            <w:tcW w:type="dxa" w:w="26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§6.1</w:t>
            </w:r>
          </w:p>
        </w:tc>
      </w:tr>
      <w:tr>
        <w:tc>
          <w:tcPr>
            <w:tcW w:type="dxa" w:w="600"/>
            <w:tcMar>
              <w:top w:type="dxa" w:w="60"/>
              <w:left w:type="dxa" w:w="100"/>
              <w:bottom w:type="dxa" w:w="60"/>
              <w:right w:type="dxa" w:w="100"/>
            </w:tcMar>
          </w:tcPr>
          <w:p>
            <w:pPr>
              <w:spacing w:after="0" w:line="250"/>
            </w:pPr>
            <w:r>
              <w:rPr>
                <w:rFonts w:ascii="Calibri" w:cs="Calibri" w:eastAsia="Calibri" w:hAnsi="Calibri"/>
                <w:b/>
                <w:bCs/>
                <w:sz w:val="19"/>
                <w:szCs w:val="19"/>
              </w:rPr>
              <w:t xml:space="preserve">Q3</w:t>
            </w:r>
          </w:p>
        </w:tc>
        <w:tc>
          <w:tcPr>
            <w:tcW w:type="dxa" w:w="61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Are newer employees leaving more often?</w:t>
            </w:r>
          </w:p>
        </w:tc>
        <w:tc>
          <w:tcPr>
            <w:tcW w:type="dxa" w:w="26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§6.5</w:t>
            </w:r>
          </w:p>
        </w:tc>
      </w:tr>
      <w:tr>
        <w:tc>
          <w:tcPr>
            <w:tcW w:type="dxa" w:w="6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Q4</w:t>
            </w:r>
          </w:p>
        </w:tc>
        <w:tc>
          <w:tcPr>
            <w:tcW w:type="dxa" w:w="61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Is attrition different by age, gender or marital status?</w:t>
            </w:r>
          </w:p>
        </w:tc>
        <w:tc>
          <w:tcPr>
            <w:tcW w:type="dxa" w:w="26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§6.2, §6.6</w:t>
            </w:r>
          </w:p>
        </w:tc>
      </w:tr>
      <w:tr>
        <w:tc>
          <w:tcPr>
            <w:tcW w:type="dxa" w:w="600"/>
            <w:tcMar>
              <w:top w:type="dxa" w:w="60"/>
              <w:left w:type="dxa" w:w="100"/>
              <w:bottom w:type="dxa" w:w="60"/>
              <w:right w:type="dxa" w:w="100"/>
            </w:tcMar>
          </w:tcPr>
          <w:p>
            <w:pPr>
              <w:spacing w:after="0" w:line="250"/>
            </w:pPr>
            <w:r>
              <w:rPr>
                <w:rFonts w:ascii="Calibri" w:cs="Calibri" w:eastAsia="Calibri" w:hAnsi="Calibri"/>
                <w:b/>
                <w:bCs/>
                <w:sz w:val="19"/>
                <w:szCs w:val="19"/>
              </w:rPr>
              <w:t xml:space="preserve">Q5</w:t>
            </w:r>
          </w:p>
        </w:tc>
        <w:tc>
          <w:tcPr>
            <w:tcW w:type="dxa" w:w="61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Does working arrangement relate to attrition?</w:t>
            </w:r>
          </w:p>
        </w:tc>
        <w:tc>
          <w:tcPr>
            <w:tcW w:type="dxa" w:w="26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§6.3</w:t>
            </w:r>
          </w:p>
        </w:tc>
      </w:tr>
      <w:tr>
        <w:tc>
          <w:tcPr>
            <w:tcW w:type="dxa" w:w="6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Q6</w:t>
            </w:r>
          </w:p>
        </w:tc>
        <w:tc>
          <w:tcPr>
            <w:tcW w:type="dxa" w:w="61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Does pay relate to attrition?</w:t>
            </w:r>
          </w:p>
        </w:tc>
        <w:tc>
          <w:tcPr>
            <w:tcW w:type="dxa" w:w="26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§6.7</w:t>
            </w:r>
          </w:p>
        </w:tc>
      </w:tr>
      <w:tr>
        <w:tc>
          <w:tcPr>
            <w:tcW w:type="dxa" w:w="600"/>
            <w:tcMar>
              <w:top w:type="dxa" w:w="60"/>
              <w:left w:type="dxa" w:w="100"/>
              <w:bottom w:type="dxa" w:w="60"/>
              <w:right w:type="dxa" w:w="100"/>
            </w:tcMar>
          </w:tcPr>
          <w:p>
            <w:pPr>
              <w:spacing w:after="0" w:line="250"/>
            </w:pPr>
            <w:r>
              <w:rPr>
                <w:rFonts w:ascii="Calibri" w:cs="Calibri" w:eastAsia="Calibri" w:hAnsi="Calibri"/>
                <w:b/>
                <w:bCs/>
                <w:sz w:val="19"/>
                <w:szCs w:val="19"/>
              </w:rPr>
              <w:t xml:space="preserve">Q7</w:t>
            </w:r>
          </w:p>
        </w:tc>
        <w:tc>
          <w:tcPr>
            <w:tcW w:type="dxa" w:w="61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Does career progression relate to attrition?</w:t>
            </w:r>
          </w:p>
        </w:tc>
        <w:tc>
          <w:tcPr>
            <w:tcW w:type="dxa" w:w="26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§6.4</w:t>
            </w:r>
          </w:p>
        </w:tc>
      </w:tr>
      <w:tr>
        <w:tc>
          <w:tcPr>
            <w:tcW w:type="dxa" w:w="6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Q8</w:t>
            </w:r>
          </w:p>
        </w:tc>
        <w:tc>
          <w:tcPr>
            <w:tcW w:type="dxa" w:w="61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Which segments require management attention first?</w:t>
            </w:r>
          </w:p>
        </w:tc>
        <w:tc>
          <w:tcPr>
            <w:tcW w:type="dxa" w:w="26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§6.8</w:t>
            </w:r>
          </w:p>
        </w:tc>
      </w:tr>
      <w:tr>
        <w:tc>
          <w:tcPr>
            <w:tcW w:type="dxa" w:w="600"/>
            <w:tcMar>
              <w:top w:type="dxa" w:w="60"/>
              <w:left w:type="dxa" w:w="100"/>
              <w:bottom w:type="dxa" w:w="60"/>
              <w:right w:type="dxa" w:w="100"/>
            </w:tcMar>
          </w:tcPr>
          <w:p>
            <w:pPr>
              <w:spacing w:after="0" w:line="250"/>
            </w:pPr>
            <w:r>
              <w:rPr>
                <w:rFonts w:ascii="Calibri" w:cs="Calibri" w:eastAsia="Calibri" w:hAnsi="Calibri"/>
                <w:b/>
                <w:bCs/>
                <w:sz w:val="19"/>
                <w:szCs w:val="19"/>
              </w:rPr>
              <w:t xml:space="preserve">Q9</w:t>
            </w:r>
          </w:p>
        </w:tc>
        <w:tc>
          <w:tcPr>
            <w:tcW w:type="dxa" w:w="61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Which apparent drivers survive when other factors are controlled?</w:t>
            </w:r>
          </w:p>
        </w:tc>
        <w:tc>
          <w:tcPr>
            <w:tcW w:type="dxa" w:w="26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§7</w:t>
            </w:r>
          </w:p>
        </w:tc>
      </w:tr>
      <w:tr>
        <w:tc>
          <w:tcPr>
            <w:tcW w:type="dxa" w:w="6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Q10</w:t>
            </w:r>
          </w:p>
        </w:tc>
        <w:tc>
          <w:tcPr>
            <w:tcW w:type="dxa" w:w="61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How reliable is the underlying data?</w:t>
            </w:r>
          </w:p>
        </w:tc>
        <w:tc>
          <w:tcPr>
            <w:tcW w:type="dxa" w:w="26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w:t>
            </w:r>
          </w:p>
        </w:tc>
      </w:tr>
    </w:tbl>
    <w:p>
      <w:r>
        <w:br w:type="page"/>
      </w:r>
    </w:p>
    <w:p>
      <w:pPr>
        <w:pStyle w:val="Heading1"/>
        <w:spacing w:after="140" w:before="340"/>
      </w:pPr>
      <w:r>
        <w:rPr>
          <w:rFonts w:ascii="Calibri" w:cs="Calibri" w:eastAsia="Calibri" w:hAnsi="Calibri"/>
          <w:b/>
          <w:bCs/>
          <w:color w:val="1F3864"/>
          <w:sz w:val="30"/>
          <w:szCs w:val="30"/>
        </w:rPr>
        <w:t xml:space="preserve">3. Methodology</w:t>
      </w:r>
    </w:p>
    <w:p>
      <w:pPr>
        <w:spacing w:after="140" w:line="276"/>
      </w:pPr>
      <w:r>
        <w:rPr>
          <w:rFonts w:ascii="Calibri" w:cs="Calibri" w:eastAsia="Calibri" w:hAnsi="Calibri"/>
          <w:sz w:val="21"/>
          <w:szCs w:val="21"/>
        </w:rPr>
        <w:t xml:space="preserve">The engagement followed a standard business-analysis sequence: understand the business, define the problem, profile the data, clean it, measure, analyse, test for confounding, and only then recommend. The sequence matters: profiling before analysis is what surfaced the data-integrity problems in Section 4, which in turn govern how strongly every later finding can be stated.</w:t>
      </w:r>
    </w:p>
    <w:p>
      <w:pPr>
        <w:pStyle w:val="Heading2"/>
        <w:spacing w:after="140" w:before="260"/>
      </w:pPr>
      <w:r>
        <w:rPr>
          <w:rFonts w:ascii="Calibri" w:cs="Calibri" w:eastAsia="Calibri" w:hAnsi="Calibri"/>
          <w:b/>
          <w:bCs/>
          <w:color w:val="2E5A88"/>
          <w:sz w:val="24"/>
          <w:szCs w:val="24"/>
        </w:rPr>
        <w:t xml:space="preserve">3.1 Approach</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1700"/>
        <w:gridCol w:w="5460"/>
        <w:gridCol w:w="2200"/>
      </w:tblGrid>
      <w:tr>
        <w:trPr>
          <w:tblHeader/>
        </w:trPr>
        <w:tc>
          <w:tcPr>
            <w:tcW w:type="dxa" w:w="17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Stage</w:t>
            </w:r>
          </w:p>
        </w:tc>
        <w:tc>
          <w:tcPr>
            <w:tcW w:type="dxa" w:w="546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What was done</w:t>
            </w:r>
          </w:p>
        </w:tc>
        <w:tc>
          <w:tcPr>
            <w:tcW w:type="dxa" w:w="220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Output</w:t>
            </w:r>
          </w:p>
        </w:tc>
      </w:tr>
      <w:tr>
        <w:tc>
          <w:tcPr>
            <w:tcW w:type="dxa" w:w="1700"/>
            <w:tcMar>
              <w:top w:type="dxa" w:w="60"/>
              <w:left w:type="dxa" w:w="100"/>
              <w:bottom w:type="dxa" w:w="60"/>
              <w:right w:type="dxa" w:w="100"/>
            </w:tcMar>
          </w:tcPr>
          <w:p>
            <w:pPr>
              <w:spacing w:after="0" w:line="250"/>
            </w:pPr>
            <w:r>
              <w:rPr>
                <w:rFonts w:ascii="Calibri" w:cs="Calibri" w:eastAsia="Calibri" w:hAnsi="Calibri"/>
                <w:b/>
                <w:bCs/>
                <w:sz w:val="19"/>
                <w:szCs w:val="19"/>
              </w:rPr>
              <w:t xml:space="preserve">Data profiling</w:t>
            </w:r>
          </w:p>
        </w:tc>
        <w:tc>
          <w:tcPr>
            <w:tcW w:type="dxa" w:w="54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Structure, completeness, distributions, category frequencies, cross-field validation of the raw file before any change</w:t>
            </w:r>
          </w:p>
        </w:tc>
        <w:tc>
          <w:tcPr>
            <w:tcW w:type="dxa" w:w="22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Data Profile sheet</w:t>
            </w:r>
          </w:p>
        </w:tc>
      </w:tr>
      <w:tr>
        <w:tc>
          <w:tcPr>
            <w:tcW w:type="dxa" w:w="17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Data dictionary</w:t>
            </w:r>
          </w:p>
        </w:tc>
        <w:tc>
          <w:tcPr>
            <w:tcW w:type="dxa" w:w="54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Business meaning, type, example, quality issue and cleaning action recorded for all 24 source fields and 12 derived fields</w:t>
            </w:r>
          </w:p>
        </w:tc>
        <w:tc>
          <w:tcPr>
            <w:tcW w:type="dxa" w:w="22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Data Dictionary sheet</w:t>
            </w:r>
          </w:p>
        </w:tc>
      </w:tr>
      <w:tr>
        <w:tc>
          <w:tcPr>
            <w:tcW w:type="dxa" w:w="1700"/>
            <w:tcMar>
              <w:top w:type="dxa" w:w="60"/>
              <w:left w:type="dxa" w:w="100"/>
              <w:bottom w:type="dxa" w:w="60"/>
              <w:right w:type="dxa" w:w="100"/>
            </w:tcMar>
          </w:tcPr>
          <w:p>
            <w:pPr>
              <w:spacing w:after="0" w:line="250"/>
            </w:pPr>
            <w:r>
              <w:rPr>
                <w:rFonts w:ascii="Calibri" w:cs="Calibri" w:eastAsia="Calibri" w:hAnsi="Calibri"/>
                <w:b/>
                <w:bCs/>
                <w:sz w:val="19"/>
                <w:szCs w:val="19"/>
              </w:rPr>
              <w:t xml:space="preserve">Cleaning</w:t>
            </w:r>
          </w:p>
        </w:tc>
        <w:tc>
          <w:tcPr>
            <w:tcW w:type="dxa" w:w="54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Ten documented transformations, each with volume and justification; raw data retained unaltered</w:t>
            </w:r>
          </w:p>
        </w:tc>
        <w:tc>
          <w:tcPr>
            <w:tcW w:type="dxa" w:w="22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Cleaning Log sheet, Clean Data sheet</w:t>
            </w:r>
          </w:p>
        </w:tc>
      </w:tr>
      <w:tr>
        <w:tc>
          <w:tcPr>
            <w:tcW w:type="dxa" w:w="17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KPI baseline</w:t>
            </w:r>
          </w:p>
        </w:tc>
        <w:tc>
          <w:tcPr>
            <w:tcW w:type="dxa" w:w="54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Twenty-one workforce and attrition KPIs plus eight data-quality KPIs, all formula-driven</w:t>
            </w:r>
          </w:p>
        </w:tc>
        <w:tc>
          <w:tcPr>
            <w:tcW w:type="dxa" w:w="22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KPI Summary sheet</w:t>
            </w:r>
          </w:p>
        </w:tc>
      </w:tr>
      <w:tr>
        <w:tc>
          <w:tcPr>
            <w:tcW w:type="dxa" w:w="1700"/>
            <w:tcMar>
              <w:top w:type="dxa" w:w="60"/>
              <w:left w:type="dxa" w:w="100"/>
              <w:bottom w:type="dxa" w:w="60"/>
              <w:right w:type="dxa" w:w="100"/>
            </w:tcMar>
          </w:tcPr>
          <w:p>
            <w:pPr>
              <w:spacing w:after="0" w:line="250"/>
            </w:pPr>
            <w:r>
              <w:rPr>
                <w:rFonts w:ascii="Calibri" w:cs="Calibri" w:eastAsia="Calibri" w:hAnsi="Calibri"/>
                <w:b/>
                <w:bCs/>
                <w:sz w:val="19"/>
                <w:szCs w:val="19"/>
              </w:rPr>
              <w:t xml:space="preserve">Univariate analysis</w:t>
            </w:r>
          </w:p>
        </w:tc>
        <w:tc>
          <w:tcPr>
            <w:tcW w:type="dxa" w:w="54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Attrition rate, leaver volume and share of total departures across 20 dimensions</w:t>
            </w:r>
          </w:p>
        </w:tc>
        <w:tc>
          <w:tcPr>
            <w:tcW w:type="dxa" w:w="22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Attrition Analysis sheet</w:t>
            </w:r>
          </w:p>
        </w:tc>
      </w:tr>
      <w:tr>
        <w:tc>
          <w:tcPr>
            <w:tcW w:type="dxa" w:w="17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Confounding tests</w:t>
            </w:r>
          </w:p>
        </w:tc>
        <w:tc>
          <w:tcPr>
            <w:tcW w:type="dxa" w:w="54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Five two-way cross-tabulations testing whether headline differences survive a second variable</w:t>
            </w:r>
          </w:p>
        </w:tc>
        <w:tc>
          <w:tcPr>
            <w:tcW w:type="dxa" w:w="22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Cross-Tab Analysis sheet</w:t>
            </w:r>
          </w:p>
        </w:tc>
      </w:tr>
      <w:tr>
        <w:tc>
          <w:tcPr>
            <w:tcW w:type="dxa" w:w="1700"/>
            <w:tcMar>
              <w:top w:type="dxa" w:w="60"/>
              <w:left w:type="dxa" w:w="100"/>
              <w:bottom w:type="dxa" w:w="60"/>
              <w:right w:type="dxa" w:w="100"/>
            </w:tcMar>
          </w:tcPr>
          <w:p>
            <w:pPr>
              <w:spacing w:after="0" w:line="250"/>
            </w:pPr>
            <w:r>
              <w:rPr>
                <w:rFonts w:ascii="Calibri" w:cs="Calibri" w:eastAsia="Calibri" w:hAnsi="Calibri"/>
                <w:b/>
                <w:bCs/>
                <w:sz w:val="19"/>
                <w:szCs w:val="19"/>
              </w:rPr>
              <w:t xml:space="preserve">Multivariate analysis</w:t>
            </w:r>
          </w:p>
        </w:tc>
        <w:tc>
          <w:tcPr>
            <w:tcW w:type="dxa" w:w="54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Logistic regression with all factors entered simultaneously, reported as adjusted odds ratios</w:t>
            </w:r>
          </w:p>
        </w:tc>
        <w:tc>
          <w:tcPr>
            <w:tcW w:type="dxa" w:w="22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Driver Model sheet</w:t>
            </w:r>
          </w:p>
        </w:tc>
      </w:tr>
      <w:tr>
        <w:tc>
          <w:tcPr>
            <w:tcW w:type="dxa" w:w="17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Segmentation</w:t>
            </w:r>
          </w:p>
        </w:tc>
        <w:tc>
          <w:tcPr>
            <w:tcW w:type="dxa" w:w="54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Risk ranking of the 18 combinations of the three strongest independent factors</w:t>
            </w:r>
          </w:p>
        </w:tc>
        <w:tc>
          <w:tcPr>
            <w:tcW w:type="dxa" w:w="22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Risk Segments sheet</w:t>
            </w:r>
          </w:p>
        </w:tc>
      </w:tr>
    </w:tbl>
    <w:p>
      <w:pPr>
        <w:pStyle w:val="Heading2"/>
        <w:spacing w:after="140" w:before="260"/>
      </w:pPr>
      <w:r>
        <w:rPr>
          <w:rFonts w:ascii="Calibri" w:cs="Calibri" w:eastAsia="Calibri" w:hAnsi="Calibri"/>
          <w:b/>
          <w:bCs/>
          <w:color w:val="2E5A88"/>
          <w:sz w:val="24"/>
          <w:szCs w:val="24"/>
        </w:rPr>
        <w:t xml:space="preserve">3.2 Why a regression, and not only cross-tabs</w:t>
      </w:r>
    </w:p>
    <w:p>
      <w:pPr>
        <w:spacing w:after="140" w:line="276"/>
      </w:pPr>
      <w:r>
        <w:rPr>
          <w:rFonts w:ascii="Calibri" w:cs="Calibri" w:eastAsia="Calibri" w:hAnsi="Calibri"/>
          <w:sz w:val="21"/>
          <w:szCs w:val="21"/>
        </w:rPr>
        <w:t xml:space="preserve">A cross-tabulation can test one confounder at a time. It cannot answer whether the gender gap survives once grade, pay, function, tenure, working arrangement and overtime are all held constant simultaneously — and in a workforce where these variables move together, that is the only question worth asking. The logistic regression reported in Section 7 does this, and the adjusted odds ratios are what the recommendations rest on. Where the regression and the raw rates disagree, the regression is the more reliable figure.</w:t>
      </w:r>
    </w:p>
    <w:p>
      <w:pPr>
        <w:pStyle w:val="Heading2"/>
        <w:spacing w:after="140" w:before="260"/>
      </w:pPr>
      <w:r>
        <w:rPr>
          <w:rFonts w:ascii="Calibri" w:cs="Calibri" w:eastAsia="Calibri" w:hAnsi="Calibri"/>
          <w:b/>
          <w:bCs/>
          <w:color w:val="2E5A88"/>
          <w:sz w:val="24"/>
          <w:szCs w:val="24"/>
        </w:rPr>
        <w:t xml:space="preserve">3.3 Tool selection</w:t>
      </w:r>
    </w:p>
    <w:p>
      <w:pPr>
        <w:spacing w:after="140" w:line="276"/>
      </w:pPr>
      <w:r>
        <w:rPr>
          <w:rFonts w:ascii="Calibri" w:cs="Calibri" w:eastAsia="Calibri" w:hAnsi="Calibri"/>
          <w:sz w:val="21"/>
          <w:szCs w:val="21"/>
        </w:rPr>
        <w:t xml:space="preserve">Each method was chosen for the question, not for demonstration. Excel formulas and PivotTable-ready tables carry the KPIs and dimensional analysis because HR will maintain them there. SQL carries the profiling, cleaning and reproducible analysis because the logic needs to be auditable and re-runnable against the source system. The regression was run in Python because neither Excel nor SQL fits multivariate estimation. Power BI is specified as the presentation layer, not the analysis layer.</w:t>
      </w:r>
    </w:p>
    <w:p>
      <w:pPr>
        <w:pStyle w:val="Heading2"/>
        <w:spacing w:after="140" w:before="260"/>
      </w:pPr>
      <w:r>
        <w:rPr>
          <w:rFonts w:ascii="Calibri" w:cs="Calibri" w:eastAsia="Calibri" w:hAnsi="Calibri"/>
          <w:b/>
          <w:bCs/>
          <w:color w:val="2E5A88"/>
          <w:sz w:val="24"/>
          <w:szCs w:val="24"/>
        </w:rPr>
        <w:t xml:space="preserve">3.4 Standard of evidence applied</w:t>
      </w:r>
    </w:p>
    <w:p>
      <w:pPr>
        <w:spacing w:after="140" w:line="276"/>
      </w:pPr>
      <w:r>
        <w:rPr>
          <w:rFonts w:ascii="Calibri" w:cs="Calibri" w:eastAsia="Calibri" w:hAnsi="Calibri"/>
          <w:sz w:val="21"/>
          <w:szCs w:val="21"/>
        </w:rPr>
        <w:t xml:space="preserve">Three rules governed what could be written in this report:</w:t>
      </w:r>
    </w:p>
    <w:p>
      <w:pPr>
        <w:pStyle w:val="ListParagraph"/>
        <w:numPr>
          <w:ilvl w:val="0"/>
          <w:numId w:val="2"/>
        </w:numPr>
        <w:spacing w:after="90" w:line="276"/>
      </w:pPr>
      <w:r>
        <w:rPr>
          <w:rFonts w:ascii="Calibri" w:cs="Calibri" w:eastAsia="Calibri" w:hAnsi="Calibri"/>
          <w:sz w:val="21"/>
          <w:szCs w:val="21"/>
        </w:rPr>
        <w:t xml:space="preserve">A group difference is not reported as a finding until it has been tested against at least one plausible confounder.</w:t>
      </w:r>
    </w:p>
    <w:p>
      <w:pPr>
        <w:pStyle w:val="ListParagraph"/>
        <w:numPr>
          <w:ilvl w:val="0"/>
          <w:numId w:val="2"/>
        </w:numPr>
        <w:spacing w:after="90" w:line="276"/>
      </w:pPr>
      <w:r>
        <w:rPr>
          <w:rFonts w:ascii="Calibri" w:cs="Calibri" w:eastAsia="Calibri" w:hAnsi="Calibri"/>
          <w:sz w:val="21"/>
          <w:szCs w:val="21"/>
        </w:rPr>
        <w:t xml:space="preserve">No association is described in causal language unless the design supports it — and a single cross-sectional extract never does. Where a causal reading is tempting and unsupported, the report says so explicitly.</w:t>
      </w:r>
    </w:p>
    <w:p>
      <w:pPr>
        <w:pStyle w:val="ListParagraph"/>
        <w:numPr>
          <w:ilvl w:val="0"/>
          <w:numId w:val="2"/>
        </w:numPr>
        <w:spacing w:after="90" w:line="276"/>
      </w:pPr>
      <w:r>
        <w:rPr>
          <w:rFonts w:ascii="Calibri" w:cs="Calibri" w:eastAsia="Calibri" w:hAnsi="Calibri"/>
          <w:sz w:val="21"/>
          <w:szCs w:val="21"/>
        </w:rPr>
        <w:t xml:space="preserve">A statistically significant difference is not automatically a business finding. With 74,498 records, trivial differences reach significance; effect size decides whether something matters operationally.</w:t>
      </w:r>
    </w:p>
    <w:p>
      <w:r>
        <w:br w:type="page"/>
      </w:r>
    </w:p>
    <w:p>
      <w:pPr>
        <w:pStyle w:val="Heading1"/>
        <w:spacing w:after="140" w:before="340"/>
      </w:pPr>
      <w:r>
        <w:rPr>
          <w:rFonts w:ascii="Calibri" w:cs="Calibri" w:eastAsia="Calibri" w:hAnsi="Calibri"/>
          <w:b/>
          <w:bCs/>
          <w:color w:val="1F3864"/>
          <w:sz w:val="30"/>
          <w:szCs w:val="30"/>
        </w:rPr>
        <w:t xml:space="preserve">4. Data Quality</w:t>
      </w:r>
    </w:p>
    <w:p>
      <w:pPr>
        <w:spacing w:after="140" w:line="276"/>
      </w:pPr>
      <w:r>
        <w:rPr>
          <w:rFonts w:ascii="Calibri" w:cs="Calibri" w:eastAsia="Calibri" w:hAnsi="Calibri"/>
          <w:sz w:val="21"/>
          <w:szCs w:val="21"/>
        </w:rPr>
        <w:t xml:space="preserve">This section is placed before the results because it constrains them. The file is structurally clean and substantively unreliable, and those are different problems with different consequences.</w:t>
      </w:r>
    </w:p>
    <w:p>
      <w:pPr>
        <w:pStyle w:val="Heading2"/>
        <w:spacing w:after="140" w:before="260"/>
      </w:pPr>
      <w:r>
        <w:rPr>
          <w:rFonts w:ascii="Calibri" w:cs="Calibri" w:eastAsia="Calibri" w:hAnsi="Calibri"/>
          <w:b/>
          <w:bCs/>
          <w:color w:val="2E5A88"/>
          <w:sz w:val="24"/>
          <w:szCs w:val="24"/>
        </w:rPr>
        <w:t xml:space="preserve">4.1 Formatting issues — minor and fully corrected</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400"/>
        <w:gridCol w:w="1400"/>
        <w:gridCol w:w="1200"/>
        <w:gridCol w:w="3360"/>
      </w:tblGrid>
      <w:tr>
        <w:trPr>
          <w:tblHeader/>
        </w:trPr>
        <w:tc>
          <w:tcPr>
            <w:tcW w:type="dxa" w:w="34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Issue</w:t>
            </w:r>
          </w:p>
        </w:tc>
        <w:tc>
          <w:tcPr>
            <w:tcW w:type="dxa" w:w="140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Volume</w:t>
            </w:r>
          </w:p>
        </w:tc>
        <w:tc>
          <w:tcPr>
            <w:tcW w:type="dxa" w:w="120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 of file</w:t>
            </w:r>
          </w:p>
        </w:tc>
        <w:tc>
          <w:tcPr>
            <w:tcW w:type="dxa" w:w="336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Action taken</w:t>
            </w:r>
          </w:p>
        </w:tc>
      </w:tr>
      <w:tr>
        <w:tc>
          <w:tcPr>
            <w:tcW w:type="dxa" w:w="3400"/>
            <w:tcMar>
              <w:top w:type="dxa" w:w="60"/>
              <w:left w:type="dxa" w:w="100"/>
              <w:bottom w:type="dxa" w:w="60"/>
              <w:right w:type="dxa" w:w="100"/>
            </w:tcMar>
          </w:tcPr>
          <w:p>
            <w:pPr>
              <w:spacing w:after="0" w:line="250"/>
            </w:pPr>
            <w:r>
              <w:rPr>
                <w:rFonts w:ascii="Calibri" w:cs="Calibri" w:eastAsia="Calibri" w:hAnsi="Calibri"/>
                <w:b/>
                <w:bCs/>
                <w:sz w:val="19"/>
                <w:szCs w:val="19"/>
              </w:rPr>
              <w:t xml:space="preserve">Exact duplicate records</w:t>
            </w:r>
          </w:p>
        </w:tc>
        <w:tc>
          <w:tcPr>
            <w:tcW w:type="dxa" w:w="14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112</w:t>
            </w:r>
          </w:p>
        </w:tc>
        <w:tc>
          <w:tcPr>
            <w:tcW w:type="dxa" w:w="12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0.15%</w:t>
            </w:r>
          </w:p>
        </w:tc>
        <w:tc>
          <w:tcPr>
            <w:tcW w:type="dxa" w:w="33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Removed; all resolved to a single profile, so deletion was safe</w:t>
            </w:r>
          </w:p>
        </w:tc>
      </w:tr>
      <w:tr>
        <w:tc>
          <w:tcPr>
            <w:tcW w:type="dxa" w:w="3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Text encoding corruption in Education Level</w:t>
            </w:r>
          </w:p>
        </w:tc>
        <w:tc>
          <w:tcPr>
            <w:tcW w:type="dxa" w:w="14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37,409 values</w:t>
            </w:r>
          </w:p>
        </w:tc>
        <w:tc>
          <w:tcPr>
            <w:tcW w:type="dxa" w:w="12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50.1%</w:t>
            </w:r>
          </w:p>
        </w:tc>
        <w:tc>
          <w:tcPr>
            <w:tcW w:type="dxa" w:w="33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Repaired; caused by reading a UTF-8 file as Windows-1252</w:t>
            </w:r>
          </w:p>
        </w:tc>
      </w:tr>
      <w:tr>
        <w:tc>
          <w:tcPr>
            <w:tcW w:type="dxa" w:w="3400"/>
            <w:tcMar>
              <w:top w:type="dxa" w:w="60"/>
              <w:left w:type="dxa" w:w="100"/>
              <w:bottom w:type="dxa" w:w="60"/>
              <w:right w:type="dxa" w:w="100"/>
            </w:tcMar>
          </w:tcPr>
          <w:p>
            <w:pPr>
              <w:spacing w:after="0" w:line="250"/>
            </w:pPr>
            <w:r>
              <w:rPr>
                <w:rFonts w:ascii="Calibri" w:cs="Calibri" w:eastAsia="Calibri" w:hAnsi="Calibri"/>
                <w:b/>
                <w:bCs/>
                <w:sz w:val="19"/>
                <w:szCs w:val="19"/>
              </w:rPr>
              <w:t xml:space="preserve">Missing — Company Tenure (In Months)</w:t>
            </w:r>
          </w:p>
        </w:tc>
        <w:tc>
          <w:tcPr>
            <w:tcW w:type="dxa" w:w="14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2,413</w:t>
            </w:r>
          </w:p>
        </w:tc>
        <w:tc>
          <w:tcPr>
            <w:tcW w:type="dxa" w:w="12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3.2%</w:t>
            </w:r>
          </w:p>
        </w:tc>
        <w:tc>
          <w:tcPr>
            <w:tcW w:type="dxa" w:w="33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Left blank, excluded pairwise; not imputed</w:t>
            </w:r>
          </w:p>
        </w:tc>
      </w:tr>
      <w:tr>
        <w:tc>
          <w:tcPr>
            <w:tcW w:type="dxa" w:w="3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Missing — Distance from Home</w:t>
            </w:r>
          </w:p>
        </w:tc>
        <w:tc>
          <w:tcPr>
            <w:tcW w:type="dxa" w:w="14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1,912</w:t>
            </w:r>
          </w:p>
        </w:tc>
        <w:tc>
          <w:tcPr>
            <w:tcW w:type="dxa" w:w="12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2.6%</w:t>
            </w:r>
          </w:p>
        </w:tc>
        <w:tc>
          <w:tcPr>
            <w:tcW w:type="dxa" w:w="33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Left blank, excluded pairwise; not imputed</w:t>
            </w:r>
          </w:p>
        </w:tc>
      </w:tr>
      <w:tr>
        <w:tc>
          <w:tcPr>
            <w:tcW w:type="dxa" w:w="3400"/>
            <w:tcMar>
              <w:top w:type="dxa" w:w="60"/>
              <w:left w:type="dxa" w:w="100"/>
              <w:bottom w:type="dxa" w:w="60"/>
              <w:right w:type="dxa" w:w="100"/>
            </w:tcMar>
          </w:tcPr>
          <w:p>
            <w:pPr>
              <w:spacing w:after="0" w:line="250"/>
            </w:pPr>
            <w:r>
              <w:rPr>
                <w:rFonts w:ascii="Calibri" w:cs="Calibri" w:eastAsia="Calibri" w:hAnsi="Calibri"/>
                <w:b/>
                <w:bCs/>
                <w:sz w:val="19"/>
                <w:szCs w:val="19"/>
              </w:rPr>
              <w:t xml:space="preserve">Invalid dependent counts (10 and 15)</w:t>
            </w:r>
          </w:p>
        </w:tc>
        <w:tc>
          <w:tcPr>
            <w:tcW w:type="dxa" w:w="14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48</w:t>
            </w:r>
          </w:p>
        </w:tc>
        <w:tc>
          <w:tcPr>
            <w:tcW w:type="dxa" w:w="12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0.06%</w:t>
            </w:r>
          </w:p>
        </w:tc>
        <w:tc>
          <w:tcPr>
            <w:tcW w:type="dxa" w:w="33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Set to blank and flagged</w:t>
            </w:r>
          </w:p>
        </w:tc>
      </w:tr>
      <w:tr>
        <w:tc>
          <w:tcPr>
            <w:tcW w:type="dxa" w:w="3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Extreme income values (above 20,000)</w:t>
            </w:r>
          </w:p>
        </w:tc>
        <w:tc>
          <w:tcPr>
            <w:tcW w:type="dxa" w:w="14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87</w:t>
            </w:r>
          </w:p>
        </w:tc>
        <w:tc>
          <w:tcPr>
            <w:tcW w:type="dxa" w:w="12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0.12%</w:t>
            </w:r>
          </w:p>
        </w:tc>
        <w:tc>
          <w:tcPr>
            <w:tcW w:type="dxa" w:w="33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Flagged, retained for sensitivity testing</w:t>
            </w:r>
          </w:p>
        </w:tc>
      </w:tr>
    </w:tbl>
    <w:p>
      <w:pPr>
        <w:spacing w:after="80"/>
      </w:pPr>
    </w:p>
    <w:p>
      <w:pPr>
        <w:spacing w:after="140" w:line="276"/>
      </w:pPr>
      <w:r>
        <w:rPr>
          <w:rFonts w:ascii="Calibri" w:cs="Calibri" w:eastAsia="Calibri" w:hAnsi="Calibri"/>
          <w:i/>
          <w:iCs/>
          <w:sz w:val="21"/>
          <w:szCs w:val="21"/>
        </w:rPr>
        <w:t xml:space="preserve">None of these threatens the analysis. Missing values are concentrated in two fields at under 3.5%, well inside the range where pairwise exclusion is defensible, and neither field carries a headline finding.</w:t>
      </w:r>
    </w:p>
    <w:p>
      <w:pPr>
        <w:pStyle w:val="Heading2"/>
        <w:spacing w:after="140" w:before="260"/>
      </w:pPr>
      <w:r>
        <w:rPr>
          <w:rFonts w:ascii="Calibri" w:cs="Calibri" w:eastAsia="Calibri" w:hAnsi="Calibri"/>
          <w:b/>
          <w:bCs/>
          <w:color w:val="2E5A88"/>
          <w:sz w:val="24"/>
          <w:szCs w:val="24"/>
        </w:rPr>
        <w:t xml:space="preserve">4.2 Integrity issues — material, and not correctable</w:t>
      </w:r>
    </w:p>
    <w:p>
      <w:pPr>
        <w:spacing w:after="140" w:line="276"/>
      </w:pPr>
      <w:r>
        <w:rPr>
          <w:rFonts w:ascii="Calibri" w:cs="Calibri" w:eastAsia="Calibri" w:hAnsi="Calibri"/>
          <w:sz w:val="21"/>
          <w:szCs w:val="21"/>
        </w:rPr>
        <w:t xml:space="preserve">Cross-field validation found four problems that no amount of cleaning can fix, because the underlying values contradict each other rather than being merely malformed.</w:t>
      </w:r>
    </w:p>
    <w:p>
      <w:pPr>
        <w:spacing w:after="60"/>
      </w:pPr>
    </w:p>
    <w:tbl>
      <w:tblPr>
        <w:tblW w:type="dxa" w:w="9360"/>
        <w:tblBorders>
          <w:top w:val="single" w:color="C00000" w:sz="2"/>
          <w:left w:val="single" w:color="C00000" w:sz="18"/>
          <w:bottom w:val="single" w:color="C00000" w:sz="2"/>
          <w:right w:val="single" w:color="C00000" w:sz="2"/>
          <w:insideH w:val="none"/>
          <w:insideV w:val="none"/>
        </w:tblBorders>
      </w:tblPr>
      <w:tblGrid>
        <w:gridCol w:w="9360"/>
      </w:tblGrid>
      <w:tr>
        <w:tc>
          <w:tcPr>
            <w:tcW w:type="dxa" w:w="9360"/>
            <w:shd w:fill="FBFBFB" w:color="auto" w:val="clear"/>
            <w:tcMar>
              <w:top w:type="dxa" w:w="140"/>
              <w:left w:type="dxa" w:w="180"/>
              <w:bottom w:type="dxa" w:w="140"/>
              <w:right w:type="dxa" w:w="160"/>
            </w:tcMar>
          </w:tcPr>
          <w:p>
            <w:pPr>
              <w:spacing w:after="60"/>
            </w:pPr>
            <w:r>
              <w:rPr>
                <w:rFonts w:ascii="Calibri" w:cs="Calibri" w:eastAsia="Calibri" w:hAnsi="Calibri"/>
                <w:b/>
                <w:bCs/>
                <w:color w:val="C00000"/>
                <w:sz w:val="20"/>
                <w:szCs w:val="20"/>
              </w:rPr>
              <w:t xml:space="preserve">Integrity finding 1 — Age and tenure are mutually impossible in 32.1% of records</w:t>
            </w:r>
          </w:p>
          <w:p>
            <w:pPr>
              <w:spacing w:after="60" w:line="270"/>
            </w:pPr>
            <w:r>
              <w:rPr>
                <w:rFonts w:ascii="Calibri" w:cs="Calibri" w:eastAsia="Calibri" w:hAnsi="Calibri"/>
                <w:sz w:val="20"/>
                <w:szCs w:val="20"/>
              </w:rPr>
              <w:t xml:space="preserve">Subtracting Years at Company from Age gives the age at which the employee must have joined. In 23,902 records that implied start age is below 16.</w:t>
            </w:r>
          </w:p>
          <w:p>
            <w:pPr>
              <w:spacing w:after="60" w:line="270"/>
            </w:pPr>
            <w:r>
              <w:rPr>
                <w:rFonts w:ascii="Calibri" w:cs="Calibri" w:eastAsia="Calibri" w:hAnsi="Calibri"/>
                <w:sz w:val="20"/>
                <w:szCs w:val="20"/>
              </w:rPr>
              <w:t xml:space="preserve">These records were flagged rather than deleted. Removing a third of the file would have biased every subsequent comparison more than retaining flagged records does.</w:t>
            </w:r>
          </w:p>
        </w:tc>
      </w:tr>
    </w:tbl>
    <w:p>
      <w:pPr>
        <w:spacing w:after="100"/>
      </w:pPr>
    </w:p>
    <w:tbl>
      <w:tblPr>
        <w:tblW w:type="dxa" w:w="9360"/>
        <w:tblBorders>
          <w:top w:val="single" w:color="C00000" w:sz="2"/>
          <w:left w:val="single" w:color="C00000" w:sz="18"/>
          <w:bottom w:val="single" w:color="C00000" w:sz="2"/>
          <w:right w:val="single" w:color="C00000" w:sz="2"/>
          <w:insideH w:val="none"/>
          <w:insideV w:val="none"/>
        </w:tblBorders>
      </w:tblPr>
      <w:tblGrid>
        <w:gridCol w:w="9360"/>
      </w:tblGrid>
      <w:tr>
        <w:tc>
          <w:tcPr>
            <w:tcW w:type="dxa" w:w="9360"/>
            <w:shd w:fill="FBFBFB" w:color="auto" w:val="clear"/>
            <w:tcMar>
              <w:top w:type="dxa" w:w="140"/>
              <w:left w:type="dxa" w:w="180"/>
              <w:bottom w:type="dxa" w:w="140"/>
              <w:right w:type="dxa" w:w="160"/>
            </w:tcMar>
          </w:tcPr>
          <w:p>
            <w:pPr>
              <w:spacing w:after="60"/>
            </w:pPr>
            <w:r>
              <w:rPr>
                <w:rFonts w:ascii="Calibri" w:cs="Calibri" w:eastAsia="Calibri" w:hAnsi="Calibri"/>
                <w:b/>
                <w:bCs/>
                <w:color w:val="C00000"/>
                <w:sz w:val="20"/>
                <w:szCs w:val="20"/>
              </w:rPr>
              <w:t xml:space="preserve">Integrity finding 2 — The two tenure fields contradict each other in 84.3% of records</w:t>
            </w:r>
          </w:p>
          <w:p>
            <w:pPr>
              <w:spacing w:after="60" w:line="270"/>
            </w:pPr>
            <w:r>
              <w:rPr>
                <w:rFonts w:ascii="Calibri" w:cs="Calibri" w:eastAsia="Calibri" w:hAnsi="Calibri"/>
                <w:sz w:val="20"/>
                <w:szCs w:val="20"/>
              </w:rPr>
              <w:t xml:space="preserve">Company Tenure never exceeds 128 months (10.7 years), yet individual employees record up to 51 years of service at that same company. The two fields cannot both be right.</w:t>
            </w:r>
          </w:p>
          <w:p>
            <w:pPr>
              <w:spacing w:after="60" w:line="270"/>
            </w:pPr>
            <w:r>
              <w:rPr>
                <w:rFonts w:ascii="Calibri" w:cs="Calibri" w:eastAsia="Calibri" w:hAnsi="Calibri"/>
                <w:sz w:val="20"/>
                <w:szCs w:val="20"/>
              </w:rPr>
              <w:t xml:space="preserve">62,822 records are affected: 84.3% of the file, and 87.1% of the 72,117 records where company tenure is populated and the comparison can actually be made.</w:t>
            </w:r>
          </w:p>
          <w:p>
            <w:pPr>
              <w:spacing w:after="60" w:line="270"/>
            </w:pPr>
            <w:r>
              <w:rPr>
                <w:rFonts w:ascii="Calibri" w:cs="Calibri" w:eastAsia="Calibri" w:hAnsi="Calibri"/>
                <w:sz w:val="20"/>
                <w:szCs w:val="20"/>
              </w:rPr>
              <w:t xml:space="preserve">Years at Company was used as the tenure measure throughout, and every tenure-based finding in this report carries this caveat.</w:t>
            </w:r>
          </w:p>
        </w:tc>
      </w:tr>
    </w:tbl>
    <w:p>
      <w:pPr>
        <w:spacing w:after="100"/>
      </w:pPr>
    </w:p>
    <w:tbl>
      <w:tblPr>
        <w:tblW w:type="dxa" w:w="9360"/>
        <w:tblBorders>
          <w:top w:val="single" w:color="C00000" w:sz="2"/>
          <w:left w:val="single" w:color="C00000" w:sz="18"/>
          <w:bottom w:val="single" w:color="C00000" w:sz="2"/>
          <w:right w:val="single" w:color="C00000" w:sz="2"/>
          <w:insideH w:val="none"/>
          <w:insideV w:val="none"/>
        </w:tblBorders>
      </w:tblPr>
      <w:tblGrid>
        <w:gridCol w:w="9360"/>
      </w:tblGrid>
      <w:tr>
        <w:tc>
          <w:tcPr>
            <w:tcW w:type="dxa" w:w="9360"/>
            <w:shd w:fill="FBFBFB" w:color="auto" w:val="clear"/>
            <w:tcMar>
              <w:top w:type="dxa" w:w="140"/>
              <w:left w:type="dxa" w:w="180"/>
              <w:bottom w:type="dxa" w:w="140"/>
              <w:right w:type="dxa" w:w="160"/>
            </w:tcMar>
          </w:tcPr>
          <w:p>
            <w:pPr>
              <w:spacing w:after="60"/>
            </w:pPr>
            <w:r>
              <w:rPr>
                <w:rFonts w:ascii="Calibri" w:cs="Calibri" w:eastAsia="Calibri" w:hAnsi="Calibri"/>
                <w:b/>
                <w:bCs/>
                <w:color w:val="C00000"/>
                <w:sz w:val="20"/>
                <w:szCs w:val="20"/>
              </w:rPr>
              <w:t xml:space="preserve">Integrity finding 3 — The pay field carries no seniority signal</w:t>
            </w:r>
          </w:p>
          <w:p>
            <w:pPr>
              <w:spacing w:after="60" w:line="270"/>
            </w:pPr>
            <w:r>
              <w:rPr>
                <w:rFonts w:ascii="Calibri" w:cs="Calibri" w:eastAsia="Calibri" w:hAnsi="Calibri"/>
                <w:sz w:val="20"/>
                <w:szCs w:val="20"/>
              </w:rPr>
              <w:t xml:space="preserve">Median monthly income is approximately 7,350 at entry level, mid level and senior level alike. No functioning pay structure is flat across seniority.</w:t>
            </w:r>
          </w:p>
          <w:p>
            <w:pPr>
              <w:spacing w:after="60" w:line="270"/>
            </w:pPr>
            <w:r>
              <w:rPr>
                <w:rFonts w:ascii="Calibri" w:cs="Calibri" w:eastAsia="Calibri" w:hAnsi="Calibri"/>
                <w:sz w:val="20"/>
                <w:szCs w:val="20"/>
              </w:rPr>
              <w:t xml:space="preserve">This is why Section 6.7 reports that pay shows no relationship to attrition as a statement about the data rather than about compensation.</w:t>
            </w:r>
          </w:p>
        </w:tc>
      </w:tr>
    </w:tbl>
    <w:p>
      <w:pPr>
        <w:spacing w:after="100"/>
      </w:pPr>
    </w:p>
    <w:tbl>
      <w:tblPr>
        <w:tblW w:type="dxa" w:w="9360"/>
        <w:tblBorders>
          <w:top w:val="single" w:color="C00000" w:sz="2"/>
          <w:left w:val="single" w:color="C00000" w:sz="18"/>
          <w:bottom w:val="single" w:color="C00000" w:sz="2"/>
          <w:right w:val="single" w:color="C00000" w:sz="2"/>
          <w:insideH w:val="none"/>
          <w:insideV w:val="none"/>
        </w:tblBorders>
      </w:tblPr>
      <w:tblGrid>
        <w:gridCol w:w="9360"/>
      </w:tblGrid>
      <w:tr>
        <w:tc>
          <w:tcPr>
            <w:tcW w:type="dxa" w:w="9360"/>
            <w:shd w:fill="FBFBFB" w:color="auto" w:val="clear"/>
            <w:tcMar>
              <w:top w:type="dxa" w:w="140"/>
              <w:left w:type="dxa" w:w="180"/>
              <w:bottom w:type="dxa" w:w="140"/>
              <w:right w:type="dxa" w:w="160"/>
            </w:tcMar>
          </w:tcPr>
          <w:p>
            <w:pPr>
              <w:spacing w:after="60"/>
            </w:pPr>
            <w:r>
              <w:rPr>
                <w:rFonts w:ascii="Calibri" w:cs="Calibri" w:eastAsia="Calibri" w:hAnsi="Calibri"/>
                <w:b/>
                <w:bCs/>
                <w:color w:val="C00000"/>
                <w:sz w:val="20"/>
                <w:szCs w:val="20"/>
              </w:rPr>
              <w:t xml:space="preserve">Integrity finding 4 — The outcome variable is balanced, not natural</w:t>
            </w:r>
          </w:p>
          <w:p>
            <w:pPr>
              <w:spacing w:after="60" w:line="270"/>
            </w:pPr>
            <w:r>
              <w:rPr>
                <w:rFonts w:ascii="Calibri" w:cs="Calibri" w:eastAsia="Calibri" w:hAnsi="Calibri"/>
                <w:sz w:val="20"/>
                <w:szCs w:val="20"/>
              </w:rPr>
              <w:t xml:space="preserve">Recorded attrition of 47.47% is close to an even split between leavers and stayers. A genuine annual workforce extract would rarely exceed 15–20%.</w:t>
            </w:r>
          </w:p>
          <w:p>
            <w:pPr>
              <w:spacing w:after="60" w:line="270"/>
            </w:pPr>
            <w:r>
              <w:rPr>
                <w:rFonts w:ascii="Calibri" w:cs="Calibri" w:eastAsia="Calibri" w:hAnsi="Calibri"/>
                <w:sz w:val="20"/>
                <w:szCs w:val="20"/>
              </w:rPr>
              <w:t xml:space="preserve">This is characteristic of a dataset balanced for statistical modelling. It does not invalidate comparisons between groups, but it makes every absolute rate in this report unquotable as an organisational fact.</w:t>
            </w:r>
          </w:p>
        </w:tc>
      </w:tr>
    </w:tbl>
    <w:p>
      <w:pPr>
        <w:pStyle w:val="Heading2"/>
        <w:spacing w:after="140" w:before="260"/>
      </w:pPr>
      <w:r>
        <w:rPr>
          <w:rFonts w:ascii="Calibri" w:cs="Calibri" w:eastAsia="Calibri" w:hAnsi="Calibri"/>
          <w:b/>
          <w:bCs/>
          <w:color w:val="2E5A88"/>
          <w:sz w:val="24"/>
          <w:szCs w:val="24"/>
        </w:rPr>
        <w:t xml:space="preserve">4.3 A further reliability concern: the satisfaction field</w:t>
      </w:r>
    </w:p>
    <w:p>
      <w:pPr>
        <w:spacing w:after="140" w:line="276"/>
      </w:pPr>
      <w:r>
        <w:rPr>
          <w:rFonts w:ascii="Calibri" w:cs="Calibri" w:eastAsia="Calibri" w:hAnsi="Calibri"/>
          <w:sz w:val="21"/>
          <w:szCs w:val="21"/>
        </w:rPr>
        <w:t xml:space="preserve">Job Satisfaction does not behave like an ordered scale. Employees reporting the lowest satisfaction leave at 52.8%; employees reporting the highest leave at 53.0%; the two middle categories sit at 45.4% and 45.0%. A satisfaction measure in which the most satisfied and least satisfied behave identically is not measuring satisfaction reliably. The field is reported for completeness and excluded from the recommendations.</w:t>
      </w:r>
    </w:p>
    <w:p>
      <w:pPr>
        <w:pStyle w:val="Heading2"/>
        <w:spacing w:after="140" w:before="260"/>
      </w:pPr>
      <w:r>
        <w:rPr>
          <w:rFonts w:ascii="Calibri" w:cs="Calibri" w:eastAsia="Calibri" w:hAnsi="Calibri"/>
          <w:b/>
          <w:bCs/>
          <w:color w:val="2E5A88"/>
          <w:sz w:val="24"/>
          <w:szCs w:val="24"/>
        </w:rPr>
        <w:t xml:space="preserve">4.4 What this means for the conclusions</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4680"/>
        <w:gridCol w:w="4680"/>
      </w:tblGrid>
      <w:tr>
        <w:trPr>
          <w:tblHeader/>
        </w:trPr>
        <w:tc>
          <w:tcPr>
            <w:tcW w:type="dxa" w:w="468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Can be relied on</w:t>
            </w:r>
          </w:p>
        </w:tc>
        <w:tc>
          <w:tcPr>
            <w:tcW w:type="dxa" w:w="468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Cannot be relied on</w:t>
            </w:r>
          </w:p>
        </w:tc>
      </w:tr>
      <w:tr>
        <w:tc>
          <w:tcPr>
            <w:tcW w:type="dxa" w:w="4680"/>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Relative comparisons between employee groups</w:t>
            </w:r>
          </w:p>
        </w:tc>
        <w:tc>
          <w:tcPr>
            <w:tcW w:type="dxa" w:w="46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Any absolute attrition rate as an organisational fact</w:t>
            </w:r>
          </w:p>
        </w:tc>
      </w:tr>
      <w:tr>
        <w:tc>
          <w:tcPr>
            <w:tcW w:type="dxa" w:w="4680"/>
            <w:shd w:fill="F2F2F2" w:color="auto" w:val="clear"/>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The ranking of factors by strength of association</w:t>
            </w:r>
          </w:p>
        </w:tc>
        <w:tc>
          <w:tcPr>
            <w:tcW w:type="dxa" w:w="46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The precise magnitude of any single effect</w:t>
            </w:r>
          </w:p>
        </w:tc>
      </w:tr>
      <w:tr>
        <w:tc>
          <w:tcPr>
            <w:tcW w:type="dxa" w:w="4680"/>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The identification of high-risk segments</w:t>
            </w:r>
          </w:p>
        </w:tc>
        <w:tc>
          <w:tcPr>
            <w:tcW w:type="dxa" w:w="46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Any finding that rests on the pay field</w:t>
            </w:r>
          </w:p>
        </w:tc>
      </w:tr>
      <w:tr>
        <w:tc>
          <w:tcPr>
            <w:tcW w:type="dxa" w:w="4680"/>
            <w:shd w:fill="F2F2F2" w:color="auto" w:val="clear"/>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The direction of every effect reported</w:t>
            </w:r>
          </w:p>
        </w:tc>
        <w:tc>
          <w:tcPr>
            <w:tcW w:type="dxa" w:w="46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Any tenure finding stated without its caveat</w:t>
            </w:r>
          </w:p>
        </w:tc>
      </w:tr>
      <w:tr>
        <w:tc>
          <w:tcPr>
            <w:tcW w:type="dxa" w:w="4680"/>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The negative findings (department, recognition, pay)</w:t>
            </w:r>
          </w:p>
        </w:tc>
        <w:tc>
          <w:tcPr>
            <w:tcW w:type="dxa" w:w="46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Any causal claim whatsoever</w:t>
            </w:r>
          </w:p>
        </w:tc>
      </w:tr>
    </w:tbl>
    <w:p>
      <w:pPr>
        <w:pStyle w:val="Heading2"/>
        <w:spacing w:after="140" w:before="260"/>
      </w:pPr>
      <w:r>
        <w:rPr>
          <w:rFonts w:ascii="Calibri" w:cs="Calibri" w:eastAsia="Calibri" w:hAnsi="Calibri"/>
          <w:b/>
          <w:bCs/>
          <w:color w:val="2E5A88"/>
          <w:sz w:val="24"/>
          <w:szCs w:val="24"/>
        </w:rPr>
        <w:t xml:space="preserve">4.5 Recommendation to the data owner</w:t>
      </w:r>
    </w:p>
    <w:p>
      <w:pPr>
        <w:spacing w:after="140" w:line="276"/>
      </w:pPr>
      <w:r>
        <w:rPr>
          <w:rFonts w:ascii="Calibri" w:cs="Calibri" w:eastAsia="Calibri" w:hAnsi="Calibri"/>
          <w:sz w:val="21"/>
          <w:szCs w:val="21"/>
        </w:rPr>
        <w:t xml:space="preserve">Independently of the retention question, the HR data owner should treat the following as a remediation backlog: reconcile the two tenure fields against the HR system of record; establish whether the pay field is being populated correctly; review the satisfaction survey instrument, since a scale that does not behave monotonically usually indicates a question that respondents are interpreting in different ways; and set the file export encoding to UTF-8 to stop the Education Level corruption recurring.</w:t>
      </w:r>
    </w:p>
    <w:p>
      <w:r>
        <w:br w:type="page"/>
      </w:r>
    </w:p>
    <w:p>
      <w:pPr>
        <w:pStyle w:val="Heading1"/>
        <w:spacing w:after="140" w:before="340"/>
      </w:pPr>
      <w:r>
        <w:rPr>
          <w:rFonts w:ascii="Calibri" w:cs="Calibri" w:eastAsia="Calibri" w:hAnsi="Calibri"/>
          <w:b/>
          <w:bCs/>
          <w:color w:val="1F3864"/>
          <w:sz w:val="30"/>
          <w:szCs w:val="30"/>
        </w:rPr>
        <w:t xml:space="preserve">5. Key Performance Indicators</w:t>
      </w:r>
    </w:p>
    <w:p>
      <w:pPr>
        <w:spacing w:after="140" w:line="276"/>
      </w:pPr>
      <w:r>
        <w:rPr>
          <w:rFonts w:ascii="Calibri" w:cs="Calibri" w:eastAsia="Calibri" w:hAnsi="Calibri"/>
          <w:sz w:val="21"/>
          <w:szCs w:val="21"/>
        </w:rPr>
        <w:t xml:space="preserve">The measurement baseline. Every figure below is calculated by live formula from the cleaned dataset in the accompanying workbook, so the baseline can be re-run after any intervention.</w:t>
      </w:r>
    </w:p>
    <w:p>
      <w:pPr>
        <w:pStyle w:val="Heading2"/>
        <w:spacing w:after="140" w:before="260"/>
      </w:pPr>
      <w:r>
        <w:rPr>
          <w:rFonts w:ascii="Calibri" w:cs="Calibri" w:eastAsia="Calibri" w:hAnsi="Calibri"/>
          <w:b/>
          <w:bCs/>
          <w:color w:val="2E5A88"/>
          <w:sz w:val="24"/>
          <w:szCs w:val="24"/>
        </w:rPr>
        <w:t xml:space="preserve">5.1 Workforce and attrition</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4400"/>
        <w:gridCol w:w="1700"/>
        <w:gridCol w:w="3260"/>
      </w:tblGrid>
      <w:tr>
        <w:trPr>
          <w:tblHeader/>
        </w:trPr>
        <w:tc>
          <w:tcPr>
            <w:tcW w:type="dxa" w:w="44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KPI</w:t>
            </w:r>
          </w:p>
        </w:tc>
        <w:tc>
          <w:tcPr>
            <w:tcW w:type="dxa" w:w="170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Value</w:t>
            </w:r>
          </w:p>
        </w:tc>
        <w:tc>
          <w:tcPr>
            <w:tcW w:type="dxa" w:w="326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Note</w:t>
            </w:r>
          </w:p>
        </w:tc>
      </w:tr>
      <w:tr>
        <w:tc>
          <w:tcPr>
            <w:tcW w:type="dxa" w:w="4400"/>
            <w:tcMar>
              <w:top w:type="dxa" w:w="60"/>
              <w:left w:type="dxa" w:w="100"/>
              <w:bottom w:type="dxa" w:w="60"/>
              <w:right w:type="dxa" w:w="100"/>
            </w:tcMar>
          </w:tcPr>
          <w:p>
            <w:pPr>
              <w:spacing w:after="0" w:line="250"/>
            </w:pPr>
            <w:r>
              <w:rPr>
                <w:rFonts w:ascii="Calibri" w:cs="Calibri" w:eastAsia="Calibri" w:hAnsi="Calibri"/>
                <w:b/>
                <w:bCs/>
                <w:sz w:val="19"/>
                <w:szCs w:val="19"/>
              </w:rPr>
              <w:t xml:space="preserve">Total employee records</w:t>
            </w:r>
          </w:p>
        </w:tc>
        <w:tc>
          <w:tcPr>
            <w:tcW w:type="dxa" w:w="17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74,498</w:t>
            </w:r>
          </w:p>
        </w:tc>
        <w:tc>
          <w:tcPr>
            <w:tcW w:type="dxa" w:w="32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After removal of 112 duplicates</w:t>
            </w:r>
          </w:p>
        </w:tc>
      </w:tr>
      <w:tr>
        <w:tc>
          <w:tcPr>
            <w:tcW w:type="dxa" w:w="4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Employees who left</w:t>
            </w:r>
          </w:p>
        </w:tc>
        <w:tc>
          <w:tcPr>
            <w:tcW w:type="dxa" w:w="17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35,370</w:t>
            </w:r>
          </w:p>
        </w:tc>
        <w:tc>
          <w:tcPr>
            <w:tcW w:type="dxa" w:w="32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
            </w:r>
          </w:p>
        </w:tc>
      </w:tr>
      <w:tr>
        <w:tc>
          <w:tcPr>
            <w:tcW w:type="dxa" w:w="4400"/>
            <w:tcMar>
              <w:top w:type="dxa" w:w="60"/>
              <w:left w:type="dxa" w:w="100"/>
              <w:bottom w:type="dxa" w:w="60"/>
              <w:right w:type="dxa" w:w="100"/>
            </w:tcMar>
          </w:tcPr>
          <w:p>
            <w:pPr>
              <w:spacing w:after="0" w:line="250"/>
            </w:pPr>
            <w:r>
              <w:rPr>
                <w:rFonts w:ascii="Calibri" w:cs="Calibri" w:eastAsia="Calibri" w:hAnsi="Calibri"/>
                <w:b/>
                <w:bCs/>
                <w:sz w:val="19"/>
                <w:szCs w:val="19"/>
              </w:rPr>
              <w:t xml:space="preserve">Active employees</w:t>
            </w:r>
          </w:p>
        </w:tc>
        <w:tc>
          <w:tcPr>
            <w:tcW w:type="dxa" w:w="17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39,128</w:t>
            </w:r>
          </w:p>
        </w:tc>
        <w:tc>
          <w:tcPr>
            <w:tcW w:type="dxa" w:w="32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
            </w:r>
          </w:p>
        </w:tc>
      </w:tr>
      <w:tr>
        <w:tc>
          <w:tcPr>
            <w:tcW w:type="dxa" w:w="4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Attrition rate</w:t>
            </w:r>
          </w:p>
        </w:tc>
        <w:tc>
          <w:tcPr>
            <w:tcW w:type="dxa" w:w="17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47.48%</w:t>
            </w:r>
          </w:p>
        </w:tc>
        <w:tc>
          <w:tcPr>
            <w:tcW w:type="dxa" w:w="32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Balanced extract — comparison use only</w:t>
            </w:r>
          </w:p>
        </w:tc>
      </w:tr>
      <w:tr>
        <w:tc>
          <w:tcPr>
            <w:tcW w:type="dxa" w:w="4400"/>
            <w:tcMar>
              <w:top w:type="dxa" w:w="60"/>
              <w:left w:type="dxa" w:w="100"/>
              <w:bottom w:type="dxa" w:w="60"/>
              <w:right w:type="dxa" w:w="100"/>
            </w:tcMar>
          </w:tcPr>
          <w:p>
            <w:pPr>
              <w:spacing w:after="0" w:line="250"/>
            </w:pPr>
            <w:r>
              <w:rPr>
                <w:rFonts w:ascii="Calibri" w:cs="Calibri" w:eastAsia="Calibri" w:hAnsi="Calibri"/>
                <w:b/>
                <w:bCs/>
                <w:sz w:val="19"/>
                <w:szCs w:val="19"/>
              </w:rPr>
              <w:t xml:space="preserve">Average age</w:t>
            </w:r>
          </w:p>
        </w:tc>
        <w:tc>
          <w:tcPr>
            <w:tcW w:type="dxa" w:w="17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38.5 years</w:t>
            </w:r>
          </w:p>
        </w:tc>
        <w:tc>
          <w:tcPr>
            <w:tcW w:type="dxa" w:w="32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
            </w:r>
          </w:p>
        </w:tc>
      </w:tr>
      <w:tr>
        <w:tc>
          <w:tcPr>
            <w:tcW w:type="dxa" w:w="4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Average tenure</w:t>
            </w:r>
          </w:p>
        </w:tc>
        <w:tc>
          <w:tcPr>
            <w:tcW w:type="dxa" w:w="17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15.7 years</w:t>
            </w:r>
          </w:p>
        </w:tc>
        <w:tc>
          <w:tcPr>
            <w:tcW w:type="dxa" w:w="32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Subject to the tenure-integrity caveat</w:t>
            </w:r>
          </w:p>
        </w:tc>
      </w:tr>
      <w:tr>
        <w:tc>
          <w:tcPr>
            <w:tcW w:type="dxa" w:w="4400"/>
            <w:tcMar>
              <w:top w:type="dxa" w:w="60"/>
              <w:left w:type="dxa" w:w="100"/>
              <w:bottom w:type="dxa" w:w="60"/>
              <w:right w:type="dxa" w:w="100"/>
            </w:tcMar>
          </w:tcPr>
          <w:p>
            <w:pPr>
              <w:spacing w:after="0" w:line="250"/>
            </w:pPr>
            <w:r>
              <w:rPr>
                <w:rFonts w:ascii="Calibri" w:cs="Calibri" w:eastAsia="Calibri" w:hAnsi="Calibri"/>
                <w:b/>
                <w:bCs/>
                <w:sz w:val="19"/>
                <w:szCs w:val="19"/>
              </w:rPr>
              <w:t xml:space="preserve">Median tenure</w:t>
            </w:r>
          </w:p>
        </w:tc>
        <w:tc>
          <w:tcPr>
            <w:tcW w:type="dxa" w:w="17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13.0 years</w:t>
            </w:r>
          </w:p>
        </w:tc>
        <w:tc>
          <w:tcPr>
            <w:tcW w:type="dxa" w:w="32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
            </w:r>
          </w:p>
        </w:tc>
      </w:tr>
      <w:tr>
        <w:tc>
          <w:tcPr>
            <w:tcW w:type="dxa" w:w="4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Average monthly income</w:t>
            </w:r>
          </w:p>
        </w:tc>
        <w:tc>
          <w:tcPr>
            <w:tcW w:type="dxa" w:w="17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7,345</w:t>
            </w:r>
          </w:p>
        </w:tc>
        <w:tc>
          <w:tcPr>
            <w:tcW w:type="dxa" w:w="32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
            </w:r>
          </w:p>
        </w:tc>
      </w:tr>
      <w:tr>
        <w:tc>
          <w:tcPr>
            <w:tcW w:type="dxa" w:w="4400"/>
            <w:tcMar>
              <w:top w:type="dxa" w:w="60"/>
              <w:left w:type="dxa" w:w="100"/>
              <w:bottom w:type="dxa" w:w="60"/>
              <w:right w:type="dxa" w:w="100"/>
            </w:tcMar>
          </w:tcPr>
          <w:p>
            <w:pPr>
              <w:spacing w:after="0" w:line="250"/>
            </w:pPr>
            <w:r>
              <w:rPr>
                <w:rFonts w:ascii="Calibri" w:cs="Calibri" w:eastAsia="Calibri" w:hAnsi="Calibri"/>
                <w:b/>
                <w:bCs/>
                <w:sz w:val="19"/>
                <w:szCs w:val="19"/>
              </w:rPr>
              <w:t xml:space="preserve">Average income — leavers</w:t>
            </w:r>
          </w:p>
        </w:tc>
        <w:tc>
          <w:tcPr>
            <w:tcW w:type="dxa" w:w="17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7,317</w:t>
            </w:r>
          </w:p>
        </w:tc>
        <w:tc>
          <w:tcPr>
            <w:tcW w:type="dxa" w:w="32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Difference of 53 — under 1%</w:t>
            </w:r>
          </w:p>
        </w:tc>
      </w:tr>
      <w:tr>
        <w:tc>
          <w:tcPr>
            <w:tcW w:type="dxa" w:w="4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Average income — stayers</w:t>
            </w:r>
          </w:p>
        </w:tc>
        <w:tc>
          <w:tcPr>
            <w:tcW w:type="dxa" w:w="17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7,370</w:t>
            </w:r>
          </w:p>
        </w:tc>
        <w:tc>
          <w:tcPr>
            <w:tcW w:type="dxa" w:w="32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
            </w:r>
          </w:p>
        </w:tc>
      </w:tr>
      <w:tr>
        <w:tc>
          <w:tcPr>
            <w:tcW w:type="dxa" w:w="4400"/>
            <w:tcMar>
              <w:top w:type="dxa" w:w="60"/>
              <w:left w:type="dxa" w:w="100"/>
              <w:bottom w:type="dxa" w:w="60"/>
              <w:right w:type="dxa" w:w="100"/>
            </w:tcMar>
          </w:tcPr>
          <w:p>
            <w:pPr>
              <w:spacing w:after="0" w:line="250"/>
            </w:pPr>
            <w:r>
              <w:rPr>
                <w:rFonts w:ascii="Calibri" w:cs="Calibri" w:eastAsia="Calibri" w:hAnsi="Calibri"/>
                <w:b/>
                <w:bCs/>
                <w:sz w:val="19"/>
                <w:szCs w:val="19"/>
              </w:rPr>
              <w:t xml:space="preserve">Share female</w:t>
            </w:r>
          </w:p>
        </w:tc>
        <w:tc>
          <w:tcPr>
            <w:tcW w:type="dxa" w:w="17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45.2%</w:t>
            </w:r>
          </w:p>
        </w:tc>
        <w:tc>
          <w:tcPr>
            <w:tcW w:type="dxa" w:w="32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
            </w:r>
          </w:p>
        </w:tc>
      </w:tr>
      <w:tr>
        <w:tc>
          <w:tcPr>
            <w:tcW w:type="dxa" w:w="4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Share working remotely</w:t>
            </w:r>
          </w:p>
        </w:tc>
        <w:tc>
          <w:tcPr>
            <w:tcW w:type="dxa" w:w="17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19.1%</w:t>
            </w:r>
          </w:p>
        </w:tc>
        <w:tc>
          <w:tcPr>
            <w:tcW w:type="dxa" w:w="32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80.9% of the workforce is on-site</w:t>
            </w:r>
          </w:p>
        </w:tc>
      </w:tr>
      <w:tr>
        <w:tc>
          <w:tcPr>
            <w:tcW w:type="dxa" w:w="4400"/>
            <w:tcMar>
              <w:top w:type="dxa" w:w="60"/>
              <w:left w:type="dxa" w:w="100"/>
              <w:bottom w:type="dxa" w:w="60"/>
              <w:right w:type="dxa" w:w="100"/>
            </w:tcMar>
          </w:tcPr>
          <w:p>
            <w:pPr>
              <w:spacing w:after="0" w:line="250"/>
            </w:pPr>
            <w:r>
              <w:rPr>
                <w:rFonts w:ascii="Calibri" w:cs="Calibri" w:eastAsia="Calibri" w:hAnsi="Calibri"/>
                <w:b/>
                <w:bCs/>
                <w:sz w:val="19"/>
                <w:szCs w:val="19"/>
              </w:rPr>
              <w:t xml:space="preserve">Share working overtime</w:t>
            </w:r>
          </w:p>
        </w:tc>
        <w:tc>
          <w:tcPr>
            <w:tcW w:type="dxa" w:w="17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32.7%</w:t>
            </w:r>
          </w:p>
        </w:tc>
        <w:tc>
          <w:tcPr>
            <w:tcW w:type="dxa" w:w="32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
            </w:r>
          </w:p>
        </w:tc>
      </w:tr>
      <w:tr>
        <w:tc>
          <w:tcPr>
            <w:tcW w:type="dxa" w:w="4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Share never promoted</w:t>
            </w:r>
          </w:p>
        </w:tc>
        <w:tc>
          <w:tcPr>
            <w:tcW w:type="dxa" w:w="17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49.9%</w:t>
            </w:r>
          </w:p>
        </w:tc>
        <w:tc>
          <w:tcPr>
            <w:tcW w:type="dxa" w:w="32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
            </w:r>
          </w:p>
        </w:tc>
      </w:tr>
      <w:tr>
        <w:tc>
          <w:tcPr>
            <w:tcW w:type="dxa" w:w="4400"/>
            <w:tcMar>
              <w:top w:type="dxa" w:w="60"/>
              <w:left w:type="dxa" w:w="100"/>
              <w:bottom w:type="dxa" w:w="60"/>
              <w:right w:type="dxa" w:w="100"/>
            </w:tcMar>
          </w:tcPr>
          <w:p>
            <w:pPr>
              <w:spacing w:after="0" w:line="250"/>
            </w:pPr>
            <w:r>
              <w:rPr>
                <w:rFonts w:ascii="Calibri" w:cs="Calibri" w:eastAsia="Calibri" w:hAnsi="Calibri"/>
                <w:b/>
                <w:bCs/>
                <w:sz w:val="19"/>
                <w:szCs w:val="19"/>
              </w:rPr>
              <w:t xml:space="preserve">Share at entry level</w:t>
            </w:r>
          </w:p>
        </w:tc>
        <w:tc>
          <w:tcPr>
            <w:tcW w:type="dxa" w:w="17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40.0%</w:t>
            </w:r>
          </w:p>
        </w:tc>
        <w:tc>
          <w:tcPr>
            <w:tcW w:type="dxa" w:w="32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And 53.3% of all departures</w:t>
            </w:r>
          </w:p>
        </w:tc>
      </w:tr>
      <w:tr>
        <w:tc>
          <w:tcPr>
            <w:tcW w:type="dxa" w:w="4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Share reporting poor or fair work-life balance</w:t>
            </w:r>
          </w:p>
        </w:tc>
        <w:tc>
          <w:tcPr>
            <w:tcW w:type="dxa" w:w="17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44.2%</w:t>
            </w:r>
          </w:p>
        </w:tc>
        <w:tc>
          <w:tcPr>
            <w:tcW w:type="dxa" w:w="32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The largest addressable population in the report</w:t>
            </w:r>
          </w:p>
        </w:tc>
      </w:tr>
    </w:tbl>
    <w:p>
      <w:pPr>
        <w:pStyle w:val="Heading2"/>
        <w:spacing w:after="140" w:before="260"/>
      </w:pPr>
      <w:r>
        <w:rPr>
          <w:rFonts w:ascii="Calibri" w:cs="Calibri" w:eastAsia="Calibri" w:hAnsi="Calibri"/>
          <w:b/>
          <w:bCs/>
          <w:color w:val="2E5A88"/>
          <w:sz w:val="24"/>
          <w:szCs w:val="24"/>
        </w:rPr>
        <w:t xml:space="preserve">5.2 Data-quality KPIs</w:t>
      </w:r>
    </w:p>
    <w:p>
      <w:pPr>
        <w:spacing w:after="140" w:line="276"/>
      </w:pPr>
      <w:r>
        <w:rPr>
          <w:rFonts w:ascii="Calibri" w:cs="Calibri" w:eastAsia="Calibri" w:hAnsi="Calibri"/>
          <w:sz w:val="21"/>
          <w:szCs w:val="21"/>
        </w:rPr>
        <w:t xml:space="preserve">These belong on the same scorecard as the workforce metrics. A KPI pack that reports attrition without reporting the reliability of the data behind it invites false confidence.</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5200"/>
        <w:gridCol w:w="2080"/>
        <w:gridCol w:w="2080"/>
      </w:tblGrid>
      <w:tr>
        <w:trPr>
          <w:tblHeader/>
        </w:trPr>
        <w:tc>
          <w:tcPr>
            <w:tcW w:type="dxa" w:w="52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Data-quality KPI</w:t>
            </w:r>
          </w:p>
        </w:tc>
        <w:tc>
          <w:tcPr>
            <w:tcW w:type="dxa" w:w="208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Value</w:t>
            </w:r>
          </w:p>
        </w:tc>
        <w:tc>
          <w:tcPr>
            <w:tcW w:type="dxa" w:w="208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 of file</w:t>
            </w:r>
          </w:p>
        </w:tc>
      </w:tr>
      <w:tr>
        <w:tc>
          <w:tcPr>
            <w:tcW w:type="dxa" w:w="5200"/>
            <w:tcMar>
              <w:top w:type="dxa" w:w="60"/>
              <w:left w:type="dxa" w:w="100"/>
              <w:bottom w:type="dxa" w:w="60"/>
              <w:right w:type="dxa" w:w="100"/>
            </w:tcMar>
          </w:tcPr>
          <w:p>
            <w:pPr>
              <w:spacing w:after="0" w:line="250"/>
            </w:pPr>
            <w:r>
              <w:rPr>
                <w:rFonts w:ascii="Calibri" w:cs="Calibri" w:eastAsia="Calibri" w:hAnsi="Calibri"/>
                <w:b/>
                <w:bCs/>
                <w:sz w:val="19"/>
                <w:szCs w:val="19"/>
              </w:rPr>
              <w:t xml:space="preserve">Records failing age/tenure validation</w:t>
            </w:r>
          </w:p>
        </w:tc>
        <w:tc>
          <w:tcPr>
            <w:tcW w:type="dxa" w:w="20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23,902</w:t>
            </w:r>
          </w:p>
        </w:tc>
        <w:tc>
          <w:tcPr>
            <w:tcW w:type="dxa" w:w="20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32.1%</w:t>
            </w:r>
          </w:p>
        </w:tc>
      </w:tr>
      <w:tr>
        <w:tc>
          <w:tcPr>
            <w:tcW w:type="dxa" w:w="52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Records with contradictory tenure fields</w:t>
            </w:r>
          </w:p>
        </w:tc>
        <w:tc>
          <w:tcPr>
            <w:tcW w:type="dxa" w:w="20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62,822</w:t>
            </w:r>
          </w:p>
        </w:tc>
        <w:tc>
          <w:tcPr>
            <w:tcW w:type="dxa" w:w="20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84.3% (87.1% of testable)</w:t>
            </w:r>
          </w:p>
        </w:tc>
      </w:tr>
      <w:tr>
        <w:tc>
          <w:tcPr>
            <w:tcW w:type="dxa" w:w="5200"/>
            <w:tcMar>
              <w:top w:type="dxa" w:w="60"/>
              <w:left w:type="dxa" w:w="100"/>
              <w:bottom w:type="dxa" w:w="60"/>
              <w:right w:type="dxa" w:w="100"/>
            </w:tcMar>
          </w:tcPr>
          <w:p>
            <w:pPr>
              <w:spacing w:after="0" w:line="250"/>
            </w:pPr>
            <w:r>
              <w:rPr>
                <w:rFonts w:ascii="Calibri" w:cs="Calibri" w:eastAsia="Calibri" w:hAnsi="Calibri"/>
                <w:b/>
                <w:bCs/>
                <w:sz w:val="19"/>
                <w:szCs w:val="19"/>
              </w:rPr>
              <w:t xml:space="preserve">Missing commute distance</w:t>
            </w:r>
          </w:p>
        </w:tc>
        <w:tc>
          <w:tcPr>
            <w:tcW w:type="dxa" w:w="20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1,897</w:t>
            </w:r>
          </w:p>
        </w:tc>
        <w:tc>
          <w:tcPr>
            <w:tcW w:type="dxa" w:w="20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2.5%</w:t>
            </w:r>
          </w:p>
        </w:tc>
      </w:tr>
      <w:tr>
        <w:tc>
          <w:tcPr>
            <w:tcW w:type="dxa" w:w="52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Missing company tenure</w:t>
            </w:r>
          </w:p>
        </w:tc>
        <w:tc>
          <w:tcPr>
            <w:tcW w:type="dxa" w:w="20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2,381</w:t>
            </w:r>
          </w:p>
        </w:tc>
        <w:tc>
          <w:tcPr>
            <w:tcW w:type="dxa" w:w="20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3.2%</w:t>
            </w:r>
          </w:p>
        </w:tc>
      </w:tr>
      <w:tr>
        <w:tc>
          <w:tcPr>
            <w:tcW w:type="dxa" w:w="5200"/>
            <w:tcMar>
              <w:top w:type="dxa" w:w="60"/>
              <w:left w:type="dxa" w:w="100"/>
              <w:bottom w:type="dxa" w:w="60"/>
              <w:right w:type="dxa" w:w="100"/>
            </w:tcMar>
          </w:tcPr>
          <w:p>
            <w:pPr>
              <w:spacing w:after="0" w:line="250"/>
            </w:pPr>
            <w:r>
              <w:rPr>
                <w:rFonts w:ascii="Calibri" w:cs="Calibri" w:eastAsia="Calibri" w:hAnsi="Calibri"/>
                <w:b/>
                <w:bCs/>
                <w:sz w:val="19"/>
                <w:szCs w:val="19"/>
              </w:rPr>
              <w:t xml:space="preserve">Extreme income values flagged</w:t>
            </w:r>
          </w:p>
        </w:tc>
        <w:tc>
          <w:tcPr>
            <w:tcW w:type="dxa" w:w="20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87</w:t>
            </w:r>
          </w:p>
        </w:tc>
        <w:tc>
          <w:tcPr>
            <w:tcW w:type="dxa" w:w="20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0.1%</w:t>
            </w:r>
          </w:p>
        </w:tc>
      </w:tr>
      <w:tr>
        <w:tc>
          <w:tcPr>
            <w:tcW w:type="dxa" w:w="52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Invalid dependent counts</w:t>
            </w:r>
          </w:p>
        </w:tc>
        <w:tc>
          <w:tcPr>
            <w:tcW w:type="dxa" w:w="20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48</w:t>
            </w:r>
          </w:p>
        </w:tc>
        <w:tc>
          <w:tcPr>
            <w:tcW w:type="dxa" w:w="20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0.1%</w:t>
            </w:r>
          </w:p>
        </w:tc>
      </w:tr>
    </w:tbl>
    <w:p>
      <w:r>
        <w:br w:type="page"/>
      </w:r>
    </w:p>
    <w:p>
      <w:pPr>
        <w:pStyle w:val="Heading1"/>
        <w:spacing w:after="140" w:before="340"/>
      </w:pPr>
      <w:r>
        <w:rPr>
          <w:rFonts w:ascii="Calibri" w:cs="Calibri" w:eastAsia="Calibri" w:hAnsi="Calibri"/>
          <w:b/>
          <w:bCs/>
          <w:color w:val="1F3864"/>
          <w:sz w:val="30"/>
          <w:szCs w:val="30"/>
        </w:rPr>
        <w:t xml:space="preserve">6. Findings</w:t>
      </w:r>
    </w:p>
    <w:p>
      <w:pPr>
        <w:spacing w:after="140" w:line="276"/>
      </w:pPr>
      <w:r>
        <w:rPr>
          <w:rFonts w:ascii="Calibri" w:cs="Calibri" w:eastAsia="Calibri" w:hAnsi="Calibri"/>
          <w:sz w:val="21"/>
          <w:szCs w:val="21"/>
        </w:rPr>
        <w:t xml:space="preserve">Findings are ordered by how much they should change management's decisions, not by the order the analysis was run. Each reports the attrition rate (how bad a group is) alongside the share of total departures (how much of the problem it represents) — a group can have an alarming rate and still be operationally irrelevant if it is small.</w:t>
      </w:r>
    </w:p>
    <w:p>
      <w:pPr>
        <w:pStyle w:val="Heading2"/>
        <w:spacing w:after="140" w:before="260"/>
      </w:pPr>
      <w:r>
        <w:rPr>
          <w:rFonts w:ascii="Calibri" w:cs="Calibri" w:eastAsia="Calibri" w:hAnsi="Calibri"/>
          <w:b/>
          <w:bCs/>
          <w:color w:val="2E5A88"/>
          <w:sz w:val="24"/>
          <w:szCs w:val="24"/>
        </w:rPr>
        <w:t xml:space="preserve">6.1 The problem is vertical, not horizontal</w:t>
      </w:r>
    </w:p>
    <w:p>
      <w:pPr>
        <w:spacing w:after="140" w:line="276"/>
      </w:pPr>
      <w:r>
        <w:rPr>
          <w:rFonts w:ascii="Calibri" w:cs="Calibri" w:eastAsia="Calibri" w:hAnsi="Calibri"/>
          <w:sz w:val="21"/>
          <w:szCs w:val="21"/>
        </w:rPr>
        <w:t xml:space="preserve">This is the finding that should redirect management effort, and it does so by ruling something out as much as by ruling something in.</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200"/>
        <w:gridCol w:w="1800"/>
        <w:gridCol w:w="2180"/>
        <w:gridCol w:w="2180"/>
      </w:tblGrid>
      <w:tr>
        <w:trPr>
          <w:tblHeader/>
        </w:trPr>
        <w:tc>
          <w:tcPr>
            <w:tcW w:type="dxa" w:w="32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Business function</w:t>
            </w:r>
          </w:p>
        </w:tc>
        <w:tc>
          <w:tcPr>
            <w:tcW w:type="dxa" w:w="180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Headcount</w:t>
            </w:r>
          </w:p>
        </w:tc>
        <w:tc>
          <w:tcPr>
            <w:tcW w:type="dxa" w:w="218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Attrition rate</w:t>
            </w:r>
          </w:p>
        </w:tc>
        <w:tc>
          <w:tcPr>
            <w:tcW w:type="dxa" w:w="218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Share of all leavers</w:t>
            </w:r>
          </w:p>
        </w:tc>
      </w:tr>
      <w:tr>
        <w:tc>
          <w:tcPr>
            <w:tcW w:type="dxa" w:w="3200"/>
            <w:tcMar>
              <w:top w:type="dxa" w:w="60"/>
              <w:left w:type="dxa" w:w="100"/>
              <w:bottom w:type="dxa" w:w="60"/>
              <w:right w:type="dxa" w:w="100"/>
            </w:tcMar>
          </w:tcPr>
          <w:p>
            <w:pPr>
              <w:spacing w:after="0" w:line="250"/>
            </w:pPr>
            <w:r>
              <w:rPr>
                <w:rFonts w:ascii="Calibri" w:cs="Calibri" w:eastAsia="Calibri" w:hAnsi="Calibri"/>
                <w:b/>
                <w:bCs/>
                <w:sz w:val="19"/>
                <w:szCs w:val="19"/>
              </w:rPr>
              <w:t xml:space="preserve">Education</w:t>
            </w:r>
          </w:p>
        </w:tc>
        <w:tc>
          <w:tcPr>
            <w:tcW w:type="dxa" w:w="18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15,658</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48.8%</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21.6%</w:t>
            </w:r>
          </w:p>
        </w:tc>
      </w:tr>
      <w:tr>
        <w:tc>
          <w:tcPr>
            <w:tcW w:type="dxa" w:w="32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Healthcare</w:t>
            </w:r>
          </w:p>
        </w:tc>
        <w:tc>
          <w:tcPr>
            <w:tcW w:type="dxa" w:w="18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17,074</w:t>
            </w:r>
          </w:p>
        </w:tc>
        <w:tc>
          <w:tcPr>
            <w:tcW w:type="dxa" w:w="21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47.5%</w:t>
            </w:r>
          </w:p>
        </w:tc>
        <w:tc>
          <w:tcPr>
            <w:tcW w:type="dxa" w:w="21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22.9%</w:t>
            </w:r>
          </w:p>
        </w:tc>
      </w:tr>
      <w:tr>
        <w:tc>
          <w:tcPr>
            <w:tcW w:type="dxa" w:w="3200"/>
            <w:tcMar>
              <w:top w:type="dxa" w:w="60"/>
              <w:left w:type="dxa" w:w="100"/>
              <w:bottom w:type="dxa" w:w="60"/>
              <w:right w:type="dxa" w:w="100"/>
            </w:tcMar>
          </w:tcPr>
          <w:p>
            <w:pPr>
              <w:spacing w:after="0" w:line="250"/>
            </w:pPr>
            <w:r>
              <w:rPr>
                <w:rFonts w:ascii="Calibri" w:cs="Calibri" w:eastAsia="Calibri" w:hAnsi="Calibri"/>
                <w:b/>
                <w:bCs/>
                <w:sz w:val="19"/>
                <w:szCs w:val="19"/>
              </w:rPr>
              <w:t xml:space="preserve">Technology</w:t>
            </w:r>
          </w:p>
        </w:tc>
        <w:tc>
          <w:tcPr>
            <w:tcW w:type="dxa" w:w="18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19,322</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47.1%</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25.7%</w:t>
            </w:r>
          </w:p>
        </w:tc>
      </w:tr>
      <w:tr>
        <w:tc>
          <w:tcPr>
            <w:tcW w:type="dxa" w:w="32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Finance</w:t>
            </w:r>
          </w:p>
        </w:tc>
        <w:tc>
          <w:tcPr>
            <w:tcW w:type="dxa" w:w="18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10,448</w:t>
            </w:r>
          </w:p>
        </w:tc>
        <w:tc>
          <w:tcPr>
            <w:tcW w:type="dxa" w:w="21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46.9%</w:t>
            </w:r>
          </w:p>
        </w:tc>
        <w:tc>
          <w:tcPr>
            <w:tcW w:type="dxa" w:w="21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13.9%</w:t>
            </w:r>
          </w:p>
        </w:tc>
      </w:tr>
      <w:tr>
        <w:tc>
          <w:tcPr>
            <w:tcW w:type="dxa" w:w="3200"/>
            <w:tcMar>
              <w:top w:type="dxa" w:w="60"/>
              <w:left w:type="dxa" w:w="100"/>
              <w:bottom w:type="dxa" w:w="60"/>
              <w:right w:type="dxa" w:w="100"/>
            </w:tcMar>
          </w:tcPr>
          <w:p>
            <w:pPr>
              <w:spacing w:after="0" w:line="250"/>
            </w:pPr>
            <w:r>
              <w:rPr>
                <w:rFonts w:ascii="Calibri" w:cs="Calibri" w:eastAsia="Calibri" w:hAnsi="Calibri"/>
                <w:b/>
                <w:bCs/>
                <w:sz w:val="19"/>
                <w:szCs w:val="19"/>
              </w:rPr>
              <w:t xml:space="preserve">Media</w:t>
            </w:r>
          </w:p>
        </w:tc>
        <w:tc>
          <w:tcPr>
            <w:tcW w:type="dxa" w:w="18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11,996</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46.8%</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15.9%</w:t>
            </w:r>
          </w:p>
        </w:tc>
      </w:tr>
    </w:tbl>
    <w:p>
      <w:pPr>
        <w:spacing w:after="80"/>
      </w:pPr>
    </w:p>
    <w:p>
      <w:pPr>
        <w:spacing w:after="140" w:line="276"/>
      </w:pPr>
      <w:r>
        <w:rPr>
          <w:rFonts w:ascii="Calibri" w:cs="Calibri" w:eastAsia="Calibri" w:hAnsi="Calibri"/>
          <w:b/>
          <w:bCs/>
          <w:sz w:val="21"/>
          <w:szCs w:val="21"/>
        </w:rPr>
        <w:t xml:space="preserve">Read: </w:t>
      </w:r>
      <w:r>
        <w:rPr>
          <w:rFonts w:ascii="Calibri" w:cs="Calibri" w:eastAsia="Calibri" w:hAnsi="Calibri"/>
          <w:sz w:val="21"/>
          <w:szCs w:val="21"/>
        </w:rPr>
        <w:t xml:space="preserve">a two-point spread across five functions is no difference at all. There is no departmental attrition problem, and an investigation organised by department will consume management time and find nothing. This negative finding is worth as much as any positive one in the report.</w:t>
      </w:r>
    </w:p>
    <w:p>
      <w:pPr>
        <w:spacing w:after="140"/>
      </w:pP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200"/>
        <w:gridCol w:w="1800"/>
        <w:gridCol w:w="2180"/>
        <w:gridCol w:w="2180"/>
      </w:tblGrid>
      <w:tr>
        <w:trPr>
          <w:tblHeader/>
        </w:trPr>
        <w:tc>
          <w:tcPr>
            <w:tcW w:type="dxa" w:w="32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Job level</w:t>
            </w:r>
          </w:p>
        </w:tc>
        <w:tc>
          <w:tcPr>
            <w:tcW w:type="dxa" w:w="180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Headcount</w:t>
            </w:r>
          </w:p>
        </w:tc>
        <w:tc>
          <w:tcPr>
            <w:tcW w:type="dxa" w:w="218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Attrition rate</w:t>
            </w:r>
          </w:p>
        </w:tc>
        <w:tc>
          <w:tcPr>
            <w:tcW w:type="dxa" w:w="218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Share of all leavers</w:t>
            </w:r>
          </w:p>
        </w:tc>
      </w:tr>
      <w:tr>
        <w:tc>
          <w:tcPr>
            <w:tcW w:type="dxa" w:w="3200"/>
            <w:tcMar>
              <w:top w:type="dxa" w:w="60"/>
              <w:left w:type="dxa" w:w="100"/>
              <w:bottom w:type="dxa" w:w="60"/>
              <w:right w:type="dxa" w:w="100"/>
            </w:tcMar>
          </w:tcPr>
          <w:p>
            <w:pPr>
              <w:spacing w:after="0" w:line="250"/>
            </w:pPr>
            <w:r>
              <w:rPr>
                <w:rFonts w:ascii="Calibri" w:cs="Calibri" w:eastAsia="Calibri" w:hAnsi="Calibri"/>
                <w:b/>
                <w:bCs/>
                <w:sz w:val="19"/>
                <w:szCs w:val="19"/>
              </w:rPr>
              <w:t xml:space="preserve">Entry</w:t>
            </w:r>
          </w:p>
        </w:tc>
        <w:tc>
          <w:tcPr>
            <w:tcW w:type="dxa" w:w="18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29,780</w:t>
            </w:r>
          </w:p>
        </w:tc>
        <w:tc>
          <w:tcPr>
            <w:tcW w:type="dxa" w:w="2180"/>
            <w:tcMar>
              <w:top w:type="dxa" w:w="60"/>
              <w:left w:type="dxa" w:w="100"/>
              <w:bottom w:type="dxa" w:w="60"/>
              <w:right w:type="dxa" w:w="100"/>
            </w:tcMar>
          </w:tcPr>
          <w:p>
            <w:pPr>
              <w:spacing w:after="0" w:line="250"/>
              <w:jc w:val="center"/>
            </w:pPr>
            <w:r>
              <w:rPr>
                <w:rFonts w:ascii="Calibri" w:cs="Calibri" w:eastAsia="Calibri" w:hAnsi="Calibri"/>
                <w:b/>
                <w:bCs/>
                <w:color w:val="C00000"/>
                <w:sz w:val="19"/>
                <w:szCs w:val="19"/>
              </w:rPr>
              <w:t xml:space="preserve">63.3%</w:t>
            </w:r>
          </w:p>
        </w:tc>
        <w:tc>
          <w:tcPr>
            <w:tcW w:type="dxa" w:w="2180"/>
            <w:tcMar>
              <w:top w:type="dxa" w:w="60"/>
              <w:left w:type="dxa" w:w="100"/>
              <w:bottom w:type="dxa" w:w="60"/>
              <w:right w:type="dxa" w:w="100"/>
            </w:tcMar>
          </w:tcPr>
          <w:p>
            <w:pPr>
              <w:spacing w:after="0" w:line="250"/>
              <w:jc w:val="center"/>
            </w:pPr>
            <w:r>
              <w:rPr>
                <w:rFonts w:ascii="Calibri" w:cs="Calibri" w:eastAsia="Calibri" w:hAnsi="Calibri"/>
                <w:b/>
                <w:bCs/>
                <w:color w:val="C00000"/>
                <w:sz w:val="19"/>
                <w:szCs w:val="19"/>
              </w:rPr>
              <w:t xml:space="preserve">53.3%</w:t>
            </w:r>
          </w:p>
        </w:tc>
      </w:tr>
      <w:tr>
        <w:tc>
          <w:tcPr>
            <w:tcW w:type="dxa" w:w="32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Mid</w:t>
            </w:r>
          </w:p>
        </w:tc>
        <w:tc>
          <w:tcPr>
            <w:tcW w:type="dxa" w:w="18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29,678</w:t>
            </w:r>
          </w:p>
        </w:tc>
        <w:tc>
          <w:tcPr>
            <w:tcW w:type="dxa" w:w="21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45.4%</w:t>
            </w:r>
          </w:p>
        </w:tc>
        <w:tc>
          <w:tcPr>
            <w:tcW w:type="dxa" w:w="21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38.1%</w:t>
            </w:r>
          </w:p>
        </w:tc>
      </w:tr>
      <w:tr>
        <w:tc>
          <w:tcPr>
            <w:tcW w:type="dxa" w:w="3200"/>
            <w:tcMar>
              <w:top w:type="dxa" w:w="60"/>
              <w:left w:type="dxa" w:w="100"/>
              <w:bottom w:type="dxa" w:w="60"/>
              <w:right w:type="dxa" w:w="100"/>
            </w:tcMar>
          </w:tcPr>
          <w:p>
            <w:pPr>
              <w:spacing w:after="0" w:line="250"/>
            </w:pPr>
            <w:r>
              <w:rPr>
                <w:rFonts w:ascii="Calibri" w:cs="Calibri" w:eastAsia="Calibri" w:hAnsi="Calibri"/>
                <w:b/>
                <w:bCs/>
                <w:sz w:val="19"/>
                <w:szCs w:val="19"/>
              </w:rPr>
              <w:t xml:space="preserve">Senior</w:t>
            </w:r>
          </w:p>
        </w:tc>
        <w:tc>
          <w:tcPr>
            <w:tcW w:type="dxa" w:w="18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15,040</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20.3%</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8.6%</w:t>
            </w:r>
          </w:p>
        </w:tc>
      </w:tr>
    </w:tbl>
    <w:p>
      <w:pPr>
        <w:spacing w:after="80"/>
      </w:pPr>
    </w:p>
    <w:p>
      <w:pPr>
        <w:spacing w:after="140" w:line="276"/>
      </w:pPr>
      <w:r>
        <w:rPr>
          <w:rFonts w:ascii="Calibri" w:cs="Calibri" w:eastAsia="Calibri" w:hAnsi="Calibri"/>
          <w:b/>
          <w:bCs/>
          <w:sz w:val="21"/>
          <w:szCs w:val="21"/>
        </w:rPr>
        <w:t xml:space="preserve">Read: </w:t>
      </w:r>
      <w:r>
        <w:rPr>
          <w:rFonts w:ascii="Calibri" w:cs="Calibri" w:eastAsia="Calibri" w:hAnsi="Calibri"/>
          <w:sz w:val="21"/>
          <w:szCs w:val="21"/>
        </w:rPr>
        <w:t xml:space="preserve">a 43-point spread across three grades, in the same organisation, in every function. Entry-level employees are 40% of the workforce and 53.3% of all departures. The structure that matters is seniority, and it matters more than every other variable measured.</w:t>
      </w:r>
    </w:p>
    <w:p>
      <w:pPr>
        <w:pStyle w:val="Heading2"/>
        <w:spacing w:after="140" w:before="260"/>
      </w:pPr>
      <w:r>
        <w:rPr>
          <w:rFonts w:ascii="Calibri" w:cs="Calibri" w:eastAsia="Calibri" w:hAnsi="Calibri"/>
          <w:b/>
          <w:bCs/>
          <w:color w:val="2E5A88"/>
          <w:sz w:val="24"/>
          <w:szCs w:val="24"/>
        </w:rPr>
        <w:t xml:space="preserve">6.2 Marital status separates the workforce more sharply than any demographic</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200"/>
        <w:gridCol w:w="1800"/>
        <w:gridCol w:w="2180"/>
        <w:gridCol w:w="2180"/>
      </w:tblGrid>
      <w:tr>
        <w:trPr>
          <w:tblHeader/>
        </w:trPr>
        <w:tc>
          <w:tcPr>
            <w:tcW w:type="dxa" w:w="32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Marital status</w:t>
            </w:r>
          </w:p>
        </w:tc>
        <w:tc>
          <w:tcPr>
            <w:tcW w:type="dxa" w:w="180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Headcount</w:t>
            </w:r>
          </w:p>
        </w:tc>
        <w:tc>
          <w:tcPr>
            <w:tcW w:type="dxa" w:w="218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Attrition rate</w:t>
            </w:r>
          </w:p>
        </w:tc>
        <w:tc>
          <w:tcPr>
            <w:tcW w:type="dxa" w:w="218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Share of all leavers</w:t>
            </w:r>
          </w:p>
        </w:tc>
      </w:tr>
      <w:tr>
        <w:tc>
          <w:tcPr>
            <w:tcW w:type="dxa" w:w="3200"/>
            <w:tcMar>
              <w:top w:type="dxa" w:w="60"/>
              <w:left w:type="dxa" w:w="100"/>
              <w:bottom w:type="dxa" w:w="60"/>
              <w:right w:type="dxa" w:w="100"/>
            </w:tcMar>
          </w:tcPr>
          <w:p>
            <w:pPr>
              <w:spacing w:after="0" w:line="250"/>
            </w:pPr>
            <w:r>
              <w:rPr>
                <w:rFonts w:ascii="Calibri" w:cs="Calibri" w:eastAsia="Calibri" w:hAnsi="Calibri"/>
                <w:b/>
                <w:bCs/>
                <w:sz w:val="19"/>
                <w:szCs w:val="19"/>
              </w:rPr>
              <w:t xml:space="preserve">Single</w:t>
            </w:r>
          </w:p>
        </w:tc>
        <w:tc>
          <w:tcPr>
            <w:tcW w:type="dxa" w:w="18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26,001</w:t>
            </w:r>
          </w:p>
        </w:tc>
        <w:tc>
          <w:tcPr>
            <w:tcW w:type="dxa" w:w="2180"/>
            <w:tcMar>
              <w:top w:type="dxa" w:w="60"/>
              <w:left w:type="dxa" w:w="100"/>
              <w:bottom w:type="dxa" w:w="60"/>
              <w:right w:type="dxa" w:w="100"/>
            </w:tcMar>
          </w:tcPr>
          <w:p>
            <w:pPr>
              <w:spacing w:after="0" w:line="250"/>
              <w:jc w:val="center"/>
            </w:pPr>
            <w:r>
              <w:rPr>
                <w:rFonts w:ascii="Calibri" w:cs="Calibri" w:eastAsia="Calibri" w:hAnsi="Calibri"/>
                <w:b/>
                <w:bCs/>
                <w:color w:val="C00000"/>
                <w:sz w:val="19"/>
                <w:szCs w:val="19"/>
              </w:rPr>
              <w:t xml:space="preserve">66.8%</w:t>
            </w:r>
          </w:p>
        </w:tc>
        <w:tc>
          <w:tcPr>
            <w:tcW w:type="dxa" w:w="2180"/>
            <w:tcMar>
              <w:top w:type="dxa" w:w="60"/>
              <w:left w:type="dxa" w:w="100"/>
              <w:bottom w:type="dxa" w:w="60"/>
              <w:right w:type="dxa" w:w="100"/>
            </w:tcMar>
          </w:tcPr>
          <w:p>
            <w:pPr>
              <w:spacing w:after="0" w:line="250"/>
              <w:jc w:val="center"/>
            </w:pPr>
            <w:r>
              <w:rPr>
                <w:rFonts w:ascii="Calibri" w:cs="Calibri" w:eastAsia="Calibri" w:hAnsi="Calibri"/>
                <w:b/>
                <w:bCs/>
                <w:color w:val="C00000"/>
                <w:sz w:val="19"/>
                <w:szCs w:val="19"/>
              </w:rPr>
              <w:t xml:space="preserve">49.1%</w:t>
            </w:r>
          </w:p>
        </w:tc>
      </w:tr>
      <w:tr>
        <w:tc>
          <w:tcPr>
            <w:tcW w:type="dxa" w:w="32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Divorced</w:t>
            </w:r>
          </w:p>
        </w:tc>
        <w:tc>
          <w:tcPr>
            <w:tcW w:type="dxa" w:w="18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11,078</w:t>
            </w:r>
          </w:p>
        </w:tc>
        <w:tc>
          <w:tcPr>
            <w:tcW w:type="dxa" w:w="21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40.8%</w:t>
            </w:r>
          </w:p>
        </w:tc>
        <w:tc>
          <w:tcPr>
            <w:tcW w:type="dxa" w:w="21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12.8%</w:t>
            </w:r>
          </w:p>
        </w:tc>
      </w:tr>
      <w:tr>
        <w:tc>
          <w:tcPr>
            <w:tcW w:type="dxa" w:w="3200"/>
            <w:tcMar>
              <w:top w:type="dxa" w:w="60"/>
              <w:left w:type="dxa" w:w="100"/>
              <w:bottom w:type="dxa" w:w="60"/>
              <w:right w:type="dxa" w:w="100"/>
            </w:tcMar>
          </w:tcPr>
          <w:p>
            <w:pPr>
              <w:spacing w:after="0" w:line="250"/>
            </w:pPr>
            <w:r>
              <w:rPr>
                <w:rFonts w:ascii="Calibri" w:cs="Calibri" w:eastAsia="Calibri" w:hAnsi="Calibri"/>
                <w:b/>
                <w:bCs/>
                <w:sz w:val="19"/>
                <w:szCs w:val="19"/>
              </w:rPr>
              <w:t xml:space="preserve">Married</w:t>
            </w:r>
          </w:p>
        </w:tc>
        <w:tc>
          <w:tcPr>
            <w:tcW w:type="dxa" w:w="18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37,419</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36.0%</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38.1%</w:t>
            </w:r>
          </w:p>
        </w:tc>
      </w:tr>
    </w:tbl>
    <w:p>
      <w:pPr>
        <w:spacing w:after="80"/>
      </w:pPr>
    </w:p>
    <w:p>
      <w:pPr>
        <w:spacing w:after="140" w:line="276"/>
      </w:pPr>
      <w:r>
        <w:rPr>
          <w:rFonts w:ascii="Calibri" w:cs="Calibri" w:eastAsia="Calibri" w:hAnsi="Calibri"/>
          <w:sz w:val="21"/>
          <w:szCs w:val="21"/>
        </w:rPr>
        <w:t xml:space="preserve">The obvious objection is that this is really an age effect — younger employees are more likely to be single and more likely to move. It was tested and it does not hold. Single employees leave at between 64% and 72% in every age band from 18–25 through to 56–59, and married employees at between 33% and 42% in every band. The gap is stable across the entire age range.</w:t>
      </w:r>
    </w:p>
    <w:p>
      <w:pPr>
        <w:spacing w:after="140" w:line="276"/>
      </w:pPr>
      <w:r>
        <w:rPr>
          <w:rFonts w:ascii="Calibri" w:cs="Calibri" w:eastAsia="Calibri" w:hAnsi="Calibri"/>
          <w:b/>
          <w:bCs/>
          <w:sz w:val="21"/>
          <w:szCs w:val="21"/>
        </w:rPr>
        <w:t xml:space="preserve">Read: </w:t>
      </w:r>
      <w:r>
        <w:rPr>
          <w:rFonts w:ascii="Calibri" w:cs="Calibri" w:eastAsia="Calibri" w:hAnsi="Calibri"/>
          <w:sz w:val="21"/>
          <w:szCs w:val="21"/>
        </w:rPr>
        <w:t xml:space="preserve">marital status is almost certainly acting as a marker for mobility and life-stage commitments rather than as a cause. It is not something HR can or should address directly. Its value is as a targeting variable — it identifies who is at risk, which is precisely what Section 6.8 uses it for.</w:t>
      </w:r>
    </w:p>
    <w:p>
      <w:pPr>
        <w:pStyle w:val="Heading2"/>
        <w:spacing w:after="140" w:before="260"/>
      </w:pPr>
      <w:r>
        <w:rPr>
          <w:rFonts w:ascii="Calibri" w:cs="Calibri" w:eastAsia="Calibri" w:hAnsi="Calibri"/>
          <w:b/>
          <w:bCs/>
          <w:color w:val="2E5A88"/>
          <w:sz w:val="24"/>
          <w:szCs w:val="24"/>
        </w:rPr>
        <w:t xml:space="preserve">6.3 Working arrangement is the largest modifiable factor</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200"/>
        <w:gridCol w:w="1800"/>
        <w:gridCol w:w="2180"/>
        <w:gridCol w:w="2180"/>
      </w:tblGrid>
      <w:tr>
        <w:trPr>
          <w:tblHeader/>
        </w:trPr>
        <w:tc>
          <w:tcPr>
            <w:tcW w:type="dxa" w:w="32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Working arrangement</w:t>
            </w:r>
          </w:p>
        </w:tc>
        <w:tc>
          <w:tcPr>
            <w:tcW w:type="dxa" w:w="180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Headcount</w:t>
            </w:r>
          </w:p>
        </w:tc>
        <w:tc>
          <w:tcPr>
            <w:tcW w:type="dxa" w:w="218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Attrition rate</w:t>
            </w:r>
          </w:p>
        </w:tc>
        <w:tc>
          <w:tcPr>
            <w:tcW w:type="dxa" w:w="218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Share of all leavers</w:t>
            </w:r>
          </w:p>
        </w:tc>
      </w:tr>
      <w:tr>
        <w:tc>
          <w:tcPr>
            <w:tcW w:type="dxa" w:w="3200"/>
            <w:tcMar>
              <w:top w:type="dxa" w:w="60"/>
              <w:left w:type="dxa" w:w="100"/>
              <w:bottom w:type="dxa" w:w="60"/>
              <w:right w:type="dxa" w:w="100"/>
            </w:tcMar>
          </w:tcPr>
          <w:p>
            <w:pPr>
              <w:spacing w:after="0" w:line="250"/>
            </w:pPr>
            <w:r>
              <w:rPr>
                <w:rFonts w:ascii="Calibri" w:cs="Calibri" w:eastAsia="Calibri" w:hAnsi="Calibri"/>
                <w:b/>
                <w:bCs/>
                <w:sz w:val="19"/>
                <w:szCs w:val="19"/>
              </w:rPr>
              <w:t xml:space="preserve">On-site</w:t>
            </w:r>
          </w:p>
        </w:tc>
        <w:tc>
          <w:tcPr>
            <w:tcW w:type="dxa" w:w="18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60,300</w:t>
            </w:r>
          </w:p>
        </w:tc>
        <w:tc>
          <w:tcPr>
            <w:tcW w:type="dxa" w:w="2180"/>
            <w:tcMar>
              <w:top w:type="dxa" w:w="60"/>
              <w:left w:type="dxa" w:w="100"/>
              <w:bottom w:type="dxa" w:w="60"/>
              <w:right w:type="dxa" w:w="100"/>
            </w:tcMar>
          </w:tcPr>
          <w:p>
            <w:pPr>
              <w:spacing w:after="0" w:line="250"/>
              <w:jc w:val="center"/>
            </w:pPr>
            <w:r>
              <w:rPr>
                <w:rFonts w:ascii="Calibri" w:cs="Calibri" w:eastAsia="Calibri" w:hAnsi="Calibri"/>
                <w:b/>
                <w:bCs/>
                <w:color w:val="C00000"/>
                <w:sz w:val="19"/>
                <w:szCs w:val="19"/>
              </w:rPr>
              <w:t xml:space="preserve">52.8%</w:t>
            </w:r>
          </w:p>
        </w:tc>
        <w:tc>
          <w:tcPr>
            <w:tcW w:type="dxa" w:w="2180"/>
            <w:tcMar>
              <w:top w:type="dxa" w:w="60"/>
              <w:left w:type="dxa" w:w="100"/>
              <w:bottom w:type="dxa" w:w="60"/>
              <w:right w:type="dxa" w:w="100"/>
            </w:tcMar>
          </w:tcPr>
          <w:p>
            <w:pPr>
              <w:spacing w:after="0" w:line="250"/>
              <w:jc w:val="center"/>
            </w:pPr>
            <w:r>
              <w:rPr>
                <w:rFonts w:ascii="Calibri" w:cs="Calibri" w:eastAsia="Calibri" w:hAnsi="Calibri"/>
                <w:b/>
                <w:bCs/>
                <w:color w:val="C00000"/>
                <w:sz w:val="19"/>
                <w:szCs w:val="19"/>
              </w:rPr>
              <w:t xml:space="preserve">90.1%</w:t>
            </w:r>
          </w:p>
        </w:tc>
      </w:tr>
      <w:tr>
        <w:tc>
          <w:tcPr>
            <w:tcW w:type="dxa" w:w="32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Remote</w:t>
            </w:r>
          </w:p>
        </w:tc>
        <w:tc>
          <w:tcPr>
            <w:tcW w:type="dxa" w:w="18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14,198</w:t>
            </w:r>
          </w:p>
        </w:tc>
        <w:tc>
          <w:tcPr>
            <w:tcW w:type="dxa" w:w="21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24.7%</w:t>
            </w:r>
          </w:p>
        </w:tc>
        <w:tc>
          <w:tcPr>
            <w:tcW w:type="dxa" w:w="21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9.9%</w:t>
            </w:r>
          </w:p>
        </w:tc>
      </w:tr>
    </w:tbl>
    <w:p>
      <w:pPr>
        <w:spacing w:after="80"/>
      </w:pPr>
    </w:p>
    <w:p>
      <w:pPr>
        <w:spacing w:after="140" w:line="276"/>
      </w:pPr>
      <w:r>
        <w:rPr>
          <w:rFonts w:ascii="Calibri" w:cs="Calibri" w:eastAsia="Calibri" w:hAnsi="Calibri"/>
          <w:sz w:val="21"/>
          <w:szCs w:val="21"/>
        </w:rPr>
        <w:t xml:space="preserve">The gap holds within every job level, so it is not a composition effect:</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200"/>
        <w:gridCol w:w="2180"/>
        <w:gridCol w:w="2180"/>
        <w:gridCol w:w="1800"/>
      </w:tblGrid>
      <w:tr>
        <w:trPr>
          <w:tblHeader/>
        </w:trPr>
        <w:tc>
          <w:tcPr>
            <w:tcW w:type="dxa" w:w="32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Job level</w:t>
            </w:r>
          </w:p>
        </w:tc>
        <w:tc>
          <w:tcPr>
            <w:tcW w:type="dxa" w:w="218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On-site attrition</w:t>
            </w:r>
          </w:p>
        </w:tc>
        <w:tc>
          <w:tcPr>
            <w:tcW w:type="dxa" w:w="218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Remote attrition</w:t>
            </w:r>
          </w:p>
        </w:tc>
        <w:tc>
          <w:tcPr>
            <w:tcW w:type="dxa" w:w="180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Gap</w:t>
            </w:r>
          </w:p>
        </w:tc>
      </w:tr>
      <w:tr>
        <w:tc>
          <w:tcPr>
            <w:tcW w:type="dxa" w:w="3200"/>
            <w:tcMar>
              <w:top w:type="dxa" w:w="60"/>
              <w:left w:type="dxa" w:w="100"/>
              <w:bottom w:type="dxa" w:w="60"/>
              <w:right w:type="dxa" w:w="100"/>
            </w:tcMar>
          </w:tcPr>
          <w:p>
            <w:pPr>
              <w:spacing w:after="0" w:line="250"/>
            </w:pPr>
            <w:r>
              <w:rPr>
                <w:rFonts w:ascii="Calibri" w:cs="Calibri" w:eastAsia="Calibri" w:hAnsi="Calibri"/>
                <w:b/>
                <w:bCs/>
                <w:sz w:val="19"/>
                <w:szCs w:val="19"/>
              </w:rPr>
              <w:t xml:space="preserve">Entry</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69.3%</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37.1%</w:t>
            </w:r>
          </w:p>
        </w:tc>
        <w:tc>
          <w:tcPr>
            <w:tcW w:type="dxa" w:w="18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32.2 pp</w:t>
            </w:r>
          </w:p>
        </w:tc>
      </w:tr>
      <w:tr>
        <w:tc>
          <w:tcPr>
            <w:tcW w:type="dxa" w:w="32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Mid</w:t>
            </w:r>
          </w:p>
        </w:tc>
        <w:tc>
          <w:tcPr>
            <w:tcW w:type="dxa" w:w="21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51.0%</w:t>
            </w:r>
          </w:p>
        </w:tc>
        <w:tc>
          <w:tcPr>
            <w:tcW w:type="dxa" w:w="21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22.3%</w:t>
            </w:r>
          </w:p>
        </w:tc>
        <w:tc>
          <w:tcPr>
            <w:tcW w:type="dxa" w:w="18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28.7 pp</w:t>
            </w:r>
          </w:p>
        </w:tc>
      </w:tr>
      <w:tr>
        <w:tc>
          <w:tcPr>
            <w:tcW w:type="dxa" w:w="3200"/>
            <w:tcMar>
              <w:top w:type="dxa" w:w="60"/>
              <w:left w:type="dxa" w:w="100"/>
              <w:bottom w:type="dxa" w:w="60"/>
              <w:right w:type="dxa" w:w="100"/>
            </w:tcMar>
          </w:tcPr>
          <w:p>
            <w:pPr>
              <w:spacing w:after="0" w:line="250"/>
            </w:pPr>
            <w:r>
              <w:rPr>
                <w:rFonts w:ascii="Calibri" w:cs="Calibri" w:eastAsia="Calibri" w:hAnsi="Calibri"/>
                <w:b/>
                <w:bCs/>
                <w:sz w:val="19"/>
                <w:szCs w:val="19"/>
              </w:rPr>
              <w:t xml:space="preserve">Senior</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23.8%</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5.2%</w:t>
            </w:r>
          </w:p>
        </w:tc>
        <w:tc>
          <w:tcPr>
            <w:tcW w:type="dxa" w:w="18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18.6 pp</w:t>
            </w:r>
          </w:p>
        </w:tc>
      </w:tr>
    </w:tbl>
    <w:p>
      <w:pPr>
        <w:spacing w:after="80"/>
      </w:pPr>
    </w:p>
    <w:tbl>
      <w:tblPr>
        <w:tblW w:type="dxa" w:w="9360"/>
        <w:tblBorders>
          <w:top w:val="single" w:color="2E5A88" w:sz="2"/>
          <w:left w:val="single" w:color="2E5A88" w:sz="18"/>
          <w:bottom w:val="single" w:color="2E5A88" w:sz="2"/>
          <w:right w:val="single" w:color="2E5A88" w:sz="2"/>
          <w:insideH w:val="none"/>
          <w:insideV w:val="none"/>
        </w:tblBorders>
      </w:tblPr>
      <w:tblGrid>
        <w:gridCol w:w="9360"/>
      </w:tblGrid>
      <w:tr>
        <w:tc>
          <w:tcPr>
            <w:tcW w:type="dxa" w:w="9360"/>
            <w:shd w:fill="FBFBFB" w:color="auto" w:val="clear"/>
            <w:tcMar>
              <w:top w:type="dxa" w:w="140"/>
              <w:left w:type="dxa" w:w="180"/>
              <w:bottom w:type="dxa" w:w="140"/>
              <w:right w:type="dxa" w:w="160"/>
            </w:tcMar>
          </w:tcPr>
          <w:p>
            <w:pPr>
              <w:spacing w:after="60"/>
            </w:pPr>
            <w:r>
              <w:rPr>
                <w:rFonts w:ascii="Calibri" w:cs="Calibri" w:eastAsia="Calibri" w:hAnsi="Calibri"/>
                <w:b/>
                <w:bCs/>
                <w:color w:val="2E5A88"/>
                <w:sz w:val="20"/>
                <w:szCs w:val="20"/>
              </w:rPr>
              <w:t xml:space="preserve">Do not over-read this</w:t>
            </w:r>
          </w:p>
          <w:p>
            <w:pPr>
              <w:spacing w:after="60" w:line="270"/>
            </w:pPr>
            <w:r>
              <w:rPr>
                <w:rFonts w:ascii="Calibri" w:cs="Calibri" w:eastAsia="Calibri" w:hAnsi="Calibri"/>
                <w:sz w:val="20"/>
                <w:szCs w:val="20"/>
              </w:rPr>
              <w:t xml:space="preserve">The direction of causation is not established and cannot be from this data. Remote status may be granted to employees already regarded as committed or already likely to stay, in which case remote work marks retention rather than producing it.</w:t>
            </w:r>
          </w:p>
          <w:p>
            <w:pPr>
              <w:spacing w:after="60" w:line="270"/>
            </w:pPr>
            <w:r>
              <w:rPr>
                <w:rFonts w:ascii="Calibri" w:cs="Calibri" w:eastAsia="Calibri" w:hAnsi="Calibri"/>
                <w:sz w:val="20"/>
                <w:szCs w:val="20"/>
              </w:rPr>
              <w:t xml:space="preserve">This is why Recommendation 1 is written as a controlled pilot with a comparison group, not as a rollout. A pilot is what converts an association into evidence.</w:t>
            </w:r>
          </w:p>
        </w:tc>
      </w:tr>
    </w:tbl>
    <w:p>
      <w:pPr>
        <w:pStyle w:val="Heading2"/>
        <w:spacing w:after="140" w:before="260"/>
      </w:pPr>
      <w:r>
        <w:rPr>
          <w:rFonts w:ascii="Calibri" w:cs="Calibri" w:eastAsia="Calibri" w:hAnsi="Calibri"/>
          <w:b/>
          <w:bCs/>
          <w:color w:val="2E5A88"/>
          <w:sz w:val="24"/>
          <w:szCs w:val="24"/>
        </w:rPr>
        <w:t xml:space="preserve">6.4 Career progression is a threshold, not a gradient</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200"/>
        <w:gridCol w:w="1800"/>
        <w:gridCol w:w="2180"/>
        <w:gridCol w:w="2180"/>
      </w:tblGrid>
      <w:tr>
        <w:trPr>
          <w:tblHeader/>
        </w:trPr>
        <w:tc>
          <w:tcPr>
            <w:tcW w:type="dxa" w:w="32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Promotions received</w:t>
            </w:r>
          </w:p>
        </w:tc>
        <w:tc>
          <w:tcPr>
            <w:tcW w:type="dxa" w:w="180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Headcount</w:t>
            </w:r>
          </w:p>
        </w:tc>
        <w:tc>
          <w:tcPr>
            <w:tcW w:type="dxa" w:w="218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Attrition rate</w:t>
            </w:r>
          </w:p>
        </w:tc>
        <w:tc>
          <w:tcPr>
            <w:tcW w:type="dxa" w:w="218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Change vs previous</w:t>
            </w:r>
          </w:p>
        </w:tc>
      </w:tr>
      <w:tr>
        <w:tc>
          <w:tcPr>
            <w:tcW w:type="dxa" w:w="3200"/>
            <w:tcMar>
              <w:top w:type="dxa" w:w="60"/>
              <w:left w:type="dxa" w:w="100"/>
              <w:bottom w:type="dxa" w:w="60"/>
              <w:right w:type="dxa" w:w="100"/>
            </w:tcMar>
          </w:tcPr>
          <w:p>
            <w:pPr>
              <w:spacing w:after="0" w:line="250"/>
            </w:pPr>
            <w:r>
              <w:rPr>
                <w:rFonts w:ascii="Calibri" w:cs="Calibri" w:eastAsia="Calibri" w:hAnsi="Calibri"/>
                <w:b/>
                <w:bCs/>
                <w:sz w:val="19"/>
                <w:szCs w:val="19"/>
              </w:rPr>
              <w:t xml:space="preserve">0</w:t>
            </w:r>
          </w:p>
        </w:tc>
        <w:tc>
          <w:tcPr>
            <w:tcW w:type="dxa" w:w="18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37,145</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49.3%</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w:t>
            </w:r>
          </w:p>
        </w:tc>
      </w:tr>
      <w:tr>
        <w:tc>
          <w:tcPr>
            <w:tcW w:type="dxa" w:w="32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1</w:t>
            </w:r>
          </w:p>
        </w:tc>
        <w:tc>
          <w:tcPr>
            <w:tcW w:type="dxa" w:w="18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18,681</w:t>
            </w:r>
          </w:p>
        </w:tc>
        <w:tc>
          <w:tcPr>
            <w:tcW w:type="dxa" w:w="21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49.0%</w:t>
            </w:r>
          </w:p>
        </w:tc>
        <w:tc>
          <w:tcPr>
            <w:tcW w:type="dxa" w:w="21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−0.3 pp</w:t>
            </w:r>
          </w:p>
        </w:tc>
      </w:tr>
      <w:tr>
        <w:tc>
          <w:tcPr>
            <w:tcW w:type="dxa" w:w="3200"/>
            <w:tcMar>
              <w:top w:type="dxa" w:w="60"/>
              <w:left w:type="dxa" w:w="100"/>
              <w:bottom w:type="dxa" w:w="60"/>
              <w:right w:type="dxa" w:w="100"/>
            </w:tcMar>
          </w:tcPr>
          <w:p>
            <w:pPr>
              <w:spacing w:after="0" w:line="250"/>
            </w:pPr>
            <w:r>
              <w:rPr>
                <w:rFonts w:ascii="Calibri" w:cs="Calibri" w:eastAsia="Calibri" w:hAnsi="Calibri"/>
                <w:b/>
                <w:bCs/>
                <w:sz w:val="19"/>
                <w:szCs w:val="19"/>
              </w:rPr>
              <w:t xml:space="preserve">2</w:t>
            </w:r>
          </w:p>
        </w:tc>
        <w:tc>
          <w:tcPr>
            <w:tcW w:type="dxa" w:w="18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13,634</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49.0%</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0.0 pp</w:t>
            </w:r>
          </w:p>
        </w:tc>
      </w:tr>
      <w:tr>
        <w:tc>
          <w:tcPr>
            <w:tcW w:type="dxa" w:w="32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3</w:t>
            </w:r>
          </w:p>
        </w:tc>
        <w:tc>
          <w:tcPr>
            <w:tcW w:type="dxa" w:w="18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4,049</w:t>
            </w:r>
          </w:p>
        </w:tc>
        <w:tc>
          <w:tcPr>
            <w:tcW w:type="dxa" w:w="21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24.9%</w:t>
            </w:r>
          </w:p>
        </w:tc>
        <w:tc>
          <w:tcPr>
            <w:tcW w:type="dxa" w:w="2180"/>
            <w:shd w:fill="F2F2F2" w:color="auto" w:val="clear"/>
            <w:tcMar>
              <w:top w:type="dxa" w:w="60"/>
              <w:left w:type="dxa" w:w="100"/>
              <w:bottom w:type="dxa" w:w="60"/>
              <w:right w:type="dxa" w:w="100"/>
            </w:tcMar>
          </w:tcPr>
          <w:p>
            <w:pPr>
              <w:spacing w:after="0" w:line="250"/>
              <w:jc w:val="center"/>
            </w:pPr>
            <w:r>
              <w:rPr>
                <w:rFonts w:ascii="Calibri" w:cs="Calibri" w:eastAsia="Calibri" w:hAnsi="Calibri"/>
                <w:b/>
                <w:bCs/>
                <w:color w:val="2E7D32"/>
                <w:sz w:val="19"/>
                <w:szCs w:val="19"/>
              </w:rPr>
              <w:t xml:space="preserve">−24.1 pp</w:t>
            </w:r>
          </w:p>
        </w:tc>
      </w:tr>
      <w:tr>
        <w:tc>
          <w:tcPr>
            <w:tcW w:type="dxa" w:w="3200"/>
            <w:tcMar>
              <w:top w:type="dxa" w:w="60"/>
              <w:left w:type="dxa" w:w="100"/>
              <w:bottom w:type="dxa" w:w="60"/>
              <w:right w:type="dxa" w:w="100"/>
            </w:tcMar>
          </w:tcPr>
          <w:p>
            <w:pPr>
              <w:spacing w:after="0" w:line="250"/>
            </w:pPr>
            <w:r>
              <w:rPr>
                <w:rFonts w:ascii="Calibri" w:cs="Calibri" w:eastAsia="Calibri" w:hAnsi="Calibri"/>
                <w:b/>
                <w:bCs/>
                <w:sz w:val="19"/>
                <w:szCs w:val="19"/>
              </w:rPr>
              <w:t xml:space="preserve">4</w:t>
            </w:r>
          </w:p>
        </w:tc>
        <w:tc>
          <w:tcPr>
            <w:tcW w:type="dxa" w:w="18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989</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23.3%</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−1.6 pp</w:t>
            </w:r>
          </w:p>
        </w:tc>
      </w:tr>
    </w:tbl>
    <w:p>
      <w:pPr>
        <w:spacing w:after="80"/>
      </w:pPr>
    </w:p>
    <w:p>
      <w:pPr>
        <w:spacing w:after="140" w:line="276"/>
      </w:pPr>
      <w:r>
        <w:rPr>
          <w:rFonts w:ascii="Calibri" w:cs="Calibri" w:eastAsia="Calibri" w:hAnsi="Calibri"/>
          <w:b/>
          <w:bCs/>
          <w:sz w:val="21"/>
          <w:szCs w:val="21"/>
        </w:rPr>
        <w:t xml:space="preserve">Read: </w:t>
      </w:r>
      <w:r>
        <w:rPr>
          <w:rFonts w:ascii="Calibri" w:cs="Calibri" w:eastAsia="Calibri" w:hAnsi="Calibri"/>
          <w:sz w:val="21"/>
          <w:szCs w:val="21"/>
        </w:rPr>
        <w:t xml:space="preserve">nothing changes between zero, one and two promotions. The rate then halves at the third. This is the single most operationally useful shape in the report, because it means a policy of 'promote people more often' would achieve nothing at all until it crossed that threshold. What separates the two groups is not the promotion count itself but whatever the third promotion represents — most plausibly a genuine change in role, responsibility and standing rather than an incremental step. That hypothesis is testable against the HR system and should be tested before any progression policy is redesigned.</w:t>
      </w:r>
    </w:p>
    <w:p>
      <w:pPr>
        <w:pStyle w:val="Heading2"/>
        <w:spacing w:after="140" w:before="260"/>
      </w:pPr>
      <w:r>
        <w:rPr>
          <w:rFonts w:ascii="Calibri" w:cs="Calibri" w:eastAsia="Calibri" w:hAnsi="Calibri"/>
          <w:b/>
          <w:bCs/>
          <w:color w:val="2E5A88"/>
          <w:sz w:val="24"/>
          <w:szCs w:val="24"/>
        </w:rPr>
        <w:t xml:space="preserve">6.5 Tenure matters less than expected</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200"/>
        <w:gridCol w:w="1800"/>
        <w:gridCol w:w="2180"/>
        <w:gridCol w:w="2180"/>
      </w:tblGrid>
      <w:tr>
        <w:trPr>
          <w:tblHeader/>
        </w:trPr>
        <w:tc>
          <w:tcPr>
            <w:tcW w:type="dxa" w:w="32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Tenure band</w:t>
            </w:r>
          </w:p>
        </w:tc>
        <w:tc>
          <w:tcPr>
            <w:tcW w:type="dxa" w:w="180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Headcount</w:t>
            </w:r>
          </w:p>
        </w:tc>
        <w:tc>
          <w:tcPr>
            <w:tcW w:type="dxa" w:w="218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Attrition rate</w:t>
            </w:r>
          </w:p>
        </w:tc>
        <w:tc>
          <w:tcPr>
            <w:tcW w:type="dxa" w:w="218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Share of all leavers</w:t>
            </w:r>
          </w:p>
        </w:tc>
      </w:tr>
      <w:tr>
        <w:tc>
          <w:tcPr>
            <w:tcW w:type="dxa" w:w="3200"/>
            <w:tcMar>
              <w:top w:type="dxa" w:w="60"/>
              <w:left w:type="dxa" w:w="100"/>
              <w:bottom w:type="dxa" w:w="60"/>
              <w:right w:type="dxa" w:w="100"/>
            </w:tcMar>
          </w:tcPr>
          <w:p>
            <w:pPr>
              <w:spacing w:after="0" w:line="250"/>
            </w:pPr>
            <w:r>
              <w:rPr>
                <w:rFonts w:ascii="Calibri" w:cs="Calibri" w:eastAsia="Calibri" w:hAnsi="Calibri"/>
                <w:b/>
                <w:bCs/>
                <w:sz w:val="19"/>
                <w:szCs w:val="19"/>
              </w:rPr>
              <w:t xml:space="preserve">0–2 years</w:t>
            </w:r>
          </w:p>
        </w:tc>
        <w:tc>
          <w:tcPr>
            <w:tcW w:type="dxa" w:w="18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6,095</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52.9%</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9.1%</w:t>
            </w:r>
          </w:p>
        </w:tc>
      </w:tr>
      <w:tr>
        <w:tc>
          <w:tcPr>
            <w:tcW w:type="dxa" w:w="32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3–5 years</w:t>
            </w:r>
          </w:p>
        </w:tc>
        <w:tc>
          <w:tcPr>
            <w:tcW w:type="dxa" w:w="18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8,948</w:t>
            </w:r>
          </w:p>
        </w:tc>
        <w:tc>
          <w:tcPr>
            <w:tcW w:type="dxa" w:w="21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53.1%</w:t>
            </w:r>
          </w:p>
        </w:tc>
        <w:tc>
          <w:tcPr>
            <w:tcW w:type="dxa" w:w="21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13.4%</w:t>
            </w:r>
          </w:p>
        </w:tc>
      </w:tr>
      <w:tr>
        <w:tc>
          <w:tcPr>
            <w:tcW w:type="dxa" w:w="3200"/>
            <w:tcMar>
              <w:top w:type="dxa" w:w="60"/>
              <w:left w:type="dxa" w:w="100"/>
              <w:bottom w:type="dxa" w:w="60"/>
              <w:right w:type="dxa" w:w="100"/>
            </w:tcMar>
          </w:tcPr>
          <w:p>
            <w:pPr>
              <w:spacing w:after="0" w:line="250"/>
            </w:pPr>
            <w:r>
              <w:rPr>
                <w:rFonts w:ascii="Calibri" w:cs="Calibri" w:eastAsia="Calibri" w:hAnsi="Calibri"/>
                <w:b/>
                <w:bCs/>
                <w:sz w:val="19"/>
                <w:szCs w:val="19"/>
              </w:rPr>
              <w:t xml:space="preserve">6–10 years</w:t>
            </w:r>
          </w:p>
        </w:tc>
        <w:tc>
          <w:tcPr>
            <w:tcW w:type="dxa" w:w="18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14,852</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51.6%</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21.7%</w:t>
            </w:r>
          </w:p>
        </w:tc>
      </w:tr>
      <w:tr>
        <w:tc>
          <w:tcPr>
            <w:tcW w:type="dxa" w:w="32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11–20 years</w:t>
            </w:r>
          </w:p>
        </w:tc>
        <w:tc>
          <w:tcPr>
            <w:tcW w:type="dxa" w:w="18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22,339</w:t>
            </w:r>
          </w:p>
        </w:tc>
        <w:tc>
          <w:tcPr>
            <w:tcW w:type="dxa" w:w="21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44.7%</w:t>
            </w:r>
          </w:p>
        </w:tc>
        <w:tc>
          <w:tcPr>
            <w:tcW w:type="dxa" w:w="21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28.2%</w:t>
            </w:r>
          </w:p>
        </w:tc>
      </w:tr>
      <w:tr>
        <w:tc>
          <w:tcPr>
            <w:tcW w:type="dxa" w:w="3200"/>
            <w:tcMar>
              <w:top w:type="dxa" w:w="60"/>
              <w:left w:type="dxa" w:w="100"/>
              <w:bottom w:type="dxa" w:w="60"/>
              <w:right w:type="dxa" w:w="100"/>
            </w:tcMar>
          </w:tcPr>
          <w:p>
            <w:pPr>
              <w:spacing w:after="0" w:line="250"/>
            </w:pPr>
            <w:r>
              <w:rPr>
                <w:rFonts w:ascii="Calibri" w:cs="Calibri" w:eastAsia="Calibri" w:hAnsi="Calibri"/>
                <w:b/>
                <w:bCs/>
                <w:sz w:val="19"/>
                <w:szCs w:val="19"/>
              </w:rPr>
              <w:t xml:space="preserve">20+ years</w:t>
            </w:r>
          </w:p>
        </w:tc>
        <w:tc>
          <w:tcPr>
            <w:tcW w:type="dxa" w:w="18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22,264</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43.7%</w:t>
            </w:r>
          </w:p>
        </w:tc>
        <w:tc>
          <w:tcPr>
            <w:tcW w:type="dxa" w:w="21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27.5%</w:t>
            </w:r>
          </w:p>
        </w:tc>
      </w:tr>
    </w:tbl>
    <w:p>
      <w:pPr>
        <w:spacing w:after="80"/>
      </w:pPr>
    </w:p>
    <w:p>
      <w:pPr>
        <w:spacing w:after="140" w:line="276"/>
      </w:pPr>
      <w:r>
        <w:rPr>
          <w:rFonts w:ascii="Calibri" w:cs="Calibri" w:eastAsia="Calibri" w:hAnsi="Calibri"/>
          <w:b/>
          <w:bCs/>
          <w:sz w:val="21"/>
          <w:szCs w:val="21"/>
        </w:rPr>
        <w:t xml:space="preserve">Read: </w:t>
      </w:r>
      <w:r>
        <w:rPr>
          <w:rFonts w:ascii="Calibri" w:cs="Calibri" w:eastAsia="Calibri" w:hAnsi="Calibri"/>
          <w:sz w:val="21"/>
          <w:szCs w:val="21"/>
        </w:rPr>
        <w:t xml:space="preserve">the common assumption that high attrition means an onboarding problem is only weakly supported here. Short-service employees do leave at a higher rate, but they account for 9.1% of all departures. Within each job level the tenure spread is 6–9 points, against a 38–43 point spread between levels. Job level, not tenure, is the dominant structure — and an onboarding programme alone would address under a tenth of the problem.</w:t>
      </w:r>
    </w:p>
    <w:p>
      <w:pPr>
        <w:pStyle w:val="Heading2"/>
        <w:spacing w:after="140" w:before="260"/>
      </w:pPr>
      <w:r>
        <w:rPr>
          <w:rFonts w:ascii="Calibri" w:cs="Calibri" w:eastAsia="Calibri" w:hAnsi="Calibri"/>
          <w:b/>
          <w:bCs/>
          <w:color w:val="2E5A88"/>
          <w:sz w:val="24"/>
          <w:szCs w:val="24"/>
        </w:rPr>
        <w:t xml:space="preserve">6.6 The gender gap is real and unexplained</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100"/>
        <w:gridCol w:w="2100"/>
        <w:gridCol w:w="1800"/>
        <w:gridCol w:w="1800"/>
        <w:gridCol w:w="1560"/>
      </w:tblGrid>
      <w:tr>
        <w:trPr>
          <w:tblHeader/>
        </w:trPr>
        <w:tc>
          <w:tcPr>
            <w:tcW w:type="dxa" w:w="21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Job level</w:t>
            </w:r>
          </w:p>
        </w:tc>
        <w:tc>
          <w:tcPr>
            <w:tcW w:type="dxa" w:w="210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Female share of level</w:t>
            </w:r>
          </w:p>
        </w:tc>
        <w:tc>
          <w:tcPr>
            <w:tcW w:type="dxa" w:w="180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Female attrition</w:t>
            </w:r>
          </w:p>
        </w:tc>
        <w:tc>
          <w:tcPr>
            <w:tcW w:type="dxa" w:w="180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Male attrition</w:t>
            </w:r>
          </w:p>
        </w:tc>
        <w:tc>
          <w:tcPr>
            <w:tcW w:type="dxa" w:w="156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Gap</w:t>
            </w:r>
          </w:p>
        </w:tc>
      </w:tr>
      <w:tr>
        <w:tc>
          <w:tcPr>
            <w:tcW w:type="dxa" w:w="2100"/>
            <w:tcMar>
              <w:top w:type="dxa" w:w="60"/>
              <w:left w:type="dxa" w:w="100"/>
              <w:bottom w:type="dxa" w:w="60"/>
              <w:right w:type="dxa" w:w="100"/>
            </w:tcMar>
          </w:tcPr>
          <w:p>
            <w:pPr>
              <w:spacing w:after="0" w:line="250"/>
            </w:pPr>
            <w:r>
              <w:rPr>
                <w:rFonts w:ascii="Calibri" w:cs="Calibri" w:eastAsia="Calibri" w:hAnsi="Calibri"/>
                <w:b/>
                <w:bCs/>
                <w:sz w:val="19"/>
                <w:szCs w:val="19"/>
              </w:rPr>
              <w:t xml:space="preserve">Entry</w:t>
            </w:r>
          </w:p>
        </w:tc>
        <w:tc>
          <w:tcPr>
            <w:tcW w:type="dxa" w:w="21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45.3%</w:t>
            </w:r>
          </w:p>
        </w:tc>
        <w:tc>
          <w:tcPr>
            <w:tcW w:type="dxa" w:w="18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68.7%</w:t>
            </w:r>
          </w:p>
        </w:tc>
        <w:tc>
          <w:tcPr>
            <w:tcW w:type="dxa" w:w="18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58.8%</w:t>
            </w:r>
          </w:p>
        </w:tc>
        <w:tc>
          <w:tcPr>
            <w:tcW w:type="dxa" w:w="15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9.9 pp</w:t>
            </w:r>
          </w:p>
        </w:tc>
      </w:tr>
      <w:tr>
        <w:tc>
          <w:tcPr>
            <w:tcW w:type="dxa" w:w="21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Mid</w:t>
            </w:r>
          </w:p>
        </w:tc>
        <w:tc>
          <w:tcPr>
            <w:tcW w:type="dxa" w:w="21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45.4%</w:t>
            </w:r>
          </w:p>
        </w:tc>
        <w:tc>
          <w:tcPr>
            <w:tcW w:type="dxa" w:w="18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51.2%</w:t>
            </w:r>
          </w:p>
        </w:tc>
        <w:tc>
          <w:tcPr>
            <w:tcW w:type="dxa" w:w="18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40.6%</w:t>
            </w:r>
          </w:p>
        </w:tc>
        <w:tc>
          <w:tcPr>
            <w:tcW w:type="dxa" w:w="15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10.6 pp</w:t>
            </w:r>
          </w:p>
        </w:tc>
      </w:tr>
      <w:tr>
        <w:tc>
          <w:tcPr>
            <w:tcW w:type="dxa" w:w="2100"/>
            <w:tcMar>
              <w:top w:type="dxa" w:w="60"/>
              <w:left w:type="dxa" w:w="100"/>
              <w:bottom w:type="dxa" w:w="60"/>
              <w:right w:type="dxa" w:w="100"/>
            </w:tcMar>
          </w:tcPr>
          <w:p>
            <w:pPr>
              <w:spacing w:after="0" w:line="250"/>
            </w:pPr>
            <w:r>
              <w:rPr>
                <w:rFonts w:ascii="Calibri" w:cs="Calibri" w:eastAsia="Calibri" w:hAnsi="Calibri"/>
                <w:b/>
                <w:bCs/>
                <w:sz w:val="19"/>
                <w:szCs w:val="19"/>
              </w:rPr>
              <w:t xml:space="preserve">Senior</w:t>
            </w:r>
          </w:p>
        </w:tc>
        <w:tc>
          <w:tcPr>
            <w:tcW w:type="dxa" w:w="21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44.7%</w:t>
            </w:r>
          </w:p>
        </w:tc>
        <w:tc>
          <w:tcPr>
            <w:tcW w:type="dxa" w:w="18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25.3%</w:t>
            </w:r>
          </w:p>
        </w:tc>
        <w:tc>
          <w:tcPr>
            <w:tcW w:type="dxa" w:w="18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16.2%</w:t>
            </w:r>
          </w:p>
        </w:tc>
        <w:tc>
          <w:tcPr>
            <w:tcW w:type="dxa" w:w="15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9.1 pp</w:t>
            </w:r>
          </w:p>
        </w:tc>
      </w:tr>
    </w:tbl>
    <w:p>
      <w:pPr>
        <w:spacing w:after="80"/>
      </w:pPr>
    </w:p>
    <w:p>
      <w:pPr>
        <w:spacing w:after="140" w:line="276"/>
      </w:pPr>
      <w:r>
        <w:rPr>
          <w:rFonts w:ascii="Calibri" w:cs="Calibri" w:eastAsia="Calibri" w:hAnsi="Calibri"/>
          <w:sz w:val="21"/>
          <w:szCs w:val="21"/>
        </w:rPr>
        <w:t xml:space="preserve">The standard explanation for a gender gap in attrition is that women are concentrated in more junior roles, where attrition is higher. That explanation fails here: the female share of headcount is essentially identical across all three grades, and women leave more within each one. The gap also survives the full regression in Section 7, which controls simultaneously for grade, pay, function, tenure, working arrangement, overtime, marital status and every engagement measure.</w:t>
      </w:r>
    </w:p>
    <w:p>
      <w:pPr>
        <w:spacing w:after="140" w:line="276"/>
      </w:pPr>
      <w:r>
        <w:rPr>
          <w:rFonts w:ascii="Calibri" w:cs="Calibri" w:eastAsia="Calibri" w:hAnsi="Calibri"/>
          <w:b/>
          <w:bCs/>
          <w:sz w:val="21"/>
          <w:szCs w:val="21"/>
        </w:rPr>
        <w:t xml:space="preserve">Read: </w:t>
      </w:r>
      <w:r>
        <w:rPr>
          <w:rFonts w:ascii="Calibri" w:cs="Calibri" w:eastAsia="Calibri" w:hAnsi="Calibri"/>
          <w:sz w:val="21"/>
          <w:szCs w:val="21"/>
        </w:rPr>
        <w:t xml:space="preserve">the pattern is real in the data and no variable in this file explains it. That is a finding about the limits of the dataset as much as about the workforce. The honest output is a question for HR to investigate qualitatively — not a hypothesis about why women leave, which this data cannot support and which would be speculation presented as analysis.</w:t>
      </w:r>
    </w:p>
    <w:p>
      <w:pPr>
        <w:pStyle w:val="Heading2"/>
        <w:spacing w:after="140" w:before="260"/>
      </w:pPr>
      <w:r>
        <w:rPr>
          <w:rFonts w:ascii="Calibri" w:cs="Calibri" w:eastAsia="Calibri" w:hAnsi="Calibri"/>
          <w:b/>
          <w:bCs/>
          <w:color w:val="2E5A88"/>
          <w:sz w:val="24"/>
          <w:szCs w:val="24"/>
        </w:rPr>
        <w:t xml:space="preserve">6.7 Pay shows no relationship — and that is a data finding</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800"/>
        <w:gridCol w:w="2780"/>
        <w:gridCol w:w="2780"/>
      </w:tblGrid>
      <w:tr>
        <w:trPr>
          <w:tblHeader/>
        </w:trPr>
        <w:tc>
          <w:tcPr>
            <w:tcW w:type="dxa" w:w="38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Income band</w:t>
            </w:r>
          </w:p>
        </w:tc>
        <w:tc>
          <w:tcPr>
            <w:tcW w:type="dxa" w:w="278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Headcount</w:t>
            </w:r>
          </w:p>
        </w:tc>
        <w:tc>
          <w:tcPr>
            <w:tcW w:type="dxa" w:w="278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Attrition rate</w:t>
            </w:r>
          </w:p>
        </w:tc>
      </w:tr>
      <w:tr>
        <w:tc>
          <w:tcPr>
            <w:tcW w:type="dxa" w:w="3800"/>
            <w:tcMar>
              <w:top w:type="dxa" w:w="60"/>
              <w:left w:type="dxa" w:w="100"/>
              <w:bottom w:type="dxa" w:w="60"/>
              <w:right w:type="dxa" w:w="100"/>
            </w:tcMar>
          </w:tcPr>
          <w:p>
            <w:pPr>
              <w:spacing w:after="0" w:line="250"/>
            </w:pPr>
            <w:r>
              <w:rPr>
                <w:rFonts w:ascii="Calibri" w:cs="Calibri" w:eastAsia="Calibri" w:hAnsi="Calibri"/>
                <w:b/>
                <w:bCs/>
                <w:sz w:val="19"/>
                <w:szCs w:val="19"/>
              </w:rPr>
              <w:t xml:space="preserve">Below 4,000</w:t>
            </w:r>
          </w:p>
        </w:tc>
        <w:tc>
          <w:tcPr>
            <w:tcW w:type="dxa" w:w="27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4,397</w:t>
            </w:r>
          </w:p>
        </w:tc>
        <w:tc>
          <w:tcPr>
            <w:tcW w:type="dxa" w:w="27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49.5%</w:t>
            </w:r>
          </w:p>
        </w:tc>
      </w:tr>
      <w:tr>
        <w:tc>
          <w:tcPr>
            <w:tcW w:type="dxa" w:w="38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4,000–5,999</w:t>
            </w:r>
          </w:p>
        </w:tc>
        <w:tc>
          <w:tcPr>
            <w:tcW w:type="dxa" w:w="27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18,756</w:t>
            </w:r>
          </w:p>
        </w:tc>
        <w:tc>
          <w:tcPr>
            <w:tcW w:type="dxa" w:w="27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47.9%</w:t>
            </w:r>
          </w:p>
        </w:tc>
      </w:tr>
      <w:tr>
        <w:tc>
          <w:tcPr>
            <w:tcW w:type="dxa" w:w="3800"/>
            <w:tcMar>
              <w:top w:type="dxa" w:w="60"/>
              <w:left w:type="dxa" w:w="100"/>
              <w:bottom w:type="dxa" w:w="60"/>
              <w:right w:type="dxa" w:w="100"/>
            </w:tcMar>
          </w:tcPr>
          <w:p>
            <w:pPr>
              <w:spacing w:after="0" w:line="250"/>
            </w:pPr>
            <w:r>
              <w:rPr>
                <w:rFonts w:ascii="Calibri" w:cs="Calibri" w:eastAsia="Calibri" w:hAnsi="Calibri"/>
                <w:b/>
                <w:bCs/>
                <w:sz w:val="19"/>
                <w:szCs w:val="19"/>
              </w:rPr>
              <w:t xml:space="preserve">6,000–7,999</w:t>
            </w:r>
          </w:p>
        </w:tc>
        <w:tc>
          <w:tcPr>
            <w:tcW w:type="dxa" w:w="27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21,685</w:t>
            </w:r>
          </w:p>
        </w:tc>
        <w:tc>
          <w:tcPr>
            <w:tcW w:type="dxa" w:w="27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47.1%</w:t>
            </w:r>
          </w:p>
        </w:tc>
      </w:tr>
      <w:tr>
        <w:tc>
          <w:tcPr>
            <w:tcW w:type="dxa" w:w="38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8,000–11,999</w:t>
            </w:r>
          </w:p>
        </w:tc>
        <w:tc>
          <w:tcPr>
            <w:tcW w:type="dxa" w:w="27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28,674</w:t>
            </w:r>
          </w:p>
        </w:tc>
        <w:tc>
          <w:tcPr>
            <w:tcW w:type="dxa" w:w="278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47.2%</w:t>
            </w:r>
          </w:p>
        </w:tc>
      </w:tr>
      <w:tr>
        <w:tc>
          <w:tcPr>
            <w:tcW w:type="dxa" w:w="3800"/>
            <w:tcMar>
              <w:top w:type="dxa" w:w="60"/>
              <w:left w:type="dxa" w:w="100"/>
              <w:bottom w:type="dxa" w:w="60"/>
              <w:right w:type="dxa" w:w="100"/>
            </w:tcMar>
          </w:tcPr>
          <w:p>
            <w:pPr>
              <w:spacing w:after="0" w:line="250"/>
            </w:pPr>
            <w:r>
              <w:rPr>
                <w:rFonts w:ascii="Calibri" w:cs="Calibri" w:eastAsia="Calibri" w:hAnsi="Calibri"/>
                <w:b/>
                <w:bCs/>
                <w:sz w:val="19"/>
                <w:szCs w:val="19"/>
              </w:rPr>
              <w:t xml:space="preserve">12,000 and above</w:t>
            </w:r>
          </w:p>
        </w:tc>
        <w:tc>
          <w:tcPr>
            <w:tcW w:type="dxa" w:w="27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986</w:t>
            </w:r>
          </w:p>
        </w:tc>
        <w:tc>
          <w:tcPr>
            <w:tcW w:type="dxa" w:w="278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45.4%</w:t>
            </w:r>
          </w:p>
        </w:tc>
      </w:tr>
    </w:tbl>
    <w:p>
      <w:pPr>
        <w:spacing w:after="80"/>
      </w:pPr>
    </w:p>
    <w:p>
      <w:pPr>
        <w:spacing w:after="140" w:line="276"/>
      </w:pPr>
      <w:r>
        <w:rPr>
          <w:rFonts w:ascii="Calibri" w:cs="Calibri" w:eastAsia="Calibri" w:hAnsi="Calibri"/>
          <w:sz w:val="21"/>
          <w:szCs w:val="21"/>
        </w:rPr>
        <w:t xml:space="preserve">A four-point spread across a threefold pay range, and in the adjusted model pay is the least significant variable tested (p = 0.79). Average pay for leavers is 7,317 against 7,370 for stayers — a difference of under 1%.</w:t>
      </w:r>
    </w:p>
    <w:p>
      <w:pPr>
        <w:spacing w:after="140" w:line="276"/>
      </w:pPr>
      <w:r>
        <w:rPr>
          <w:rFonts w:ascii="Calibri" w:cs="Calibri" w:eastAsia="Calibri" w:hAnsi="Calibri"/>
          <w:b/>
          <w:bCs/>
          <w:sz w:val="21"/>
          <w:szCs w:val="21"/>
        </w:rPr>
        <w:t xml:space="preserve">Read carefully: </w:t>
      </w:r>
      <w:r>
        <w:rPr>
          <w:rFonts w:ascii="Calibri" w:cs="Calibri" w:eastAsia="Calibri" w:hAnsi="Calibri"/>
          <w:sz w:val="21"/>
          <w:szCs w:val="21"/>
        </w:rPr>
        <w:t xml:space="preserve">this must not be reported to management as 'pay does not affect retention'. Section 4 established that median pay is identical at entry, mid and senior level, which no real pay structure produces. A field that does not vary with seniority cannot be expected to correlate with anything. The defensible conclusion is that the pay data is unusable for this purpose, and the question of whether compensation affects retention here remains open.</w:t>
      </w:r>
    </w:p>
    <w:p>
      <w:pPr>
        <w:pStyle w:val="Heading2"/>
        <w:spacing w:after="140" w:before="260"/>
      </w:pPr>
      <w:r>
        <w:rPr>
          <w:rFonts w:ascii="Calibri" w:cs="Calibri" w:eastAsia="Calibri" w:hAnsi="Calibri"/>
          <w:b/>
          <w:bCs/>
          <w:color w:val="2E5A88"/>
          <w:sz w:val="24"/>
          <w:szCs w:val="24"/>
        </w:rPr>
        <w:t xml:space="preserve">6.8 Where the problem is concentrated</w:t>
      </w:r>
    </w:p>
    <w:p>
      <w:pPr>
        <w:spacing w:after="140" w:line="276"/>
      </w:pPr>
      <w:r>
        <w:rPr>
          <w:rFonts w:ascii="Calibri" w:cs="Calibri" w:eastAsia="Calibri" w:hAnsi="Calibri"/>
          <w:sz w:val="21"/>
          <w:szCs w:val="21"/>
        </w:rPr>
        <w:t xml:space="preserve">Combining the three strongest independent factors produces the segmentation management should act on.</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1500"/>
        <w:gridCol w:w="1600"/>
        <w:gridCol w:w="1700"/>
        <w:gridCol w:w="1500"/>
        <w:gridCol w:w="1500"/>
        <w:gridCol w:w="1560"/>
      </w:tblGrid>
      <w:tr>
        <w:trPr>
          <w:tblHeader/>
        </w:trPr>
        <w:tc>
          <w:tcPr>
            <w:tcW w:type="dxa" w:w="15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Job level</w:t>
            </w:r>
          </w:p>
        </w:tc>
        <w:tc>
          <w:tcPr>
            <w:tcW w:type="dxa" w:w="160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Arrangement</w:t>
            </w:r>
          </w:p>
        </w:tc>
        <w:tc>
          <w:tcPr>
            <w:tcW w:type="dxa" w:w="170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Marital status</w:t>
            </w:r>
          </w:p>
        </w:tc>
        <w:tc>
          <w:tcPr>
            <w:tcW w:type="dxa" w:w="150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Headcount</w:t>
            </w:r>
          </w:p>
        </w:tc>
        <w:tc>
          <w:tcPr>
            <w:tcW w:type="dxa" w:w="150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Attrition</w:t>
            </w:r>
          </w:p>
        </w:tc>
        <w:tc>
          <w:tcPr>
            <w:tcW w:type="dxa" w:w="156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Share of leavers</w:t>
            </w:r>
          </w:p>
        </w:tc>
      </w:tr>
      <w:tr>
        <w:tc>
          <w:tcPr>
            <w:tcW w:type="dxa" w:w="1500"/>
            <w:tcMar>
              <w:top w:type="dxa" w:w="60"/>
              <w:left w:type="dxa" w:w="100"/>
              <w:bottom w:type="dxa" w:w="60"/>
              <w:right w:type="dxa" w:w="100"/>
            </w:tcMar>
          </w:tcPr>
          <w:p>
            <w:pPr>
              <w:spacing w:after="0" w:line="250"/>
            </w:pPr>
            <w:r>
              <w:rPr>
                <w:rFonts w:ascii="Calibri" w:cs="Calibri" w:eastAsia="Calibri" w:hAnsi="Calibri"/>
                <w:b/>
                <w:bCs/>
                <w:sz w:val="19"/>
                <w:szCs w:val="19"/>
              </w:rPr>
              <w:t xml:space="preserve">Entry</w:t>
            </w:r>
          </w:p>
        </w:tc>
        <w:tc>
          <w:tcPr>
            <w:tcW w:type="dxa" w:w="16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On-site</w:t>
            </w:r>
          </w:p>
        </w:tc>
        <w:tc>
          <w:tcPr>
            <w:tcW w:type="dxa" w:w="17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Single</w:t>
            </w:r>
          </w:p>
        </w:tc>
        <w:tc>
          <w:tcPr>
            <w:tcW w:type="dxa" w:w="15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8,507</w:t>
            </w:r>
          </w:p>
        </w:tc>
        <w:tc>
          <w:tcPr>
            <w:tcW w:type="dxa" w:w="1500"/>
            <w:tcMar>
              <w:top w:type="dxa" w:w="60"/>
              <w:left w:type="dxa" w:w="100"/>
              <w:bottom w:type="dxa" w:w="60"/>
              <w:right w:type="dxa" w:w="100"/>
            </w:tcMar>
          </w:tcPr>
          <w:p>
            <w:pPr>
              <w:spacing w:after="0" w:line="250"/>
              <w:jc w:val="center"/>
            </w:pPr>
            <w:r>
              <w:rPr>
                <w:rFonts w:ascii="Calibri" w:cs="Calibri" w:eastAsia="Calibri" w:hAnsi="Calibri"/>
                <w:b/>
                <w:bCs/>
                <w:color w:val="C00000"/>
                <w:sz w:val="19"/>
                <w:szCs w:val="19"/>
              </w:rPr>
              <w:t xml:space="preserve">87.5%</w:t>
            </w:r>
          </w:p>
        </w:tc>
        <w:tc>
          <w:tcPr>
            <w:tcW w:type="dxa" w:w="1560"/>
            <w:tcMar>
              <w:top w:type="dxa" w:w="60"/>
              <w:left w:type="dxa" w:w="100"/>
              <w:bottom w:type="dxa" w:w="60"/>
              <w:right w:type="dxa" w:w="100"/>
            </w:tcMar>
          </w:tcPr>
          <w:p>
            <w:pPr>
              <w:spacing w:after="0" w:line="250"/>
              <w:jc w:val="center"/>
            </w:pPr>
            <w:r>
              <w:rPr>
                <w:rFonts w:ascii="Calibri" w:cs="Calibri" w:eastAsia="Calibri" w:hAnsi="Calibri"/>
                <w:b/>
                <w:bCs/>
                <w:color w:val="C00000"/>
                <w:sz w:val="19"/>
                <w:szCs w:val="19"/>
              </w:rPr>
              <w:t xml:space="preserve">21.0%</w:t>
            </w:r>
          </w:p>
        </w:tc>
      </w:tr>
      <w:tr>
        <w:tc>
          <w:tcPr>
            <w:tcW w:type="dxa" w:w="15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Mid</w:t>
            </w:r>
          </w:p>
        </w:tc>
        <w:tc>
          <w:tcPr>
            <w:tcW w:type="dxa" w:w="16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On-site</w:t>
            </w:r>
          </w:p>
        </w:tc>
        <w:tc>
          <w:tcPr>
            <w:tcW w:type="dxa" w:w="17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Single</w:t>
            </w:r>
          </w:p>
        </w:tc>
        <w:tc>
          <w:tcPr>
            <w:tcW w:type="dxa" w:w="15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8,323</w:t>
            </w:r>
          </w:p>
        </w:tc>
        <w:tc>
          <w:tcPr>
            <w:tcW w:type="dxa" w:w="15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72.2%</w:t>
            </w:r>
          </w:p>
        </w:tc>
        <w:tc>
          <w:tcPr>
            <w:tcW w:type="dxa" w:w="15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17.0%</w:t>
            </w:r>
          </w:p>
        </w:tc>
      </w:tr>
      <w:tr>
        <w:tc>
          <w:tcPr>
            <w:tcW w:type="dxa" w:w="1500"/>
            <w:tcMar>
              <w:top w:type="dxa" w:w="60"/>
              <w:left w:type="dxa" w:w="100"/>
              <w:bottom w:type="dxa" w:w="60"/>
              <w:right w:type="dxa" w:w="100"/>
            </w:tcMar>
          </w:tcPr>
          <w:p>
            <w:pPr>
              <w:spacing w:after="0" w:line="250"/>
            </w:pPr>
            <w:r>
              <w:rPr>
                <w:rFonts w:ascii="Calibri" w:cs="Calibri" w:eastAsia="Calibri" w:hAnsi="Calibri"/>
                <w:b/>
                <w:bCs/>
                <w:sz w:val="19"/>
                <w:szCs w:val="19"/>
              </w:rPr>
              <w:t xml:space="preserve">Entry</w:t>
            </w:r>
          </w:p>
        </w:tc>
        <w:tc>
          <w:tcPr>
            <w:tcW w:type="dxa" w:w="16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On-site</w:t>
            </w:r>
          </w:p>
        </w:tc>
        <w:tc>
          <w:tcPr>
            <w:tcW w:type="dxa" w:w="17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Divorced</w:t>
            </w:r>
          </w:p>
        </w:tc>
        <w:tc>
          <w:tcPr>
            <w:tcW w:type="dxa" w:w="15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3,557</w:t>
            </w:r>
          </w:p>
        </w:tc>
        <w:tc>
          <w:tcPr>
            <w:tcW w:type="dxa" w:w="15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64.1%</w:t>
            </w:r>
          </w:p>
        </w:tc>
        <w:tc>
          <w:tcPr>
            <w:tcW w:type="dxa" w:w="15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6.4%</w:t>
            </w:r>
          </w:p>
        </w:tc>
      </w:tr>
      <w:tr>
        <w:tc>
          <w:tcPr>
            <w:tcW w:type="dxa" w:w="15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Entry</w:t>
            </w:r>
          </w:p>
        </w:tc>
        <w:tc>
          <w:tcPr>
            <w:tcW w:type="dxa" w:w="16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Remote</w:t>
            </w:r>
          </w:p>
        </w:tc>
        <w:tc>
          <w:tcPr>
            <w:tcW w:type="dxa" w:w="17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Single</w:t>
            </w:r>
          </w:p>
        </w:tc>
        <w:tc>
          <w:tcPr>
            <w:tcW w:type="dxa" w:w="15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1,965</w:t>
            </w:r>
          </w:p>
        </w:tc>
        <w:tc>
          <w:tcPr>
            <w:tcW w:type="dxa" w:w="15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58.5%</w:t>
            </w:r>
          </w:p>
        </w:tc>
        <w:tc>
          <w:tcPr>
            <w:tcW w:type="dxa" w:w="15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3.3%</w:t>
            </w:r>
          </w:p>
        </w:tc>
      </w:tr>
      <w:tr>
        <w:tc>
          <w:tcPr>
            <w:tcW w:type="dxa" w:w="1500"/>
            <w:tcMar>
              <w:top w:type="dxa" w:w="60"/>
              <w:left w:type="dxa" w:w="100"/>
              <w:bottom w:type="dxa" w:w="60"/>
              <w:right w:type="dxa" w:w="100"/>
            </w:tcMar>
          </w:tcPr>
          <w:p>
            <w:pPr>
              <w:spacing w:after="0" w:line="250"/>
            </w:pPr>
            <w:r>
              <w:rPr>
                <w:rFonts w:ascii="Calibri" w:cs="Calibri" w:eastAsia="Calibri" w:hAnsi="Calibri"/>
                <w:b/>
                <w:bCs/>
                <w:sz w:val="19"/>
                <w:szCs w:val="19"/>
              </w:rPr>
              <w:t xml:space="preserve">Entry</w:t>
            </w:r>
          </w:p>
        </w:tc>
        <w:tc>
          <w:tcPr>
            <w:tcW w:type="dxa" w:w="16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On-site</w:t>
            </w:r>
          </w:p>
        </w:tc>
        <w:tc>
          <w:tcPr>
            <w:tcW w:type="dxa" w:w="17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Married</w:t>
            </w:r>
          </w:p>
        </w:tc>
        <w:tc>
          <w:tcPr>
            <w:tcW w:type="dxa" w:w="15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12,118</w:t>
            </w:r>
          </w:p>
        </w:tc>
        <w:tc>
          <w:tcPr>
            <w:tcW w:type="dxa" w:w="15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58.1%</w:t>
            </w:r>
          </w:p>
        </w:tc>
        <w:tc>
          <w:tcPr>
            <w:tcW w:type="dxa" w:w="15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19.9%</w:t>
            </w:r>
          </w:p>
        </w:tc>
      </w:tr>
      <w:tr>
        <w:tc>
          <w:tcPr>
            <w:tcW w:type="dxa" w:w="15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Senior</w:t>
            </w:r>
          </w:p>
        </w:tc>
        <w:tc>
          <w:tcPr>
            <w:tcW w:type="dxa" w:w="16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Remote</w:t>
            </w:r>
          </w:p>
        </w:tc>
        <w:tc>
          <w:tcPr>
            <w:tcW w:type="dxa" w:w="17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Married</w:t>
            </w:r>
          </w:p>
        </w:tc>
        <w:tc>
          <w:tcPr>
            <w:tcW w:type="dxa" w:w="15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1,482</w:t>
            </w:r>
          </w:p>
        </w:tc>
        <w:tc>
          <w:tcPr>
            <w:tcW w:type="dxa" w:w="1500"/>
            <w:shd w:fill="F2F2F2" w:color="auto" w:val="clear"/>
            <w:tcMar>
              <w:top w:type="dxa" w:w="60"/>
              <w:left w:type="dxa" w:w="100"/>
              <w:bottom w:type="dxa" w:w="60"/>
              <w:right w:type="dxa" w:w="100"/>
            </w:tcMar>
          </w:tcPr>
          <w:p>
            <w:pPr>
              <w:spacing w:after="0" w:line="250"/>
              <w:jc w:val="center"/>
            </w:pPr>
            <w:r>
              <w:rPr>
                <w:rFonts w:ascii="Calibri" w:cs="Calibri" w:eastAsia="Calibri" w:hAnsi="Calibri"/>
                <w:b/>
                <w:bCs/>
                <w:color w:val="2E7D32"/>
                <w:sz w:val="19"/>
                <w:szCs w:val="19"/>
              </w:rPr>
              <w:t xml:space="preserve">0.8%</w:t>
            </w:r>
          </w:p>
        </w:tc>
        <w:tc>
          <w:tcPr>
            <w:tcW w:type="dxa" w:w="1560"/>
            <w:shd w:fill="F2F2F2" w:color="auto" w:val="clear"/>
            <w:tcMar>
              <w:top w:type="dxa" w:w="60"/>
              <w:left w:type="dxa" w:w="100"/>
              <w:bottom w:type="dxa" w:w="60"/>
              <w:right w:type="dxa" w:w="100"/>
            </w:tcMar>
          </w:tcPr>
          <w:p>
            <w:pPr>
              <w:spacing w:after="0" w:line="250"/>
              <w:jc w:val="center"/>
            </w:pPr>
            <w:r>
              <w:rPr>
                <w:rFonts w:ascii="Calibri" w:cs="Calibri" w:eastAsia="Calibri" w:hAnsi="Calibri"/>
                <w:b/>
                <w:bCs/>
                <w:color w:val="2E7D32"/>
                <w:sz w:val="19"/>
                <w:szCs w:val="19"/>
              </w:rPr>
              <w:t xml:space="preserve">0.0%</w:t>
            </w:r>
          </w:p>
        </w:tc>
      </w:tr>
    </w:tbl>
    <w:p>
      <w:pPr>
        <w:spacing w:after="80"/>
      </w:pPr>
    </w:p>
    <w:p>
      <w:pPr>
        <w:spacing w:after="140" w:line="276"/>
      </w:pPr>
      <w:r>
        <w:rPr>
          <w:rFonts w:ascii="Calibri" w:cs="Calibri" w:eastAsia="Calibri" w:hAnsi="Calibri"/>
          <w:b/>
          <w:bCs/>
          <w:sz w:val="21"/>
          <w:szCs w:val="21"/>
        </w:rPr>
        <w:t xml:space="preserve">Read: </w:t>
      </w:r>
      <w:r>
        <w:rPr>
          <w:rFonts w:ascii="Calibri" w:cs="Calibri" w:eastAsia="Calibri" w:hAnsi="Calibri"/>
          <w:sz w:val="21"/>
          <w:szCs w:val="21"/>
        </w:rPr>
        <w:t xml:space="preserve">the three highest-risk segments hold 27.4% of the workforce and account for 44.5% of all recorded departures. The lowest-risk segment — senior, remote, married — loses effectively nobody. This spread is the case for a targeted programme: management can reach almost half the attrition problem while addressing just over a quarter of the organisation.</w:t>
      </w:r>
    </w:p>
    <w:p>
      <w:r>
        <w:br w:type="page"/>
      </w:r>
    </w:p>
    <w:p>
      <w:pPr>
        <w:pStyle w:val="Heading1"/>
        <w:spacing w:after="140" w:before="340"/>
      </w:pPr>
      <w:r>
        <w:rPr>
          <w:rFonts w:ascii="Calibri" w:cs="Calibri" w:eastAsia="Calibri" w:hAnsi="Calibri"/>
          <w:b/>
          <w:bCs/>
          <w:color w:val="1F3864"/>
          <w:sz w:val="30"/>
          <w:szCs w:val="30"/>
        </w:rPr>
        <w:t xml:space="preserve">7. Factors: What Survives When Everything Is Controlled</w:t>
      </w:r>
    </w:p>
    <w:p>
      <w:pPr>
        <w:spacing w:after="140" w:line="276"/>
      </w:pPr>
      <w:r>
        <w:rPr>
          <w:rFonts w:ascii="Calibri" w:cs="Calibri" w:eastAsia="Calibri" w:hAnsi="Calibri"/>
          <w:sz w:val="21"/>
          <w:szCs w:val="21"/>
        </w:rPr>
        <w:t xml:space="preserve">Section 6 reports differences one variable at a time. In a real workforce these variables move together — junior staff are more often single, less often remote, less often promoted — so a raw difference can be produced entirely by a third variable. A logistic regression entering all factors simultaneously separates them.</w:t>
      </w:r>
    </w:p>
    <w:p>
      <w:pPr>
        <w:spacing w:after="140" w:line="276"/>
      </w:pPr>
      <w:r>
        <w:rPr>
          <w:rFonts w:ascii="Calibri" w:cs="Calibri" w:eastAsia="Calibri" w:hAnsi="Calibri"/>
          <w:i/>
          <w:iCs/>
          <w:sz w:val="21"/>
          <w:szCs w:val="21"/>
        </w:rPr>
        <w:t xml:space="preserve">The model uses 72,601 complete records and achieves a pseudo R-squared of 0.289. Odds ratios above 1 indicate higher odds of leaving than the reference group; below 1, lower.</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400"/>
        <w:gridCol w:w="1900"/>
        <w:gridCol w:w="4060"/>
      </w:tblGrid>
      <w:tr>
        <w:trPr>
          <w:tblHeader/>
        </w:trPr>
        <w:tc>
          <w:tcPr>
            <w:tcW w:type="dxa" w:w="34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Factor (vs reference)</w:t>
            </w:r>
          </w:p>
        </w:tc>
        <w:tc>
          <w:tcPr>
            <w:tcW w:type="dxa" w:w="190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Adjusted odds ratio</w:t>
            </w:r>
          </w:p>
        </w:tc>
        <w:tc>
          <w:tcPr>
            <w:tcW w:type="dxa" w:w="406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What it means</w:t>
            </w:r>
          </w:p>
        </w:tc>
      </w:tr>
      <w:tr>
        <w:tc>
          <w:tcPr>
            <w:tcW w:type="dxa" w:w="3400"/>
            <w:tcMar>
              <w:top w:type="dxa" w:w="60"/>
              <w:left w:type="dxa" w:w="100"/>
              <w:bottom w:type="dxa" w:w="60"/>
              <w:right w:type="dxa" w:w="100"/>
            </w:tcMar>
          </w:tcPr>
          <w:p>
            <w:pPr>
              <w:spacing w:after="0" w:line="250"/>
            </w:pPr>
            <w:r>
              <w:rPr>
                <w:rFonts w:ascii="Calibri" w:cs="Calibri" w:eastAsia="Calibri" w:hAnsi="Calibri"/>
                <w:b/>
                <w:bCs/>
                <w:sz w:val="19"/>
                <w:szCs w:val="19"/>
              </w:rPr>
              <w:t xml:space="preserve">Single (vs divorced)</w:t>
            </w:r>
          </w:p>
        </w:tc>
        <w:tc>
          <w:tcPr>
            <w:tcW w:type="dxa" w:w="1900"/>
            <w:tcMar>
              <w:top w:type="dxa" w:w="60"/>
              <w:left w:type="dxa" w:w="100"/>
              <w:bottom w:type="dxa" w:w="60"/>
              <w:right w:type="dxa" w:w="100"/>
            </w:tcMar>
          </w:tcPr>
          <w:p>
            <w:pPr>
              <w:spacing w:after="0" w:line="250"/>
              <w:jc w:val="center"/>
            </w:pPr>
            <w:r>
              <w:rPr>
                <w:rFonts w:ascii="Calibri" w:cs="Calibri" w:eastAsia="Calibri" w:hAnsi="Calibri"/>
                <w:b/>
                <w:bCs/>
                <w:color w:val="C00000"/>
                <w:sz w:val="19"/>
                <w:szCs w:val="19"/>
              </w:rPr>
              <w:t xml:space="preserve">4.68</w:t>
            </w:r>
          </w:p>
        </w:tc>
        <w:tc>
          <w:tcPr>
            <w:tcW w:type="dxa" w:w="40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Nearly five times the odds of leaving, holding grade, pay, tenure and arrangement constant</w:t>
            </w:r>
          </w:p>
        </w:tc>
      </w:tr>
      <w:tr>
        <w:tc>
          <w:tcPr>
            <w:tcW w:type="dxa" w:w="3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Poor work-life balance (vs excellent)</w:t>
            </w:r>
          </w:p>
        </w:tc>
        <w:tc>
          <w:tcPr>
            <w:tcW w:type="dxa" w:w="1900"/>
            <w:shd w:fill="F2F2F2" w:color="auto" w:val="clear"/>
            <w:tcMar>
              <w:top w:type="dxa" w:w="60"/>
              <w:left w:type="dxa" w:w="100"/>
              <w:bottom w:type="dxa" w:w="60"/>
              <w:right w:type="dxa" w:w="100"/>
            </w:tcMar>
          </w:tcPr>
          <w:p>
            <w:pPr>
              <w:spacing w:after="0" w:line="250"/>
              <w:jc w:val="center"/>
            </w:pPr>
            <w:r>
              <w:rPr>
                <w:rFonts w:ascii="Calibri" w:cs="Calibri" w:eastAsia="Calibri" w:hAnsi="Calibri"/>
                <w:b/>
                <w:bCs/>
                <w:color w:val="C00000"/>
                <w:sz w:val="19"/>
                <w:szCs w:val="19"/>
              </w:rPr>
              <w:t xml:space="preserve">4.43</w:t>
            </w:r>
          </w:p>
        </w:tc>
        <w:tc>
          <w:tcPr>
            <w:tcW w:type="dxa" w:w="40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The strongest factor HR can actually change</w:t>
            </w:r>
          </w:p>
        </w:tc>
      </w:tr>
      <w:tr>
        <w:tc>
          <w:tcPr>
            <w:tcW w:type="dxa" w:w="3400"/>
            <w:tcMar>
              <w:top w:type="dxa" w:w="60"/>
              <w:left w:type="dxa" w:w="100"/>
              <w:bottom w:type="dxa" w:w="60"/>
              <w:right w:type="dxa" w:w="100"/>
            </w:tcMar>
          </w:tcPr>
          <w:p>
            <w:pPr>
              <w:spacing w:after="0" w:line="250"/>
            </w:pPr>
            <w:r>
              <w:rPr>
                <w:rFonts w:ascii="Calibri" w:cs="Calibri" w:eastAsia="Calibri" w:hAnsi="Calibri"/>
                <w:b/>
                <w:bCs/>
                <w:sz w:val="19"/>
                <w:szCs w:val="19"/>
              </w:rPr>
              <w:t xml:space="preserve">Fair work-life balance (vs excellent)</w:t>
            </w:r>
          </w:p>
        </w:tc>
        <w:tc>
          <w:tcPr>
            <w:tcW w:type="dxa" w:w="1900"/>
            <w:tcMar>
              <w:top w:type="dxa" w:w="60"/>
              <w:left w:type="dxa" w:w="100"/>
              <w:bottom w:type="dxa" w:w="60"/>
              <w:right w:type="dxa" w:w="100"/>
            </w:tcMar>
          </w:tcPr>
          <w:p>
            <w:pPr>
              <w:spacing w:after="0" w:line="250"/>
              <w:jc w:val="center"/>
            </w:pPr>
            <w:r>
              <w:rPr>
                <w:rFonts w:ascii="Calibri" w:cs="Calibri" w:eastAsia="Calibri" w:hAnsi="Calibri"/>
                <w:b/>
                <w:bCs/>
                <w:color w:val="C00000"/>
                <w:sz w:val="19"/>
                <w:szCs w:val="19"/>
              </w:rPr>
              <w:t xml:space="preserve">3.65</w:t>
            </w:r>
          </w:p>
        </w:tc>
        <w:tc>
          <w:tcPr>
            <w:tcW w:type="dxa" w:w="40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'Fair' sits far closer to 'Poor' than to 'Good'</w:t>
            </w:r>
          </w:p>
        </w:tc>
      </w:tr>
      <w:tr>
        <w:tc>
          <w:tcPr>
            <w:tcW w:type="dxa" w:w="3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Poor company reputation (vs excellent)</w:t>
            </w:r>
          </w:p>
        </w:tc>
        <w:tc>
          <w:tcPr>
            <w:tcW w:type="dxa" w:w="1900"/>
            <w:shd w:fill="F2F2F2" w:color="auto" w:val="clear"/>
            <w:tcMar>
              <w:top w:type="dxa" w:w="60"/>
              <w:left w:type="dxa" w:w="100"/>
              <w:bottom w:type="dxa" w:w="60"/>
              <w:right w:type="dxa" w:w="100"/>
            </w:tcMar>
          </w:tcPr>
          <w:p>
            <w:pPr>
              <w:spacing w:after="0" w:line="250"/>
              <w:jc w:val="center"/>
            </w:pPr>
            <w:r>
              <w:rPr>
                <w:rFonts w:ascii="Calibri" w:cs="Calibri" w:eastAsia="Calibri" w:hAnsi="Calibri"/>
                <w:b/>
                <w:bCs/>
                <w:color w:val="C00000"/>
                <w:sz w:val="19"/>
                <w:szCs w:val="19"/>
              </w:rPr>
              <w:t xml:space="preserve">2.09</w:t>
            </w:r>
          </w:p>
        </w:tc>
        <w:tc>
          <w:tcPr>
            <w:tcW w:type="dxa" w:w="40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A plausible leading indicator, cheap to monitor</w:t>
            </w:r>
          </w:p>
        </w:tc>
      </w:tr>
      <w:tr>
        <w:tc>
          <w:tcPr>
            <w:tcW w:type="dxa" w:w="3400"/>
            <w:tcMar>
              <w:top w:type="dxa" w:w="60"/>
              <w:left w:type="dxa" w:w="100"/>
              <w:bottom w:type="dxa" w:w="60"/>
              <w:right w:type="dxa" w:w="100"/>
            </w:tcMar>
          </w:tcPr>
          <w:p>
            <w:pPr>
              <w:spacing w:after="0" w:line="250"/>
            </w:pPr>
            <w:r>
              <w:rPr>
                <w:rFonts w:ascii="Calibri" w:cs="Calibri" w:eastAsia="Calibri" w:hAnsi="Calibri"/>
                <w:b/>
                <w:bCs/>
                <w:sz w:val="19"/>
                <w:szCs w:val="19"/>
              </w:rPr>
              <w:t xml:space="preserve">Low performance rating (vs average)</w:t>
            </w:r>
          </w:p>
        </w:tc>
        <w:tc>
          <w:tcPr>
            <w:tcW w:type="dxa" w:w="19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1.80</w:t>
            </w:r>
          </w:p>
        </w:tc>
        <w:tc>
          <w:tcPr>
            <w:tcW w:type="dxa" w:w="40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Some of this attrition may be desirable</w:t>
            </w:r>
          </w:p>
        </w:tc>
      </w:tr>
      <w:tr>
        <w:tc>
          <w:tcPr>
            <w:tcW w:type="dxa" w:w="3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Overtime (vs none)</w:t>
            </w:r>
          </w:p>
        </w:tc>
        <w:tc>
          <w:tcPr>
            <w:tcW w:type="dxa" w:w="19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1.42</w:t>
            </w:r>
          </w:p>
        </w:tc>
        <w:tc>
          <w:tcPr>
            <w:tcW w:type="dxa" w:w="40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Independent of reported work-life balance</w:t>
            </w:r>
          </w:p>
        </w:tc>
      </w:tr>
      <w:tr>
        <w:tc>
          <w:tcPr>
            <w:tcW w:type="dxa" w:w="3400"/>
            <w:tcMar>
              <w:top w:type="dxa" w:w="60"/>
              <w:left w:type="dxa" w:w="100"/>
              <w:bottom w:type="dxa" w:w="60"/>
              <w:right w:type="dxa" w:w="100"/>
            </w:tcMar>
          </w:tcPr>
          <w:p>
            <w:pPr>
              <w:spacing w:after="0" w:line="250"/>
            </w:pPr>
            <w:r>
              <w:rPr>
                <w:rFonts w:ascii="Calibri" w:cs="Calibri" w:eastAsia="Calibri" w:hAnsi="Calibri"/>
                <w:b/>
                <w:bCs/>
                <w:sz w:val="19"/>
                <w:szCs w:val="19"/>
              </w:rPr>
              <w:t xml:space="preserve">Male (vs female)</w:t>
            </w:r>
          </w:p>
        </w:tc>
        <w:tc>
          <w:tcPr>
            <w:tcW w:type="dxa" w:w="19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0.55</w:t>
            </w:r>
          </w:p>
        </w:tc>
        <w:tc>
          <w:tcPr>
            <w:tcW w:type="dxa" w:w="40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Men have roughly half the odds — unexplained by any control</w:t>
            </w:r>
          </w:p>
        </w:tc>
      </w:tr>
      <w:tr>
        <w:tc>
          <w:tcPr>
            <w:tcW w:type="dxa" w:w="3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PhD (vs associate degree)</w:t>
            </w:r>
          </w:p>
        </w:tc>
        <w:tc>
          <w:tcPr>
            <w:tcW w:type="dxa" w:w="19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0.21</w:t>
            </w:r>
          </w:p>
        </w:tc>
        <w:tc>
          <w:tcPr>
            <w:tcW w:type="dxa" w:w="40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Small base (3,817); likely role concentration</w:t>
            </w:r>
          </w:p>
        </w:tc>
      </w:tr>
      <w:tr>
        <w:tc>
          <w:tcPr>
            <w:tcW w:type="dxa" w:w="3400"/>
            <w:tcMar>
              <w:top w:type="dxa" w:w="60"/>
              <w:left w:type="dxa" w:w="100"/>
              <w:bottom w:type="dxa" w:w="60"/>
              <w:right w:type="dxa" w:w="100"/>
            </w:tcMar>
          </w:tcPr>
          <w:p>
            <w:pPr>
              <w:spacing w:after="0" w:line="250"/>
            </w:pPr>
            <w:r>
              <w:rPr>
                <w:rFonts w:ascii="Calibri" w:cs="Calibri" w:eastAsia="Calibri" w:hAnsi="Calibri"/>
                <w:b/>
                <w:bCs/>
                <w:sz w:val="19"/>
                <w:szCs w:val="19"/>
              </w:rPr>
              <w:t xml:space="preserve">Remote (vs on-site)</w:t>
            </w:r>
          </w:p>
        </w:tc>
        <w:tc>
          <w:tcPr>
            <w:tcW w:type="dxa" w:w="1900"/>
            <w:tcMar>
              <w:top w:type="dxa" w:w="60"/>
              <w:left w:type="dxa" w:w="100"/>
              <w:bottom w:type="dxa" w:w="60"/>
              <w:right w:type="dxa" w:w="100"/>
            </w:tcMar>
          </w:tcPr>
          <w:p>
            <w:pPr>
              <w:spacing w:after="0" w:line="250"/>
              <w:jc w:val="center"/>
            </w:pPr>
            <w:r>
              <w:rPr>
                <w:rFonts w:ascii="Calibri" w:cs="Calibri" w:eastAsia="Calibri" w:hAnsi="Calibri"/>
                <w:b/>
                <w:bCs/>
                <w:color w:val="2E7D32"/>
                <w:sz w:val="19"/>
                <w:szCs w:val="19"/>
              </w:rPr>
              <w:t xml:space="preserve">0.17</w:t>
            </w:r>
          </w:p>
        </w:tc>
        <w:tc>
          <w:tcPr>
            <w:tcW w:type="dxa" w:w="40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On-site carries about six times the odds</w:t>
            </w:r>
          </w:p>
        </w:tc>
      </w:tr>
      <w:tr>
        <w:tc>
          <w:tcPr>
            <w:tcW w:type="dxa" w:w="3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Senior (vs entry)</w:t>
            </w:r>
          </w:p>
        </w:tc>
        <w:tc>
          <w:tcPr>
            <w:tcW w:type="dxa" w:w="1900"/>
            <w:shd w:fill="F2F2F2" w:color="auto" w:val="clear"/>
            <w:tcMar>
              <w:top w:type="dxa" w:w="60"/>
              <w:left w:type="dxa" w:w="100"/>
              <w:bottom w:type="dxa" w:w="60"/>
              <w:right w:type="dxa" w:w="100"/>
            </w:tcMar>
          </w:tcPr>
          <w:p>
            <w:pPr>
              <w:spacing w:after="0" w:line="250"/>
              <w:jc w:val="center"/>
            </w:pPr>
            <w:r>
              <w:rPr>
                <w:rFonts w:ascii="Calibri" w:cs="Calibri" w:eastAsia="Calibri" w:hAnsi="Calibri"/>
                <w:b/>
                <w:bCs/>
                <w:color w:val="2E7D32"/>
                <w:sz w:val="19"/>
                <w:szCs w:val="19"/>
              </w:rPr>
              <w:t xml:space="preserve">0.08</w:t>
            </w:r>
          </w:p>
        </w:tc>
        <w:tc>
          <w:tcPr>
            <w:tcW w:type="dxa" w:w="40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A 93% reduction — the dominant structural factor</w:t>
            </w:r>
          </w:p>
        </w:tc>
      </w:tr>
      <w:tr>
        <w:tc>
          <w:tcPr>
            <w:tcW w:type="dxa" w:w="3400"/>
            <w:tcMar>
              <w:top w:type="dxa" w:w="60"/>
              <w:left w:type="dxa" w:w="100"/>
              <w:bottom w:type="dxa" w:w="60"/>
              <w:right w:type="dxa" w:w="100"/>
            </w:tcMar>
          </w:tcPr>
          <w:p>
            <w:pPr>
              <w:spacing w:after="0" w:line="250"/>
            </w:pPr>
            <w:r>
              <w:rPr>
                <w:rFonts w:ascii="Calibri" w:cs="Calibri" w:eastAsia="Calibri" w:hAnsi="Calibri"/>
                <w:b/>
                <w:bCs/>
                <w:sz w:val="19"/>
                <w:szCs w:val="19"/>
              </w:rPr>
              <w:t xml:space="preserve">Monthly income (per 1,000)</w:t>
            </w:r>
          </w:p>
        </w:tc>
        <w:tc>
          <w:tcPr>
            <w:tcW w:type="dxa" w:w="19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1.00  (p = 0.79)</w:t>
            </w:r>
          </w:p>
        </w:tc>
        <w:tc>
          <w:tcPr>
            <w:tcW w:type="dxa" w:w="40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No detectable relationship — see §6.7</w:t>
            </w:r>
          </w:p>
        </w:tc>
      </w:tr>
    </w:tbl>
    <w:p>
      <w:pPr>
        <w:pStyle w:val="Heading2"/>
        <w:spacing w:after="140" w:before="260"/>
      </w:pPr>
      <w:r>
        <w:rPr>
          <w:rFonts w:ascii="Calibri" w:cs="Calibri" w:eastAsia="Calibri" w:hAnsi="Calibri"/>
          <w:b/>
          <w:bCs/>
          <w:color w:val="2E5A88"/>
          <w:sz w:val="24"/>
          <w:szCs w:val="24"/>
        </w:rPr>
        <w:t xml:space="preserve">7.1 What the model changes</w:t>
      </w:r>
    </w:p>
    <w:p>
      <w:pPr>
        <w:pStyle w:val="ListParagraph"/>
        <w:numPr>
          <w:ilvl w:val="0"/>
          <w:numId w:val="2"/>
        </w:numPr>
        <w:spacing w:after="90" w:line="276"/>
      </w:pPr>
      <w:r>
        <w:rPr>
          <w:rFonts w:ascii="Calibri" w:cs="Calibri" w:eastAsia="Calibri" w:hAnsi="Calibri"/>
          <w:sz w:val="21"/>
          <w:szCs w:val="21"/>
        </w:rPr>
        <w:t xml:space="preserve">The work-life balance threshold sits between 'Fair' and 'Good', not at the bottom of the scale. Treating 'Fair' as an acceptable score means ignoring the larger half of the affected population — 44.2% of the workforce reports Poor or Fair.</w:t>
      </w:r>
    </w:p>
    <w:p>
      <w:pPr>
        <w:pStyle w:val="ListParagraph"/>
        <w:numPr>
          <w:ilvl w:val="0"/>
          <w:numId w:val="2"/>
        </w:numPr>
        <w:spacing w:after="90" w:line="276"/>
      </w:pPr>
      <w:r>
        <w:rPr>
          <w:rFonts w:ascii="Calibri" w:cs="Calibri" w:eastAsia="Calibri" w:hAnsi="Calibri"/>
          <w:sz w:val="21"/>
          <w:szCs w:val="21"/>
        </w:rPr>
        <w:t xml:space="preserve">Overtime carries an independent 42% increase in odds even after work-life balance is controlled, so it is not merely acting through perceived balance.</w:t>
      </w:r>
    </w:p>
    <w:p>
      <w:pPr>
        <w:pStyle w:val="ListParagraph"/>
        <w:numPr>
          <w:ilvl w:val="0"/>
          <w:numId w:val="2"/>
        </w:numPr>
        <w:spacing w:after="90" w:line="276"/>
      </w:pPr>
      <w:r>
        <w:rPr>
          <w:rFonts w:ascii="Calibri" w:cs="Calibri" w:eastAsia="Calibri" w:hAnsi="Calibri"/>
          <w:sz w:val="21"/>
          <w:szCs w:val="21"/>
        </w:rPr>
        <w:t xml:space="preserve">The gender gap survives every control. Section 6.6 stands.</w:t>
      </w:r>
    </w:p>
    <w:p>
      <w:pPr>
        <w:pStyle w:val="ListParagraph"/>
        <w:numPr>
          <w:ilvl w:val="0"/>
          <w:numId w:val="2"/>
        </w:numPr>
        <w:spacing w:after="90" w:line="276"/>
      </w:pPr>
      <w:r>
        <w:rPr>
          <w:rFonts w:ascii="Calibri" w:cs="Calibri" w:eastAsia="Calibri" w:hAnsi="Calibri"/>
          <w:sz w:val="21"/>
          <w:szCs w:val="21"/>
        </w:rPr>
        <w:t xml:space="preserve">Age and tenure become weak once grade is controlled — each additional year of age lowers the odds by 0.6%, each year of service by 1.4%. What looked like a tenure effect in the raw data is largely a grade effect.</w:t>
      </w:r>
    </w:p>
    <w:p>
      <w:pPr>
        <w:pStyle w:val="ListParagraph"/>
        <w:numPr>
          <w:ilvl w:val="0"/>
          <w:numId w:val="2"/>
        </w:numPr>
        <w:spacing w:after="90" w:line="276"/>
      </w:pPr>
      <w:r>
        <w:rPr>
          <w:rFonts w:ascii="Calibri" w:cs="Calibri" w:eastAsia="Calibri" w:hAnsi="Calibri"/>
          <w:sz w:val="21"/>
          <w:szCs w:val="21"/>
        </w:rPr>
        <w:t xml:space="preserve">Department remains negligible in the adjusted model, confirming Section 6.1.</w:t>
      </w:r>
    </w:p>
    <w:p>
      <w:pPr>
        <w:pStyle w:val="Heading2"/>
        <w:spacing w:after="140" w:before="260"/>
      </w:pPr>
      <w:r>
        <w:rPr>
          <w:rFonts w:ascii="Calibri" w:cs="Calibri" w:eastAsia="Calibri" w:hAnsi="Calibri"/>
          <w:b/>
          <w:bCs/>
          <w:color w:val="2E5A88"/>
          <w:sz w:val="24"/>
          <w:szCs w:val="24"/>
        </w:rPr>
        <w:t xml:space="preserve">7.2 What the model cannot do</w:t>
      </w:r>
    </w:p>
    <w:p>
      <w:pPr>
        <w:pStyle w:val="ListParagraph"/>
        <w:numPr>
          <w:ilvl w:val="0"/>
          <w:numId w:val="2"/>
        </w:numPr>
        <w:spacing w:after="90" w:line="276"/>
      </w:pPr>
      <w:r>
        <w:rPr>
          <w:rFonts w:ascii="Calibri" w:cs="Calibri" w:eastAsia="Calibri" w:hAnsi="Calibri"/>
          <w:sz w:val="21"/>
          <w:szCs w:val="21"/>
        </w:rPr>
        <w:t xml:space="preserve">It cannot establish causation. These are associations measured at a single point in time. Remote work is the clearest risk: if remote status is granted to employees already likely to stay, the association is real and the causal reading is backwards.</w:t>
      </w:r>
    </w:p>
    <w:p>
      <w:pPr>
        <w:pStyle w:val="ListParagraph"/>
        <w:numPr>
          <w:ilvl w:val="0"/>
          <w:numId w:val="2"/>
        </w:numPr>
        <w:spacing w:after="90" w:line="276"/>
      </w:pPr>
      <w:r>
        <w:rPr>
          <w:rFonts w:ascii="Calibri" w:cs="Calibri" w:eastAsia="Calibri" w:hAnsi="Calibri"/>
          <w:sz w:val="21"/>
          <w:szCs w:val="21"/>
        </w:rPr>
        <w:t xml:space="preserve">It cannot explain most individual departures. A pseudo R-squared of 0.289 means the model captures a substantial share of the variation but far from all of it. Manager quality, team dynamics, external offers and personal circumstances are not in this file, and they are likely to matter more than several factors that are.</w:t>
      </w:r>
    </w:p>
    <w:p>
      <w:pPr>
        <w:pStyle w:val="ListParagraph"/>
        <w:numPr>
          <w:ilvl w:val="0"/>
          <w:numId w:val="2"/>
        </w:numPr>
        <w:spacing w:after="90" w:line="276"/>
      </w:pPr>
      <w:r>
        <w:rPr>
          <w:rFonts w:ascii="Calibri" w:cs="Calibri" w:eastAsia="Calibri" w:hAnsi="Calibri"/>
          <w:sz w:val="21"/>
          <w:szCs w:val="21"/>
        </w:rPr>
        <w:t xml:space="preserve">It inherits every data-integrity problem in Section 4. The ranking of factors is more trustworthy than the magnitude of any single one.</w:t>
      </w:r>
    </w:p>
    <w:p>
      <w:r>
        <w:br w:type="page"/>
      </w:r>
    </w:p>
    <w:p>
      <w:pPr>
        <w:pStyle w:val="Heading1"/>
        <w:spacing w:after="140" w:before="340"/>
      </w:pPr>
      <w:r>
        <w:rPr>
          <w:rFonts w:ascii="Calibri" w:cs="Calibri" w:eastAsia="Calibri" w:hAnsi="Calibri"/>
          <w:b/>
          <w:bCs/>
          <w:color w:val="1F3864"/>
          <w:sz w:val="30"/>
          <w:szCs w:val="30"/>
        </w:rPr>
        <w:t xml:space="preserve">8. Recommendations</w:t>
      </w:r>
    </w:p>
    <w:p>
      <w:pPr>
        <w:spacing w:after="140" w:line="276"/>
      </w:pPr>
      <w:r>
        <w:rPr>
          <w:rFonts w:ascii="Calibri" w:cs="Calibri" w:eastAsia="Calibri" w:hAnsi="Calibri"/>
          <w:sz w:val="21"/>
          <w:szCs w:val="21"/>
        </w:rPr>
        <w:t xml:space="preserve">Each recommendation states the finding it rests on, the action, the owner, how success is measured, and — where the evidence does not support acting directly — what to test first. Recommendations 1 to 3 are actionable now. Recommendation 4 is an investigation, because the evidence supports a question and not an answer. Recommendation 5 is remediation that governs how much confidence any future analysis can carry.</w:t>
      </w:r>
    </w:p>
    <w:p>
      <w:pPr>
        <w:pStyle w:val="Heading2"/>
        <w:spacing w:after="140" w:before="260"/>
      </w:pPr>
      <w:r>
        <w:rPr>
          <w:rFonts w:ascii="Calibri" w:cs="Calibri" w:eastAsia="Calibri" w:hAnsi="Calibri"/>
          <w:b/>
          <w:bCs/>
          <w:color w:val="2E5A88"/>
          <w:sz w:val="24"/>
          <w:szCs w:val="24"/>
        </w:rPr>
        <w:t xml:space="preserve">8.1 Recommendation 1 — Run a controlled remote/hybrid pilot for the entry-level on-site cohort</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400"/>
        <w:gridCol w:w="6960"/>
      </w:tblGrid>
      <w:tr>
        <w:trPr>
          <w:tblHeader/>
        </w:trPr>
        <w:tc>
          <w:tcPr>
            <w:tcW w:type="dxa" w:w="24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Element</w:t>
            </w:r>
          </w:p>
        </w:tc>
        <w:tc>
          <w:tcPr>
            <w:tcW w:type="dxa" w:w="696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Detail</w:t>
            </w:r>
          </w:p>
        </w:tc>
      </w:tr>
      <w:tr>
        <w:tc>
          <w:tcPr>
            <w:tcW w:type="dxa" w:w="2400"/>
            <w:tcMar>
              <w:top w:type="dxa" w:w="60"/>
              <w:left w:type="dxa" w:w="100"/>
              <w:bottom w:type="dxa" w:w="60"/>
              <w:right w:type="dxa" w:w="100"/>
            </w:tcMar>
          </w:tcPr>
          <w:p>
            <w:pPr>
              <w:spacing w:after="0" w:line="250"/>
            </w:pPr>
            <w:r>
              <w:rPr>
                <w:rFonts w:ascii="Calibri" w:cs="Calibri" w:eastAsia="Calibri" w:hAnsi="Calibri"/>
                <w:b/>
                <w:bCs/>
                <w:sz w:val="19"/>
                <w:szCs w:val="19"/>
              </w:rPr>
              <w:t xml:space="preserve">Finding it rests on</w:t>
            </w:r>
          </w:p>
        </w:tc>
        <w:tc>
          <w:tcPr>
            <w:tcW w:type="dxa" w:w="69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On-site employees leave at 52.8% against 24.7% remote, and the gap holds within every job level (32 pp at entry, 29 pp at mid, 19 pp at senior)</w:t>
            </w:r>
          </w:p>
        </w:tc>
      </w:tr>
      <w:tr>
        <w:tc>
          <w:tcPr>
            <w:tcW w:type="dxa" w:w="2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Action</w:t>
            </w:r>
          </w:p>
        </w:tc>
        <w:tc>
          <w:tcPr>
            <w:tcW w:type="dxa" w:w="69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Offer hybrid working to a randomly selected group within the entry-level on-site population, holding a matched comparison group unchanged for the pilot period</w:t>
            </w:r>
          </w:p>
        </w:tc>
      </w:tr>
      <w:tr>
        <w:tc>
          <w:tcPr>
            <w:tcW w:type="dxa" w:w="2400"/>
            <w:tcMar>
              <w:top w:type="dxa" w:w="60"/>
              <w:left w:type="dxa" w:w="100"/>
              <w:bottom w:type="dxa" w:w="60"/>
              <w:right w:type="dxa" w:w="100"/>
            </w:tcMar>
          </w:tcPr>
          <w:p>
            <w:pPr>
              <w:spacing w:after="0" w:line="250"/>
            </w:pPr>
            <w:r>
              <w:rPr>
                <w:rFonts w:ascii="Calibri" w:cs="Calibri" w:eastAsia="Calibri" w:hAnsi="Calibri"/>
                <w:b/>
                <w:bCs/>
                <w:sz w:val="19"/>
                <w:szCs w:val="19"/>
              </w:rPr>
              <w:t xml:space="preserve">Why a pilot, not a rollout</w:t>
            </w:r>
          </w:p>
        </w:tc>
        <w:tc>
          <w:tcPr>
            <w:tcW w:type="dxa" w:w="69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Direction of causation is not established. Random assignment is what converts this association into evidence — and it is cheaper than a rollout that turns out to have been reading the relationship backwards</w:t>
            </w:r>
          </w:p>
        </w:tc>
      </w:tr>
      <w:tr>
        <w:tc>
          <w:tcPr>
            <w:tcW w:type="dxa" w:w="2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Owner</w:t>
            </w:r>
          </w:p>
        </w:tc>
        <w:tc>
          <w:tcPr>
            <w:tcW w:type="dxa" w:w="69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HR Director with function heads</w:t>
            </w:r>
          </w:p>
        </w:tc>
      </w:tr>
      <w:tr>
        <w:tc>
          <w:tcPr>
            <w:tcW w:type="dxa" w:w="2400"/>
            <w:tcMar>
              <w:top w:type="dxa" w:w="60"/>
              <w:left w:type="dxa" w:w="100"/>
              <w:bottom w:type="dxa" w:w="60"/>
              <w:right w:type="dxa" w:w="100"/>
            </w:tcMar>
          </w:tcPr>
          <w:p>
            <w:pPr>
              <w:spacing w:after="0" w:line="250"/>
            </w:pPr>
            <w:r>
              <w:rPr>
                <w:rFonts w:ascii="Calibri" w:cs="Calibri" w:eastAsia="Calibri" w:hAnsi="Calibri"/>
                <w:b/>
                <w:bCs/>
                <w:sz w:val="19"/>
                <w:szCs w:val="19"/>
              </w:rPr>
              <w:t xml:space="preserve">Population</w:t>
            </w:r>
          </w:p>
        </w:tc>
        <w:tc>
          <w:tcPr>
            <w:tcW w:type="dxa" w:w="69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Entry-level on-site staff: 24,182 employees, of whom the single sub-segment alone is 8,507 people and 21.0% of all departures</w:t>
            </w:r>
          </w:p>
        </w:tc>
      </w:tr>
      <w:tr>
        <w:tc>
          <w:tcPr>
            <w:tcW w:type="dxa" w:w="2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Success measure</w:t>
            </w:r>
          </w:p>
        </w:tc>
        <w:tc>
          <w:tcPr>
            <w:tcW w:type="dxa" w:w="69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Difference in 12-month attrition between pilot and comparison groups, reported against the 63.3% entry-level baseline</w:t>
            </w:r>
          </w:p>
        </w:tc>
      </w:tr>
      <w:tr>
        <w:tc>
          <w:tcPr>
            <w:tcW w:type="dxa" w:w="2400"/>
            <w:tcMar>
              <w:top w:type="dxa" w:w="60"/>
              <w:left w:type="dxa" w:w="100"/>
              <w:bottom w:type="dxa" w:w="60"/>
              <w:right w:type="dxa" w:w="100"/>
            </w:tcMar>
          </w:tcPr>
          <w:p>
            <w:pPr>
              <w:spacing w:after="0" w:line="250"/>
            </w:pPr>
            <w:r>
              <w:rPr>
                <w:rFonts w:ascii="Calibri" w:cs="Calibri" w:eastAsia="Calibri" w:hAnsi="Calibri"/>
                <w:b/>
                <w:bCs/>
                <w:sz w:val="19"/>
                <w:szCs w:val="19"/>
              </w:rPr>
              <w:t xml:space="preserve">Risk</w:t>
            </w:r>
          </w:p>
        </w:tc>
        <w:tc>
          <w:tcPr>
            <w:tcW w:type="dxa" w:w="69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Roles with genuine on-site requirements will limit eligibility. Scope the pilot to roles where hybrid is operationally feasible before randomising, or the comparison is contaminated</w:t>
            </w:r>
          </w:p>
        </w:tc>
      </w:tr>
    </w:tbl>
    <w:p>
      <w:pPr>
        <w:pStyle w:val="Heading2"/>
        <w:spacing w:after="140" w:before="260"/>
      </w:pPr>
      <w:r>
        <w:rPr>
          <w:rFonts w:ascii="Calibri" w:cs="Calibri" w:eastAsia="Calibri" w:hAnsi="Calibri"/>
          <w:b/>
          <w:bCs/>
          <w:color w:val="2E5A88"/>
          <w:sz w:val="24"/>
          <w:szCs w:val="24"/>
        </w:rPr>
        <w:t xml:space="preserve">8.2 Recommendation 2 — Make work-life balance a monitored management KPI, with 'Fair' treated as a warning</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400"/>
        <w:gridCol w:w="6960"/>
      </w:tblGrid>
      <w:tr>
        <w:trPr>
          <w:tblHeader/>
        </w:trPr>
        <w:tc>
          <w:tcPr>
            <w:tcW w:type="dxa" w:w="24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Element</w:t>
            </w:r>
          </w:p>
        </w:tc>
        <w:tc>
          <w:tcPr>
            <w:tcW w:type="dxa" w:w="696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Detail</w:t>
            </w:r>
          </w:p>
        </w:tc>
      </w:tr>
      <w:tr>
        <w:tc>
          <w:tcPr>
            <w:tcW w:type="dxa" w:w="2400"/>
            <w:tcMar>
              <w:top w:type="dxa" w:w="60"/>
              <w:left w:type="dxa" w:w="100"/>
              <w:bottom w:type="dxa" w:w="60"/>
              <w:right w:type="dxa" w:w="100"/>
            </w:tcMar>
          </w:tcPr>
          <w:p>
            <w:pPr>
              <w:spacing w:after="0" w:line="250"/>
            </w:pPr>
            <w:r>
              <w:rPr>
                <w:rFonts w:ascii="Calibri" w:cs="Calibri" w:eastAsia="Calibri" w:hAnsi="Calibri"/>
                <w:b/>
                <w:bCs/>
                <w:sz w:val="19"/>
                <w:szCs w:val="19"/>
              </w:rPr>
              <w:t xml:space="preserve">Finding it rests on</w:t>
            </w:r>
          </w:p>
        </w:tc>
        <w:tc>
          <w:tcPr>
            <w:tcW w:type="dxa" w:w="69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A clean 24.5-point gradient (Poor 60.2%, Fair 57.6%, Good 40.4%, Excellent 35.7%) and adjusted odds ratios of 4.43 and 3.65 for Poor and Fair against Excellent</w:t>
            </w:r>
          </w:p>
        </w:tc>
      </w:tr>
      <w:tr>
        <w:tc>
          <w:tcPr>
            <w:tcW w:type="dxa" w:w="2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Action</w:t>
            </w:r>
          </w:p>
        </w:tc>
        <w:tc>
          <w:tcPr>
            <w:tcW w:type="dxa" w:w="69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Report work-life balance by team on the management scorecard; treat any team where the combined Poor-and-Fair share exceeds the company average as requiring a workload review</w:t>
            </w:r>
          </w:p>
        </w:tc>
      </w:tr>
      <w:tr>
        <w:tc>
          <w:tcPr>
            <w:tcW w:type="dxa" w:w="2400"/>
            <w:tcMar>
              <w:top w:type="dxa" w:w="60"/>
              <w:left w:type="dxa" w:w="100"/>
              <w:bottom w:type="dxa" w:w="60"/>
              <w:right w:type="dxa" w:w="100"/>
            </w:tcMar>
          </w:tcPr>
          <w:p>
            <w:pPr>
              <w:spacing w:after="0" w:line="250"/>
            </w:pPr>
            <w:r>
              <w:rPr>
                <w:rFonts w:ascii="Calibri" w:cs="Calibri" w:eastAsia="Calibri" w:hAnsi="Calibri"/>
                <w:b/>
                <w:bCs/>
                <w:sz w:val="19"/>
                <w:szCs w:val="19"/>
              </w:rPr>
              <w:t xml:space="preserve">Key design point</w:t>
            </w:r>
          </w:p>
        </w:tc>
        <w:tc>
          <w:tcPr>
            <w:tcW w:type="dxa" w:w="69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The threshold sits between 'Fair' and 'Good', not at the bottom of the scale. A scorecard that flags only 'Poor' misses the larger half of the affected population</w:t>
            </w:r>
          </w:p>
        </w:tc>
      </w:tr>
      <w:tr>
        <w:tc>
          <w:tcPr>
            <w:tcW w:type="dxa" w:w="2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Owner</w:t>
            </w:r>
          </w:p>
        </w:tc>
        <w:tc>
          <w:tcPr>
            <w:tcW w:type="dxa" w:w="69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HR with line management</w:t>
            </w:r>
          </w:p>
        </w:tc>
      </w:tr>
      <w:tr>
        <w:tc>
          <w:tcPr>
            <w:tcW w:type="dxa" w:w="2400"/>
            <w:tcMar>
              <w:top w:type="dxa" w:w="60"/>
              <w:left w:type="dxa" w:w="100"/>
              <w:bottom w:type="dxa" w:w="60"/>
              <w:right w:type="dxa" w:w="100"/>
            </w:tcMar>
          </w:tcPr>
          <w:p>
            <w:pPr>
              <w:spacing w:after="0" w:line="250"/>
            </w:pPr>
            <w:r>
              <w:rPr>
                <w:rFonts w:ascii="Calibri" w:cs="Calibri" w:eastAsia="Calibri" w:hAnsi="Calibri"/>
                <w:b/>
                <w:bCs/>
                <w:sz w:val="19"/>
                <w:szCs w:val="19"/>
              </w:rPr>
              <w:t xml:space="preserve">Population</w:t>
            </w:r>
          </w:p>
        </w:tc>
        <w:tc>
          <w:tcPr>
            <w:tcW w:type="dxa" w:w="69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44.2% of the workforce reports Poor or Fair balance — the largest addressable population in this report</w:t>
            </w:r>
          </w:p>
        </w:tc>
      </w:tr>
      <w:tr>
        <w:tc>
          <w:tcPr>
            <w:tcW w:type="dxa" w:w="2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Success measure</w:t>
            </w:r>
          </w:p>
        </w:tc>
        <w:tc>
          <w:tcPr>
            <w:tcW w:type="dxa" w:w="69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Movement in the Poor-and-Fair share by team, with attrition tracked as the lagging measure</w:t>
            </w:r>
          </w:p>
        </w:tc>
      </w:tr>
      <w:tr>
        <w:tc>
          <w:tcPr>
            <w:tcW w:type="dxa" w:w="2400"/>
            <w:tcMar>
              <w:top w:type="dxa" w:w="60"/>
              <w:left w:type="dxa" w:w="100"/>
              <w:bottom w:type="dxa" w:w="60"/>
              <w:right w:type="dxa" w:w="100"/>
            </w:tcMar>
          </w:tcPr>
          <w:p>
            <w:pPr>
              <w:spacing w:after="0" w:line="250"/>
            </w:pPr>
            <w:r>
              <w:rPr>
                <w:rFonts w:ascii="Calibri" w:cs="Calibri" w:eastAsia="Calibri" w:hAnsi="Calibri"/>
                <w:b/>
                <w:bCs/>
                <w:sz w:val="19"/>
                <w:szCs w:val="19"/>
              </w:rPr>
              <w:t xml:space="preserve">Supporting action</w:t>
            </w:r>
          </w:p>
        </w:tc>
        <w:tc>
          <w:tcPr>
            <w:tcW w:type="dxa" w:w="69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Overtime carries an independent 42% increase in odds. Review overtime distribution in the same exercise rather than as a separate initiative</w:t>
            </w:r>
          </w:p>
        </w:tc>
      </w:tr>
    </w:tbl>
    <w:p>
      <w:pPr>
        <w:pStyle w:val="Heading2"/>
        <w:spacing w:after="140" w:before="260"/>
      </w:pPr>
      <w:r>
        <w:rPr>
          <w:rFonts w:ascii="Calibri" w:cs="Calibri" w:eastAsia="Calibri" w:hAnsi="Calibri"/>
          <w:b/>
          <w:bCs/>
          <w:color w:val="2E5A88"/>
          <w:sz w:val="24"/>
          <w:szCs w:val="24"/>
        </w:rPr>
        <w:t xml:space="preserve">8.3 Recommendation 3 — Review the entry-to-mid progression route</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400"/>
        <w:gridCol w:w="6960"/>
      </w:tblGrid>
      <w:tr>
        <w:trPr>
          <w:tblHeader/>
        </w:trPr>
        <w:tc>
          <w:tcPr>
            <w:tcW w:type="dxa" w:w="24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Element</w:t>
            </w:r>
          </w:p>
        </w:tc>
        <w:tc>
          <w:tcPr>
            <w:tcW w:type="dxa" w:w="696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Detail</w:t>
            </w:r>
          </w:p>
        </w:tc>
      </w:tr>
      <w:tr>
        <w:tc>
          <w:tcPr>
            <w:tcW w:type="dxa" w:w="2400"/>
            <w:tcMar>
              <w:top w:type="dxa" w:w="60"/>
              <w:left w:type="dxa" w:w="100"/>
              <w:bottom w:type="dxa" w:w="60"/>
              <w:right w:type="dxa" w:w="100"/>
            </w:tcMar>
          </w:tcPr>
          <w:p>
            <w:pPr>
              <w:spacing w:after="0" w:line="250"/>
            </w:pPr>
            <w:r>
              <w:rPr>
                <w:rFonts w:ascii="Calibri" w:cs="Calibri" w:eastAsia="Calibri" w:hAnsi="Calibri"/>
                <w:b/>
                <w:bCs/>
                <w:sz w:val="19"/>
                <w:szCs w:val="19"/>
              </w:rPr>
              <w:t xml:space="preserve">Finding it rests on</w:t>
            </w:r>
          </w:p>
        </w:tc>
        <w:tc>
          <w:tcPr>
            <w:tcW w:type="dxa" w:w="69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Attrition is flat at 49% for zero, one and two promotions and halves to 24.9% at the third — a threshold, not a gradient</w:t>
            </w:r>
          </w:p>
        </w:tc>
      </w:tr>
      <w:tr>
        <w:tc>
          <w:tcPr>
            <w:tcW w:type="dxa" w:w="2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Action</w:t>
            </w:r>
          </w:p>
        </w:tc>
        <w:tc>
          <w:tcPr>
            <w:tcW w:type="dxa" w:w="69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Establish what the third promotion represents in the HR system: whether it marks a genuine change in role, responsibility and grade rather than an incremental step. Then review how long it takes to reach and how many entry-level employees ever do</w:t>
            </w:r>
          </w:p>
        </w:tc>
      </w:tr>
      <w:tr>
        <w:tc>
          <w:tcPr>
            <w:tcW w:type="dxa" w:w="2400"/>
            <w:tcMar>
              <w:top w:type="dxa" w:w="60"/>
              <w:left w:type="dxa" w:w="100"/>
              <w:bottom w:type="dxa" w:w="60"/>
              <w:right w:type="dxa" w:w="100"/>
            </w:tcMar>
          </w:tcPr>
          <w:p>
            <w:pPr>
              <w:spacing w:after="0" w:line="250"/>
            </w:pPr>
            <w:r>
              <w:rPr>
                <w:rFonts w:ascii="Calibri" w:cs="Calibri" w:eastAsia="Calibri" w:hAnsi="Calibri"/>
                <w:b/>
                <w:bCs/>
                <w:sz w:val="19"/>
                <w:szCs w:val="19"/>
              </w:rPr>
              <w:t xml:space="preserve">Why this order</w:t>
            </w:r>
          </w:p>
        </w:tc>
        <w:tc>
          <w:tcPr>
            <w:tcW w:type="dxa" w:w="69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Redesigning progression policy before understanding what the threshold represents would be acting on a correlation without a mechanism. The mechanism is testable against existing HR records</w:t>
            </w:r>
          </w:p>
        </w:tc>
      </w:tr>
      <w:tr>
        <w:tc>
          <w:tcPr>
            <w:tcW w:type="dxa" w:w="2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Owner</w:t>
            </w:r>
          </w:p>
        </w:tc>
        <w:tc>
          <w:tcPr>
            <w:tcW w:type="dxa" w:w="69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HR with Reward</w:t>
            </w:r>
          </w:p>
        </w:tc>
      </w:tr>
      <w:tr>
        <w:tc>
          <w:tcPr>
            <w:tcW w:type="dxa" w:w="2400"/>
            <w:tcMar>
              <w:top w:type="dxa" w:w="60"/>
              <w:left w:type="dxa" w:w="100"/>
              <w:bottom w:type="dxa" w:w="60"/>
              <w:right w:type="dxa" w:w="100"/>
            </w:tcMar>
          </w:tcPr>
          <w:p>
            <w:pPr>
              <w:spacing w:after="0" w:line="250"/>
            </w:pPr>
            <w:r>
              <w:rPr>
                <w:rFonts w:ascii="Calibri" w:cs="Calibri" w:eastAsia="Calibri" w:hAnsi="Calibri"/>
                <w:b/>
                <w:bCs/>
                <w:sz w:val="19"/>
                <w:szCs w:val="19"/>
              </w:rPr>
              <w:t xml:space="preserve">Population</w:t>
            </w:r>
          </w:p>
        </w:tc>
        <w:tc>
          <w:tcPr>
            <w:tcW w:type="dxa" w:w="69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49.9% of the workforce has never been promoted; only 6.8% have reached three or more</w:t>
            </w:r>
          </w:p>
        </w:tc>
      </w:tr>
      <w:tr>
        <w:tc>
          <w:tcPr>
            <w:tcW w:type="dxa" w:w="2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Success measure</w:t>
            </w:r>
          </w:p>
        </w:tc>
        <w:tc>
          <w:tcPr>
            <w:tcW w:type="dxa" w:w="69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Time-to-third-promotion for the entry cohort, and attrition within the entry-to-mid transition population</w:t>
            </w:r>
          </w:p>
        </w:tc>
      </w:tr>
      <w:tr>
        <w:tc>
          <w:tcPr>
            <w:tcW w:type="dxa" w:w="2400"/>
            <w:tcMar>
              <w:top w:type="dxa" w:w="60"/>
              <w:left w:type="dxa" w:w="100"/>
              <w:bottom w:type="dxa" w:w="60"/>
              <w:right w:type="dxa" w:w="100"/>
            </w:tcMar>
          </w:tcPr>
          <w:p>
            <w:pPr>
              <w:spacing w:after="0" w:line="250"/>
            </w:pPr>
            <w:r>
              <w:rPr>
                <w:rFonts w:ascii="Calibri" w:cs="Calibri" w:eastAsia="Calibri" w:hAnsi="Calibri"/>
                <w:b/>
                <w:bCs/>
                <w:sz w:val="19"/>
                <w:szCs w:val="19"/>
              </w:rPr>
              <w:t xml:space="preserve">Caution</w:t>
            </w:r>
          </w:p>
        </w:tc>
        <w:tc>
          <w:tcPr>
            <w:tcW w:type="dxa" w:w="69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Attrition among low performers is 57.1%. Progression policy should not be designed to retain employees the organisation is not seeking to retain</w:t>
            </w:r>
          </w:p>
        </w:tc>
      </w:tr>
    </w:tbl>
    <w:p>
      <w:pPr>
        <w:pStyle w:val="Heading2"/>
        <w:spacing w:after="140" w:before="260"/>
      </w:pPr>
      <w:r>
        <w:rPr>
          <w:rFonts w:ascii="Calibri" w:cs="Calibri" w:eastAsia="Calibri" w:hAnsi="Calibri"/>
          <w:b/>
          <w:bCs/>
          <w:color w:val="2E5A88"/>
          <w:sz w:val="24"/>
          <w:szCs w:val="24"/>
        </w:rPr>
        <w:t xml:space="preserve">8.4 Recommendation 4 — Commission a qualitative investigation into the gender gap</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400"/>
        <w:gridCol w:w="6960"/>
      </w:tblGrid>
      <w:tr>
        <w:trPr>
          <w:tblHeader/>
        </w:trPr>
        <w:tc>
          <w:tcPr>
            <w:tcW w:type="dxa" w:w="24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Element</w:t>
            </w:r>
          </w:p>
        </w:tc>
        <w:tc>
          <w:tcPr>
            <w:tcW w:type="dxa" w:w="696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Detail</w:t>
            </w:r>
          </w:p>
        </w:tc>
      </w:tr>
      <w:tr>
        <w:tc>
          <w:tcPr>
            <w:tcW w:type="dxa" w:w="2400"/>
            <w:tcMar>
              <w:top w:type="dxa" w:w="60"/>
              <w:left w:type="dxa" w:w="100"/>
              <w:bottom w:type="dxa" w:w="60"/>
              <w:right w:type="dxa" w:w="100"/>
            </w:tcMar>
          </w:tcPr>
          <w:p>
            <w:pPr>
              <w:spacing w:after="0" w:line="250"/>
            </w:pPr>
            <w:r>
              <w:rPr>
                <w:rFonts w:ascii="Calibri" w:cs="Calibri" w:eastAsia="Calibri" w:hAnsi="Calibri"/>
                <w:b/>
                <w:bCs/>
                <w:sz w:val="19"/>
                <w:szCs w:val="19"/>
              </w:rPr>
              <w:t xml:space="preserve">Finding it rests on</w:t>
            </w:r>
          </w:p>
        </w:tc>
        <w:tc>
          <w:tcPr>
            <w:tcW w:type="dxa" w:w="69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Women leave at 53.0% against 42.9% for men. The gap is 9–11 points at every job level, the gender composition of each level is near-identical, and it survives every statistical control applied</w:t>
            </w:r>
          </w:p>
        </w:tc>
      </w:tr>
      <w:tr>
        <w:tc>
          <w:tcPr>
            <w:tcW w:type="dxa" w:w="2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Action</w:t>
            </w:r>
          </w:p>
        </w:tc>
        <w:tc>
          <w:tcPr>
            <w:tcW w:type="dxa" w:w="69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Structured exit-interview review and a listening exercise with women in the entry and mid bands</w:t>
            </w:r>
          </w:p>
        </w:tc>
      </w:tr>
      <w:tr>
        <w:tc>
          <w:tcPr>
            <w:tcW w:type="dxa" w:w="2400"/>
            <w:tcMar>
              <w:top w:type="dxa" w:w="60"/>
              <w:left w:type="dxa" w:w="100"/>
              <w:bottom w:type="dxa" w:w="60"/>
              <w:right w:type="dxa" w:w="100"/>
            </w:tcMar>
          </w:tcPr>
          <w:p>
            <w:pPr>
              <w:spacing w:after="0" w:line="250"/>
            </w:pPr>
            <w:r>
              <w:rPr>
                <w:rFonts w:ascii="Calibri" w:cs="Calibri" w:eastAsia="Calibri" w:hAnsi="Calibri"/>
                <w:b/>
                <w:bCs/>
                <w:sz w:val="19"/>
                <w:szCs w:val="19"/>
              </w:rPr>
              <w:t xml:space="preserve">Why not a policy response</w:t>
            </w:r>
          </w:p>
        </w:tc>
        <w:tc>
          <w:tcPr>
            <w:tcW w:type="dxa" w:w="69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No variable in this dataset explains the gap. Designing an intervention now would mean assuming a cause, and any intervention built on the wrong assumed cause fails while consuming the credibility needed to try again</w:t>
            </w:r>
          </w:p>
        </w:tc>
      </w:tr>
      <w:tr>
        <w:tc>
          <w:tcPr>
            <w:tcW w:type="dxa" w:w="2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Owner</w:t>
            </w:r>
          </w:p>
        </w:tc>
        <w:tc>
          <w:tcPr>
            <w:tcW w:type="dxa" w:w="69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HR Director</w:t>
            </w:r>
          </w:p>
        </w:tc>
      </w:tr>
      <w:tr>
        <w:tc>
          <w:tcPr>
            <w:tcW w:type="dxa" w:w="2400"/>
            <w:tcMar>
              <w:top w:type="dxa" w:w="60"/>
              <w:left w:type="dxa" w:w="100"/>
              <w:bottom w:type="dxa" w:w="60"/>
              <w:right w:type="dxa" w:w="100"/>
            </w:tcMar>
          </w:tcPr>
          <w:p>
            <w:pPr>
              <w:spacing w:after="0" w:line="250"/>
            </w:pPr>
            <w:r>
              <w:rPr>
                <w:rFonts w:ascii="Calibri" w:cs="Calibri" w:eastAsia="Calibri" w:hAnsi="Calibri"/>
                <w:b/>
                <w:bCs/>
                <w:sz w:val="19"/>
                <w:szCs w:val="19"/>
              </w:rPr>
              <w:t xml:space="preserve">Population</w:t>
            </w:r>
          </w:p>
        </w:tc>
        <w:tc>
          <w:tcPr>
            <w:tcW w:type="dxa" w:w="69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33,672 female employees, of whom 17,850 are recorded as having left</w:t>
            </w:r>
          </w:p>
        </w:tc>
      </w:tr>
      <w:tr>
        <w:tc>
          <w:tcPr>
            <w:tcW w:type="dxa" w:w="2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Success measure</w:t>
            </w:r>
          </w:p>
        </w:tc>
        <w:tc>
          <w:tcPr>
            <w:tcW w:type="dxa" w:w="69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In this phase, a documented hypothesis supported by qualitative evidence — not a change in the rate</w:t>
            </w:r>
          </w:p>
        </w:tc>
      </w:tr>
      <w:tr>
        <w:tc>
          <w:tcPr>
            <w:tcW w:type="dxa" w:w="2400"/>
            <w:tcMar>
              <w:top w:type="dxa" w:w="60"/>
              <w:left w:type="dxa" w:w="100"/>
              <w:bottom w:type="dxa" w:w="60"/>
              <w:right w:type="dxa" w:w="100"/>
            </w:tcMar>
          </w:tcPr>
          <w:p>
            <w:pPr>
              <w:spacing w:after="0" w:line="250"/>
            </w:pPr>
            <w:r>
              <w:rPr>
                <w:rFonts w:ascii="Calibri" w:cs="Calibri" w:eastAsia="Calibri" w:hAnsi="Calibri"/>
                <w:b/>
                <w:bCs/>
                <w:sz w:val="19"/>
                <w:szCs w:val="19"/>
              </w:rPr>
              <w:t xml:space="preserve">Note</w:t>
            </w:r>
          </w:p>
        </w:tc>
        <w:tc>
          <w:tcPr>
            <w:tcW w:type="dxa" w:w="69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This is the point in the engagement where the analysis reaches its limit and says so. That is the finding, not a gap in the work</w:t>
            </w:r>
          </w:p>
        </w:tc>
      </w:tr>
    </w:tbl>
    <w:p>
      <w:pPr>
        <w:pStyle w:val="Heading2"/>
        <w:spacing w:after="140" w:before="260"/>
      </w:pPr>
      <w:r>
        <w:rPr>
          <w:rFonts w:ascii="Calibri" w:cs="Calibri" w:eastAsia="Calibri" w:hAnsi="Calibri"/>
          <w:b/>
          <w:bCs/>
          <w:color w:val="2E5A88"/>
          <w:sz w:val="24"/>
          <w:szCs w:val="24"/>
        </w:rPr>
        <w:t xml:space="preserve">8.5 Recommendation 5 — Remediate the HR data</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400"/>
        <w:gridCol w:w="6960"/>
      </w:tblGrid>
      <w:tr>
        <w:trPr>
          <w:tblHeader/>
        </w:trPr>
        <w:tc>
          <w:tcPr>
            <w:tcW w:type="dxa" w:w="24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Element</w:t>
            </w:r>
          </w:p>
        </w:tc>
        <w:tc>
          <w:tcPr>
            <w:tcW w:type="dxa" w:w="696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Detail</w:t>
            </w:r>
          </w:p>
        </w:tc>
      </w:tr>
      <w:tr>
        <w:tc>
          <w:tcPr>
            <w:tcW w:type="dxa" w:w="2400"/>
            <w:tcMar>
              <w:top w:type="dxa" w:w="60"/>
              <w:left w:type="dxa" w:w="100"/>
              <w:bottom w:type="dxa" w:w="60"/>
              <w:right w:type="dxa" w:w="100"/>
            </w:tcMar>
          </w:tcPr>
          <w:p>
            <w:pPr>
              <w:spacing w:after="0" w:line="250"/>
            </w:pPr>
            <w:r>
              <w:rPr>
                <w:rFonts w:ascii="Calibri" w:cs="Calibri" w:eastAsia="Calibri" w:hAnsi="Calibri"/>
                <w:b/>
                <w:bCs/>
                <w:sz w:val="19"/>
                <w:szCs w:val="19"/>
              </w:rPr>
              <w:t xml:space="preserve">Finding it rests on</w:t>
            </w:r>
          </w:p>
        </w:tc>
        <w:tc>
          <w:tcPr>
            <w:tcW w:type="dxa" w:w="69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32.1% of records are internally impossible on age and tenure; 84.3% of the file carries contradictory tenure fields; median pay is identical across all three job levels; the satisfaction scale is non-monotonic</w:t>
            </w:r>
          </w:p>
        </w:tc>
      </w:tr>
      <w:tr>
        <w:tc>
          <w:tcPr>
            <w:tcW w:type="dxa" w:w="2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Action</w:t>
            </w:r>
          </w:p>
        </w:tc>
        <w:tc>
          <w:tcPr>
            <w:tcW w:type="dxa" w:w="69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Reconcile both tenure fields against the HR system of record; establish whether the pay field is populated correctly; review the satisfaction survey instrument; set the export encoding to UTF-8</w:t>
            </w:r>
          </w:p>
        </w:tc>
      </w:tr>
      <w:tr>
        <w:tc>
          <w:tcPr>
            <w:tcW w:type="dxa" w:w="2400"/>
            <w:tcMar>
              <w:top w:type="dxa" w:w="60"/>
              <w:left w:type="dxa" w:w="100"/>
              <w:bottom w:type="dxa" w:w="60"/>
              <w:right w:type="dxa" w:w="100"/>
            </w:tcMar>
          </w:tcPr>
          <w:p>
            <w:pPr>
              <w:spacing w:after="0" w:line="250"/>
            </w:pPr>
            <w:r>
              <w:rPr>
                <w:rFonts w:ascii="Calibri" w:cs="Calibri" w:eastAsia="Calibri" w:hAnsi="Calibri"/>
                <w:b/>
                <w:bCs/>
                <w:sz w:val="19"/>
                <w:szCs w:val="19"/>
              </w:rPr>
              <w:t xml:space="preserve">Owner</w:t>
            </w:r>
          </w:p>
        </w:tc>
        <w:tc>
          <w:tcPr>
            <w:tcW w:type="dxa" w:w="69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HR data owner</w:t>
            </w:r>
          </w:p>
        </w:tc>
      </w:tr>
      <w:tr>
        <w:tc>
          <w:tcPr>
            <w:tcW w:type="dxa" w:w="24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Success measure</w:t>
            </w:r>
          </w:p>
        </w:tc>
        <w:tc>
          <w:tcPr>
            <w:tcW w:type="dxa" w:w="69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Records failing cross-field validation, reported as a standing data-quality KPI alongside the workforce metrics</w:t>
            </w:r>
          </w:p>
        </w:tc>
      </w:tr>
      <w:tr>
        <w:tc>
          <w:tcPr>
            <w:tcW w:type="dxa" w:w="2400"/>
            <w:tcMar>
              <w:top w:type="dxa" w:w="60"/>
              <w:left w:type="dxa" w:w="100"/>
              <w:bottom w:type="dxa" w:w="60"/>
              <w:right w:type="dxa" w:w="100"/>
            </w:tcMar>
          </w:tcPr>
          <w:p>
            <w:pPr>
              <w:spacing w:after="0" w:line="250"/>
            </w:pPr>
            <w:r>
              <w:rPr>
                <w:rFonts w:ascii="Calibri" w:cs="Calibri" w:eastAsia="Calibri" w:hAnsi="Calibri"/>
                <w:b/>
                <w:bCs/>
                <w:sz w:val="19"/>
                <w:szCs w:val="19"/>
              </w:rPr>
              <w:t xml:space="preserve">Why this is not optional</w:t>
            </w:r>
          </w:p>
        </w:tc>
        <w:tc>
          <w:tcPr>
            <w:tcW w:type="dxa" w:w="69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Every finding in this report is constrained by these problems. Until they are fixed, no future analysis of this data can be stated more strongly than this one has been</w:t>
            </w:r>
          </w:p>
        </w:tc>
      </w:tr>
    </w:tbl>
    <w:p>
      <w:pPr>
        <w:pStyle w:val="Heading2"/>
        <w:spacing w:after="140" w:before="260"/>
      </w:pPr>
      <w:r>
        <w:rPr>
          <w:rFonts w:ascii="Calibri" w:cs="Calibri" w:eastAsia="Calibri" w:hAnsi="Calibri"/>
          <w:b/>
          <w:bCs/>
          <w:color w:val="2E5A88"/>
          <w:sz w:val="24"/>
          <w:szCs w:val="24"/>
        </w:rPr>
        <w:t xml:space="preserve">8.6 Sequencing</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000"/>
        <w:gridCol w:w="3400"/>
        <w:gridCol w:w="3960"/>
      </w:tblGrid>
      <w:tr>
        <w:trPr>
          <w:tblHeader/>
        </w:trPr>
        <w:tc>
          <w:tcPr>
            <w:tcW w:type="dxa" w:w="20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Timing</w:t>
            </w:r>
          </w:p>
        </w:tc>
        <w:tc>
          <w:tcPr>
            <w:tcW w:type="dxa" w:w="340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Actions</w:t>
            </w:r>
          </w:p>
        </w:tc>
        <w:tc>
          <w:tcPr>
            <w:tcW w:type="dxa" w:w="3960"/>
            <w:shd w:fill="1F3864" w:color="auto" w:val="clear"/>
            <w:tcMar>
              <w:top w:type="dxa" w:w="60"/>
              <w:left w:type="dxa" w:w="100"/>
              <w:bottom w:type="dxa" w:w="60"/>
              <w:right w:type="dxa" w:w="100"/>
            </w:tcMar>
          </w:tcPr>
          <w:p>
            <w:pPr>
              <w:spacing w:after="0" w:line="250"/>
              <w:jc w:val="center"/>
            </w:pPr>
            <w:r>
              <w:rPr>
                <w:rFonts w:ascii="Calibri" w:cs="Calibri" w:eastAsia="Calibri" w:hAnsi="Calibri"/>
                <w:b/>
                <w:bCs/>
                <w:color w:val="FFFFFF"/>
                <w:sz w:val="19"/>
                <w:szCs w:val="19"/>
              </w:rPr>
              <w:t xml:space="preserve">Rationale</w:t>
            </w:r>
          </w:p>
        </w:tc>
      </w:tr>
      <w:tr>
        <w:tc>
          <w:tcPr>
            <w:tcW w:type="dxa" w:w="2000"/>
            <w:tcMar>
              <w:top w:type="dxa" w:w="60"/>
              <w:left w:type="dxa" w:w="100"/>
              <w:bottom w:type="dxa" w:w="60"/>
              <w:right w:type="dxa" w:w="100"/>
            </w:tcMar>
          </w:tcPr>
          <w:p>
            <w:pPr>
              <w:spacing w:after="0" w:line="250"/>
            </w:pPr>
            <w:r>
              <w:rPr>
                <w:rFonts w:ascii="Calibri" w:cs="Calibri" w:eastAsia="Calibri" w:hAnsi="Calibri"/>
                <w:b/>
                <w:bCs/>
                <w:sz w:val="19"/>
                <w:szCs w:val="19"/>
              </w:rPr>
              <w:t xml:space="preserve">Immediate (0–1 month)</w:t>
            </w:r>
          </w:p>
        </w:tc>
        <w:tc>
          <w:tcPr>
            <w:tcW w:type="dxa" w:w="34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Recommendation 5 (data remediation); scope Recommendation 1's pilot population</w:t>
            </w:r>
          </w:p>
        </w:tc>
        <w:tc>
          <w:tcPr>
            <w:tcW w:type="dxa" w:w="39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Both are prerequisites: one governs confidence in all future measurement, the other must be scoped before it can be randomised</w:t>
            </w:r>
          </w:p>
        </w:tc>
      </w:tr>
      <w:tr>
        <w:tc>
          <w:tcPr>
            <w:tcW w:type="dxa" w:w="20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Short term (1–3 months)</w:t>
            </w:r>
          </w:p>
        </w:tc>
        <w:tc>
          <w:tcPr>
            <w:tcW w:type="dxa" w:w="34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Launch Recommendation 1 pilot; implement Recommendation 2 scorecard</w:t>
            </w:r>
          </w:p>
        </w:tc>
        <w:tc>
          <w:tcPr>
            <w:tcW w:type="dxa" w:w="39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The two largest modifiable factors. The scorecard also establishes the measurement needed to evaluate the pilot</w:t>
            </w:r>
          </w:p>
        </w:tc>
      </w:tr>
      <w:tr>
        <w:tc>
          <w:tcPr>
            <w:tcW w:type="dxa" w:w="2000"/>
            <w:tcMar>
              <w:top w:type="dxa" w:w="60"/>
              <w:left w:type="dxa" w:w="100"/>
              <w:bottom w:type="dxa" w:w="60"/>
              <w:right w:type="dxa" w:w="100"/>
            </w:tcMar>
          </w:tcPr>
          <w:p>
            <w:pPr>
              <w:spacing w:after="0" w:line="250"/>
            </w:pPr>
            <w:r>
              <w:rPr>
                <w:rFonts w:ascii="Calibri" w:cs="Calibri" w:eastAsia="Calibri" w:hAnsi="Calibri"/>
                <w:b/>
                <w:bCs/>
                <w:sz w:val="19"/>
                <w:szCs w:val="19"/>
              </w:rPr>
              <w:t xml:space="preserve">Medium term (3–6 months)</w:t>
            </w:r>
          </w:p>
        </w:tc>
        <w:tc>
          <w:tcPr>
            <w:tcW w:type="dxa" w:w="340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Recommendation 3 progression review; Recommendation 4 qualitative investigation</w:t>
            </w:r>
          </w:p>
        </w:tc>
        <w:tc>
          <w:tcPr>
            <w:tcW w:type="dxa" w:w="396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Both require diagnostic work before any policy change, and neither is blocked by the earlier actions</w:t>
            </w:r>
          </w:p>
        </w:tc>
      </w:tr>
      <w:tr>
        <w:tc>
          <w:tcPr>
            <w:tcW w:type="dxa" w:w="20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Ongoing</w:t>
            </w:r>
          </w:p>
        </w:tc>
        <w:tc>
          <w:tcPr>
            <w:tcW w:type="dxa" w:w="340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Re-run the KPI baseline quarterly</w:t>
            </w:r>
          </w:p>
        </w:tc>
        <w:tc>
          <w:tcPr>
            <w:tcW w:type="dxa" w:w="3960"/>
            <w:shd w:fill="F2F2F2"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The baseline exists so that the effect of every action above can be measured rather than assumed</w:t>
            </w:r>
          </w:p>
        </w:tc>
      </w:tr>
    </w:tbl>
    <w:p>
      <w:r>
        <w:br w:type="page"/>
      </w:r>
    </w:p>
    <w:p>
      <w:pPr>
        <w:pStyle w:val="Heading1"/>
        <w:spacing w:after="140" w:before="340"/>
      </w:pPr>
      <w:r>
        <w:rPr>
          <w:rFonts w:ascii="Calibri" w:cs="Calibri" w:eastAsia="Calibri" w:hAnsi="Calibri"/>
          <w:b/>
          <w:bCs/>
          <w:color w:val="1F3864"/>
          <w:sz w:val="30"/>
          <w:szCs w:val="30"/>
        </w:rPr>
        <w:t xml:space="preserve">9. Limitations</w:t>
      </w:r>
    </w:p>
    <w:p>
      <w:pPr>
        <w:spacing w:after="140" w:line="276"/>
      </w:pPr>
      <w:r>
        <w:rPr>
          <w:rFonts w:ascii="Calibri" w:cs="Calibri" w:eastAsia="Calibri" w:hAnsi="Calibri"/>
          <w:sz w:val="21"/>
          <w:szCs w:val="21"/>
        </w:rPr>
        <w:t xml:space="preserve">Stated plainly, because a reader who discovers a limitation the report did not disclose is entitled to discount everything else in it.</w:t>
      </w:r>
    </w:p>
    <w:p>
      <w:pPr>
        <w:pStyle w:val="Heading2"/>
        <w:spacing w:after="140" w:before="260"/>
      </w:pPr>
      <w:r>
        <w:rPr>
          <w:rFonts w:ascii="Calibri" w:cs="Calibri" w:eastAsia="Calibri" w:hAnsi="Calibri"/>
          <w:b/>
          <w:bCs/>
          <w:color w:val="2E5A88"/>
          <w:sz w:val="24"/>
          <w:szCs w:val="24"/>
        </w:rPr>
        <w:t xml:space="preserve">9.1 Limitations of the data</w:t>
      </w:r>
    </w:p>
    <w:p>
      <w:pPr>
        <w:pStyle w:val="ListParagraph"/>
        <w:numPr>
          <w:ilvl w:val="0"/>
          <w:numId w:val="2"/>
        </w:numPr>
        <w:spacing w:after="90" w:line="276"/>
      </w:pPr>
      <w:r>
        <w:rPr>
          <w:rFonts w:ascii="Calibri" w:cs="Calibri" w:eastAsia="Calibri" w:hAnsi="Calibri"/>
          <w:sz w:val="21"/>
          <w:szCs w:val="21"/>
        </w:rPr>
        <w:t xml:space="preserve">The recorded attrition rate of 47.5% indicates a class-balanced extract. Absolute rates in this report are not organisational facts and must not be quoted as such.</w:t>
      </w:r>
    </w:p>
    <w:p>
      <w:pPr>
        <w:pStyle w:val="ListParagraph"/>
        <w:numPr>
          <w:ilvl w:val="0"/>
          <w:numId w:val="2"/>
        </w:numPr>
        <w:spacing w:after="90" w:line="276"/>
      </w:pPr>
      <w:r>
        <w:rPr>
          <w:rFonts w:ascii="Calibri" w:cs="Calibri" w:eastAsia="Calibri" w:hAnsi="Calibri"/>
          <w:sz w:val="21"/>
          <w:szCs w:val="21"/>
        </w:rPr>
        <w:t xml:space="preserve">Age and tenure are mutually impossible in 32.1% of records; the two tenure fields contradict each other in 84.3% of the file (87.1% of the records where the comparison can be made). Tenure findings are the weakest in the report.</w:t>
      </w:r>
    </w:p>
    <w:p>
      <w:pPr>
        <w:pStyle w:val="ListParagraph"/>
        <w:numPr>
          <w:ilvl w:val="0"/>
          <w:numId w:val="2"/>
        </w:numPr>
        <w:spacing w:after="90" w:line="276"/>
      </w:pPr>
      <w:r>
        <w:rPr>
          <w:rFonts w:ascii="Calibri" w:cs="Calibri" w:eastAsia="Calibri" w:hAnsi="Calibri"/>
          <w:sz w:val="21"/>
          <w:szCs w:val="21"/>
        </w:rPr>
        <w:t xml:space="preserve">The pay field carries no seniority signal and is treated as unusable. Any question about compensation and retention remains open.</w:t>
      </w:r>
    </w:p>
    <w:p>
      <w:pPr>
        <w:pStyle w:val="ListParagraph"/>
        <w:numPr>
          <w:ilvl w:val="0"/>
          <w:numId w:val="2"/>
        </w:numPr>
        <w:spacing w:after="90" w:line="276"/>
      </w:pPr>
      <w:r>
        <w:rPr>
          <w:rFonts w:ascii="Calibri" w:cs="Calibri" w:eastAsia="Calibri" w:hAnsi="Calibri"/>
          <w:sz w:val="21"/>
          <w:szCs w:val="21"/>
        </w:rPr>
        <w:t xml:space="preserve">Job Satisfaction is non-monotonic and was excluded from the recommendations.</w:t>
      </w:r>
    </w:p>
    <w:p>
      <w:pPr>
        <w:pStyle w:val="ListParagraph"/>
        <w:numPr>
          <w:ilvl w:val="0"/>
          <w:numId w:val="2"/>
        </w:numPr>
        <w:spacing w:after="90" w:line="276"/>
      </w:pPr>
      <w:r>
        <w:rPr>
          <w:rFonts w:ascii="Calibri" w:cs="Calibri" w:eastAsia="Calibri" w:hAnsi="Calibri"/>
          <w:sz w:val="21"/>
          <w:szCs w:val="21"/>
        </w:rPr>
        <w:t xml:space="preserve">Distance from Home is near-perfectly uniform across its range and its unit is undefined, which is consistent with generated rather than observed values. The commute finding is reported but carries little weight.</w:t>
      </w:r>
    </w:p>
    <w:p>
      <w:pPr>
        <w:pStyle w:val="ListParagraph"/>
        <w:numPr>
          <w:ilvl w:val="0"/>
          <w:numId w:val="2"/>
        </w:numPr>
        <w:spacing w:after="90" w:line="276"/>
      </w:pPr>
      <w:r>
        <w:rPr>
          <w:rFonts w:ascii="Calibri" w:cs="Calibri" w:eastAsia="Calibri" w:hAnsi="Calibri"/>
          <w:sz w:val="21"/>
          <w:szCs w:val="21"/>
        </w:rPr>
        <w:t xml:space="preserve">The extract has no time dimension: no leaving dates, no hire dates, no reporting period. Attrition cannot be trended, seasonality cannot be examined, and no before-and-after comparison is possible from this file.</w:t>
      </w:r>
    </w:p>
    <w:p>
      <w:pPr>
        <w:pStyle w:val="Heading2"/>
        <w:spacing w:after="140" w:before="260"/>
      </w:pPr>
      <w:r>
        <w:rPr>
          <w:rFonts w:ascii="Calibri" w:cs="Calibri" w:eastAsia="Calibri" w:hAnsi="Calibri"/>
          <w:b/>
          <w:bCs/>
          <w:color w:val="2E5A88"/>
          <w:sz w:val="24"/>
          <w:szCs w:val="24"/>
        </w:rPr>
        <w:t xml:space="preserve">9.2 Limitations of the analysis</w:t>
      </w:r>
    </w:p>
    <w:p>
      <w:pPr>
        <w:pStyle w:val="ListParagraph"/>
        <w:numPr>
          <w:ilvl w:val="0"/>
          <w:numId w:val="2"/>
        </w:numPr>
        <w:spacing w:after="90" w:line="276"/>
      </w:pPr>
      <w:r>
        <w:rPr>
          <w:rFonts w:ascii="Calibri" w:cs="Calibri" w:eastAsia="Calibri" w:hAnsi="Calibri"/>
          <w:sz w:val="21"/>
          <w:szCs w:val="21"/>
        </w:rPr>
        <w:t xml:space="preserve">Every relationship reported is an association measured at one point in time. Nothing here establishes causation, and the remote-work finding is the clearest case where the causal reading could be backwards.</w:t>
      </w:r>
    </w:p>
    <w:p>
      <w:pPr>
        <w:pStyle w:val="ListParagraph"/>
        <w:numPr>
          <w:ilvl w:val="0"/>
          <w:numId w:val="2"/>
        </w:numPr>
        <w:spacing w:after="90" w:line="276"/>
      </w:pPr>
      <w:r>
        <w:rPr>
          <w:rFonts w:ascii="Calibri" w:cs="Calibri" w:eastAsia="Calibri" w:hAnsi="Calibri"/>
          <w:sz w:val="21"/>
          <w:szCs w:val="21"/>
        </w:rPr>
        <w:t xml:space="preserve">The model explains a substantial but partial share of the variation (pseudo R-squared 0.289). Manager quality, team dynamics, external market conditions and personal circumstances are absent from the file and are likely to matter more than several factors that are present.</w:t>
      </w:r>
    </w:p>
    <w:p>
      <w:pPr>
        <w:pStyle w:val="ListParagraph"/>
        <w:numPr>
          <w:ilvl w:val="0"/>
          <w:numId w:val="2"/>
        </w:numPr>
        <w:spacing w:after="90" w:line="276"/>
      </w:pPr>
      <w:r>
        <w:rPr>
          <w:rFonts w:ascii="Calibri" w:cs="Calibri" w:eastAsia="Calibri" w:hAnsi="Calibri"/>
          <w:sz w:val="21"/>
          <w:szCs w:val="21"/>
        </w:rPr>
        <w:t xml:space="preserve">Voluntary and involuntary departures are not distinguished. Some attrition — particularly among the 57.1% of low performers who left — may be intended rather than a retention failure. Without that split, the organisation's true retention problem is smaller than the headline figure suggests.</w:t>
      </w:r>
    </w:p>
    <w:p>
      <w:pPr>
        <w:pStyle w:val="ListParagraph"/>
        <w:numPr>
          <w:ilvl w:val="0"/>
          <w:numId w:val="2"/>
        </w:numPr>
        <w:spacing w:after="90" w:line="276"/>
      </w:pPr>
      <w:r>
        <w:rPr>
          <w:rFonts w:ascii="Calibri" w:cs="Calibri" w:eastAsia="Calibri" w:hAnsi="Calibri"/>
          <w:sz w:val="21"/>
          <w:szCs w:val="21"/>
        </w:rPr>
        <w:t xml:space="preserve">With 74,498 records, differences of no operational consequence reach statistical significance. Effect sizes, not p-values, were used to decide what to report.</w:t>
      </w:r>
    </w:p>
    <w:p>
      <w:pPr>
        <w:pStyle w:val="ListParagraph"/>
        <w:numPr>
          <w:ilvl w:val="0"/>
          <w:numId w:val="2"/>
        </w:numPr>
        <w:spacing w:after="90" w:line="276"/>
      </w:pPr>
      <w:r>
        <w:rPr>
          <w:rFonts w:ascii="Calibri" w:cs="Calibri" w:eastAsia="Calibri" w:hAnsi="Calibri"/>
          <w:sz w:val="21"/>
          <w:szCs w:val="21"/>
        </w:rPr>
        <w:t xml:space="preserve">Segment findings rest on subgroup sizes that vary widely; the smallest segments in Section 6.8 hold a few hundred employees and their rates are correspondingly less stable.</w:t>
      </w:r>
    </w:p>
    <w:p>
      <w:pPr>
        <w:pStyle w:val="Heading2"/>
        <w:spacing w:after="140" w:before="260"/>
      </w:pPr>
      <w:r>
        <w:rPr>
          <w:rFonts w:ascii="Calibri" w:cs="Calibri" w:eastAsia="Calibri" w:hAnsi="Calibri"/>
          <w:b/>
          <w:bCs/>
          <w:color w:val="2E5A88"/>
          <w:sz w:val="24"/>
          <w:szCs w:val="24"/>
        </w:rPr>
        <w:t xml:space="preserve">9.3 What would materially improve the next analysis</w:t>
      </w:r>
    </w:p>
    <w:p>
      <w:pPr>
        <w:pStyle w:val="ListParagraph"/>
        <w:numPr>
          <w:ilvl w:val="0"/>
          <w:numId w:val="3"/>
        </w:numPr>
        <w:spacing w:after="90" w:line="276"/>
      </w:pPr>
      <w:r>
        <w:rPr>
          <w:rFonts w:ascii="Calibri" w:cs="Calibri" w:eastAsia="Calibri" w:hAnsi="Calibri"/>
          <w:sz w:val="21"/>
          <w:szCs w:val="21"/>
        </w:rPr>
        <w:t xml:space="preserve">Hire and leave dates, enabling proper time-to-attrition and survival analysis rather than a cross-sectional snapshot.</w:t>
      </w:r>
    </w:p>
    <w:p>
      <w:pPr>
        <w:pStyle w:val="ListParagraph"/>
        <w:numPr>
          <w:ilvl w:val="0"/>
          <w:numId w:val="3"/>
        </w:numPr>
        <w:spacing w:after="90" w:line="276"/>
      </w:pPr>
      <w:r>
        <w:rPr>
          <w:rFonts w:ascii="Calibri" w:cs="Calibri" w:eastAsia="Calibri" w:hAnsi="Calibri"/>
          <w:sz w:val="21"/>
          <w:szCs w:val="21"/>
        </w:rPr>
        <w:t xml:space="preserve">A voluntary/involuntary flag, separating the retention problem from intended exits.</w:t>
      </w:r>
    </w:p>
    <w:p>
      <w:pPr>
        <w:pStyle w:val="ListParagraph"/>
        <w:numPr>
          <w:ilvl w:val="0"/>
          <w:numId w:val="3"/>
        </w:numPr>
        <w:spacing w:after="90" w:line="276"/>
      </w:pPr>
      <w:r>
        <w:rPr>
          <w:rFonts w:ascii="Calibri" w:cs="Calibri" w:eastAsia="Calibri" w:hAnsi="Calibri"/>
          <w:sz w:val="21"/>
          <w:szCs w:val="21"/>
        </w:rPr>
        <w:t xml:space="preserve">Exit interview data, which is the only realistic route to explaining the gender gap.</w:t>
      </w:r>
    </w:p>
    <w:p>
      <w:pPr>
        <w:pStyle w:val="ListParagraph"/>
        <w:numPr>
          <w:ilvl w:val="0"/>
          <w:numId w:val="3"/>
        </w:numPr>
        <w:spacing w:after="90" w:line="276"/>
      </w:pPr>
      <w:r>
        <w:rPr>
          <w:rFonts w:ascii="Calibri" w:cs="Calibri" w:eastAsia="Calibri" w:hAnsi="Calibri"/>
          <w:sz w:val="21"/>
          <w:szCs w:val="21"/>
        </w:rPr>
        <w:t xml:space="preserve">Manager or team identifiers, since manager quality is widely the strongest single predictor of departure and is entirely absent here.</w:t>
      </w:r>
    </w:p>
    <w:p>
      <w:pPr>
        <w:pStyle w:val="ListParagraph"/>
        <w:numPr>
          <w:ilvl w:val="0"/>
          <w:numId w:val="3"/>
        </w:numPr>
        <w:spacing w:after="90" w:line="276"/>
      </w:pPr>
      <w:r>
        <w:rPr>
          <w:rFonts w:ascii="Calibri" w:cs="Calibri" w:eastAsia="Calibri" w:hAnsi="Calibri"/>
          <w:sz w:val="21"/>
          <w:szCs w:val="21"/>
        </w:rPr>
        <w:t xml:space="preserve">A verified pay field, which would reopen the compensation question.</w:t>
      </w:r>
    </w:p>
    <w:p>
      <w:r>
        <w:br w:type="page"/>
      </w:r>
    </w:p>
    <w:p>
      <w:pPr>
        <w:pStyle w:val="Heading1"/>
        <w:spacing w:after="140" w:before="340"/>
      </w:pPr>
      <w:r>
        <w:rPr>
          <w:rFonts w:ascii="Calibri" w:cs="Calibri" w:eastAsia="Calibri" w:hAnsi="Calibri"/>
          <w:b/>
          <w:bCs/>
          <w:color w:val="1F3864"/>
          <w:sz w:val="30"/>
          <w:szCs w:val="30"/>
        </w:rPr>
        <w:t xml:space="preserve">10. Management Conclusion</w:t>
      </w:r>
    </w:p>
    <w:p>
      <w:pPr>
        <w:pStyle w:val="Heading2"/>
        <w:spacing w:after="140" w:before="260"/>
      </w:pPr>
      <w:r>
        <w:rPr>
          <w:rFonts w:ascii="Calibri" w:cs="Calibri" w:eastAsia="Calibri" w:hAnsi="Calibri"/>
          <w:b/>
          <w:bCs/>
          <w:color w:val="2E5A88"/>
          <w:sz w:val="24"/>
          <w:szCs w:val="24"/>
        </w:rPr>
        <w:t xml:space="preserve">What is happening</w:t>
      </w:r>
    </w:p>
    <w:p>
      <w:pPr>
        <w:spacing w:after="140" w:line="276"/>
      </w:pPr>
      <w:r>
        <w:rPr>
          <w:rFonts w:ascii="Calibri" w:cs="Calibri" w:eastAsia="Calibri" w:hAnsi="Calibri"/>
          <w:sz w:val="21"/>
          <w:szCs w:val="21"/>
        </w:rPr>
        <w:t xml:space="preserve">Departures are concentrated, not diffuse. They sit in the grade structure rather than in any department: entry-level employees are 40% of the workforce and 53.3% of everyone who left, while the spread across all five business functions is two points. Within that structure, three conditions separate people sharply — seniority, working arrangement and work-life balance — and one demographic marker, marital status, identifies risk without explaining it. The single highest-risk group, entry-level on-site single employees, shows 87.5% attrition and accounts for a fifth of all departures on its own.</w:t>
      </w:r>
    </w:p>
    <w:p>
      <w:pPr>
        <w:pStyle w:val="Heading2"/>
        <w:spacing w:after="140" w:before="260"/>
      </w:pPr>
      <w:r>
        <w:rPr>
          <w:rFonts w:ascii="Calibri" w:cs="Calibri" w:eastAsia="Calibri" w:hAnsi="Calibri"/>
          <w:b/>
          <w:bCs/>
          <w:color w:val="2E5A88"/>
          <w:sz w:val="24"/>
          <w:szCs w:val="24"/>
        </w:rPr>
        <w:t xml:space="preserve">Why it matters</w:t>
      </w:r>
    </w:p>
    <w:p>
      <w:pPr>
        <w:spacing w:after="140" w:line="276"/>
      </w:pPr>
      <w:r>
        <w:rPr>
          <w:rFonts w:ascii="Calibri" w:cs="Calibri" w:eastAsia="Calibri" w:hAnsi="Calibri"/>
          <w:sz w:val="21"/>
          <w:szCs w:val="21"/>
        </w:rPr>
        <w:t xml:space="preserve">Concentration is good news, operationally. The three highest-risk segments hold 27.4% of the workforce and produce 44.5% of departures, which means a targeted programme can reach almost half the problem while addressing just over a quarter of the organisation. Diffuse attrition would have required changing the employment proposition itself, at a different order of cost. The evidence supports the cheaper diagnosis.</w:t>
      </w:r>
    </w:p>
    <w:p>
      <w:pPr>
        <w:pStyle w:val="Heading2"/>
        <w:spacing w:after="140" w:before="260"/>
      </w:pPr>
      <w:r>
        <w:rPr>
          <w:rFonts w:ascii="Calibri" w:cs="Calibri" w:eastAsia="Calibri" w:hAnsi="Calibri"/>
          <w:b/>
          <w:bCs/>
          <w:color w:val="2E5A88"/>
          <w:sz w:val="24"/>
          <w:szCs w:val="24"/>
        </w:rPr>
        <w:t xml:space="preserve">What the evidence supports</w:t>
      </w:r>
    </w:p>
    <w:p>
      <w:pPr>
        <w:pStyle w:val="ListParagraph"/>
        <w:numPr>
          <w:ilvl w:val="0"/>
          <w:numId w:val="2"/>
        </w:numPr>
        <w:spacing w:after="90" w:line="276"/>
      </w:pPr>
      <w:r>
        <w:rPr>
          <w:rFonts w:ascii="Calibri" w:cs="Calibri" w:eastAsia="Calibri" w:hAnsi="Calibri"/>
          <w:sz w:val="21"/>
          <w:szCs w:val="21"/>
        </w:rPr>
        <w:t xml:space="preserve">Strongly: that job level, working arrangement, work-life balance and progression beyond the second promotion are the factors worth management time — all four survive simultaneous control for everything else measured.</w:t>
      </w:r>
    </w:p>
    <w:p>
      <w:pPr>
        <w:pStyle w:val="ListParagraph"/>
        <w:numPr>
          <w:ilvl w:val="0"/>
          <w:numId w:val="2"/>
        </w:numPr>
        <w:spacing w:after="90" w:line="276"/>
      </w:pPr>
      <w:r>
        <w:rPr>
          <w:rFonts w:ascii="Calibri" w:cs="Calibri" w:eastAsia="Calibri" w:hAnsi="Calibri"/>
          <w:sz w:val="21"/>
          <w:szCs w:val="21"/>
        </w:rPr>
        <w:t xml:space="preserve">Strongly: that department, employee recognition, company size and education below doctoral level are not worth management time. These negative findings should stop work, not start it.</w:t>
      </w:r>
    </w:p>
    <w:p>
      <w:pPr>
        <w:pStyle w:val="ListParagraph"/>
        <w:numPr>
          <w:ilvl w:val="0"/>
          <w:numId w:val="2"/>
        </w:numPr>
        <w:spacing w:after="90" w:line="276"/>
      </w:pPr>
      <w:r>
        <w:rPr>
          <w:rFonts w:ascii="Calibri" w:cs="Calibri" w:eastAsia="Calibri" w:hAnsi="Calibri"/>
          <w:sz w:val="21"/>
          <w:szCs w:val="21"/>
        </w:rPr>
        <w:t xml:space="preserve">With caution: that the gender gap is real and unexplained. It warrants investigation, not a policy response built on an assumed cause.</w:t>
      </w:r>
    </w:p>
    <w:p>
      <w:pPr>
        <w:pStyle w:val="ListParagraph"/>
        <w:numPr>
          <w:ilvl w:val="0"/>
          <w:numId w:val="2"/>
        </w:numPr>
        <w:spacing w:after="90" w:line="276"/>
      </w:pPr>
      <w:r>
        <w:rPr>
          <w:rFonts w:ascii="Calibri" w:cs="Calibri" w:eastAsia="Calibri" w:hAnsi="Calibri"/>
          <w:sz w:val="21"/>
          <w:szCs w:val="21"/>
        </w:rPr>
        <w:t xml:space="preserve">Not at all: that pay is unrelated to retention. The pay field is unusable and the question remains open.</w:t>
      </w:r>
    </w:p>
    <w:p>
      <w:pPr>
        <w:pStyle w:val="ListParagraph"/>
        <w:numPr>
          <w:ilvl w:val="0"/>
          <w:numId w:val="2"/>
        </w:numPr>
        <w:spacing w:after="90" w:line="276"/>
      </w:pPr>
      <w:r>
        <w:rPr>
          <w:rFonts w:ascii="Calibri" w:cs="Calibri" w:eastAsia="Calibri" w:hAnsi="Calibri"/>
          <w:sz w:val="21"/>
          <w:szCs w:val="21"/>
        </w:rPr>
        <w:t xml:space="preserve">Never: any causal claim. Every relationship here is an association from a single snapshot.</w:t>
      </w:r>
    </w:p>
    <w:p>
      <w:pPr>
        <w:pStyle w:val="Heading2"/>
        <w:spacing w:after="140" w:before="260"/>
      </w:pPr>
      <w:r>
        <w:rPr>
          <w:rFonts w:ascii="Calibri" w:cs="Calibri" w:eastAsia="Calibri" w:hAnsi="Calibri"/>
          <w:b/>
          <w:bCs/>
          <w:color w:val="2E5A88"/>
          <w:sz w:val="24"/>
          <w:szCs w:val="24"/>
        </w:rPr>
        <w:t xml:space="preserve">What management should do next</w:t>
      </w:r>
    </w:p>
    <w:p>
      <w:pPr>
        <w:pStyle w:val="ListParagraph"/>
        <w:numPr>
          <w:ilvl w:val="0"/>
          <w:numId w:val="3"/>
        </w:numPr>
        <w:spacing w:after="90" w:line="276"/>
      </w:pPr>
      <w:r>
        <w:rPr>
          <w:rFonts w:ascii="Calibri" w:cs="Calibri" w:eastAsia="Calibri" w:hAnsi="Calibri"/>
          <w:sz w:val="21"/>
          <w:szCs w:val="21"/>
        </w:rPr>
        <w:t xml:space="preserve">Pilot hybrid working with the entry-level on-site cohort, with a randomised comparison group — the largest modifiable effect in the data, tested properly rather than rolled out on an assumption.</w:t>
      </w:r>
    </w:p>
    <w:p>
      <w:pPr>
        <w:pStyle w:val="ListParagraph"/>
        <w:numPr>
          <w:ilvl w:val="0"/>
          <w:numId w:val="3"/>
        </w:numPr>
        <w:spacing w:after="90" w:line="276"/>
      </w:pPr>
      <w:r>
        <w:rPr>
          <w:rFonts w:ascii="Calibri" w:cs="Calibri" w:eastAsia="Calibri" w:hAnsi="Calibri"/>
          <w:sz w:val="21"/>
          <w:szCs w:val="21"/>
        </w:rPr>
        <w:t xml:space="preserve">Put work-life balance on the management scorecard, treating 'Fair' as a warning rather than an acceptable score, since 44.2% of the workforce sits at Fair or below.</w:t>
      </w:r>
    </w:p>
    <w:p>
      <w:pPr>
        <w:pStyle w:val="ListParagraph"/>
        <w:numPr>
          <w:ilvl w:val="0"/>
          <w:numId w:val="3"/>
        </w:numPr>
        <w:spacing w:after="90" w:line="276"/>
      </w:pPr>
      <w:r>
        <w:rPr>
          <w:rFonts w:ascii="Calibri" w:cs="Calibri" w:eastAsia="Calibri" w:hAnsi="Calibri"/>
          <w:sz w:val="21"/>
          <w:szCs w:val="21"/>
        </w:rPr>
        <w:t xml:space="preserve">Establish what the third promotion actually represents before redesigning any progression policy — the effect is a threshold, and a policy that does not cross it will change nothing.</w:t>
      </w:r>
    </w:p>
    <w:p>
      <w:pPr>
        <w:pStyle w:val="ListParagraph"/>
        <w:numPr>
          <w:ilvl w:val="0"/>
          <w:numId w:val="3"/>
        </w:numPr>
        <w:spacing w:after="90" w:line="276"/>
      </w:pPr>
      <w:r>
        <w:rPr>
          <w:rFonts w:ascii="Calibri" w:cs="Calibri" w:eastAsia="Calibri" w:hAnsi="Calibri"/>
          <w:sz w:val="21"/>
          <w:szCs w:val="21"/>
        </w:rPr>
        <w:t xml:space="preserve">Commission a qualitative investigation into the gender gap rather than designing an intervention on an assumed cause.</w:t>
      </w:r>
    </w:p>
    <w:p>
      <w:pPr>
        <w:pStyle w:val="ListParagraph"/>
        <w:numPr>
          <w:ilvl w:val="0"/>
          <w:numId w:val="3"/>
        </w:numPr>
        <w:spacing w:after="90" w:line="276"/>
      </w:pPr>
      <w:r>
        <w:rPr>
          <w:rFonts w:ascii="Calibri" w:cs="Calibri" w:eastAsia="Calibri" w:hAnsi="Calibri"/>
          <w:sz w:val="21"/>
          <w:szCs w:val="21"/>
        </w:rPr>
        <w:t xml:space="preserve">Remediate the HR data. Until the tenure and pay fields are trustworthy, no future analysis can be stated more strongly than this one has been.</w:t>
      </w:r>
    </w:p>
    <w:p>
      <w:pPr>
        <w:spacing w:after="200"/>
      </w:pPr>
    </w:p>
    <w:tbl>
      <w:tblPr>
        <w:tblW w:type="dxa" w:w="9360"/>
        <w:tblBorders>
          <w:top w:val="single" w:color="1F3864" w:sz="2"/>
          <w:left w:val="single" w:color="1F3864" w:sz="18"/>
          <w:bottom w:val="single" w:color="1F3864" w:sz="2"/>
          <w:right w:val="single" w:color="1F3864" w:sz="2"/>
          <w:insideH w:val="none"/>
          <w:insideV w:val="none"/>
        </w:tblBorders>
      </w:tblPr>
      <w:tblGrid>
        <w:gridCol w:w="9360"/>
      </w:tblGrid>
      <w:tr>
        <w:tc>
          <w:tcPr>
            <w:tcW w:type="dxa" w:w="9360"/>
            <w:shd w:fill="FBFBFB" w:color="auto" w:val="clear"/>
            <w:tcMar>
              <w:top w:type="dxa" w:w="140"/>
              <w:left w:type="dxa" w:w="180"/>
              <w:bottom w:type="dxa" w:w="140"/>
              <w:right w:type="dxa" w:w="160"/>
            </w:tcMar>
          </w:tcPr>
          <w:p>
            <w:pPr>
              <w:spacing w:after="60"/>
            </w:pPr>
            <w:r>
              <w:rPr>
                <w:rFonts w:ascii="Calibri" w:cs="Calibri" w:eastAsia="Calibri" w:hAnsi="Calibri"/>
                <w:b/>
                <w:bCs/>
                <w:color w:val="1F3864"/>
                <w:sz w:val="20"/>
                <w:szCs w:val="20"/>
              </w:rPr>
              <w:t xml:space="preserve">The one-sentence version</w:t>
            </w:r>
          </w:p>
          <w:p>
            <w:pPr>
              <w:spacing w:after="60" w:line="270"/>
            </w:pPr>
            <w:r>
              <w:rPr>
                <w:rFonts w:ascii="Calibri" w:cs="Calibri" w:eastAsia="Calibri" w:hAnsi="Calibri"/>
                <w:sz w:val="20"/>
                <w:szCs w:val="20"/>
              </w:rPr>
              <w:t xml:space="preserve">Attrition is concentrated in entry-level, on-site employees rather than in any department; the two things management can actually change are working arrangement and work-life balance; and the pay and tenure data need fixing before anyone asks this question again.</w:t>
            </w:r>
          </w:p>
        </w:tc>
      </w:tr>
    </w:tbl>
    <w:p>
      <w:pPr>
        <w:spacing w:after="300"/>
      </w:pPr>
    </w:p>
    <w:p>
      <w:pPr>
        <w:pBdr>
          <w:top w:val="single" w:color="BFBFBF" w:sz="6" w:space="8"/>
        </w:pBdr>
        <w:spacing w:after="100"/>
      </w:pPr>
    </w:p>
    <w:p>
      <w:pPr>
        <w:spacing w:after="140" w:line="276"/>
      </w:pPr>
      <w:r>
        <w:rPr>
          <w:rFonts w:ascii="Calibri" w:cs="Calibri" w:eastAsia="Calibri" w:hAnsi="Calibri"/>
          <w:i/>
          <w:iCs/>
          <w:color w:val="595959"/>
          <w:sz w:val="18"/>
          <w:szCs w:val="18"/>
        </w:rPr>
        <w:t xml:space="preserve">Supporting deliverables: HR_Attrition_Analysis.xlsx (data profile, dictionary, cleaning log, KPIs, analysis and risk segmentation, all formula-driven) · hr_attrition_analysis.sql (reproducible profiling, cleaning and analysis) · PowerBI_Build_Guide.md (data model, DAX measures and dashboard specification).</w:t>
      </w: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Employee Attrition Analysis  |  Hafeez Khan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31"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Attrition Analysis</dc:title>
  <dc:creator>Hafeez Khan</dc:creator>
  <dc:description>Business analysis of workforce attrition</dc:description>
  <cp:lastModifiedBy>Un-named</cp:lastModifiedBy>
  <cp:revision>1</cp:revision>
  <dcterms:created xsi:type="dcterms:W3CDTF">2026-08-26T12:27:12.458Z</dcterms:created>
  <dcterms:modified xsi:type="dcterms:W3CDTF">2026-08-26T12:27:12.458Z</dcterms:modified>
</cp:coreProperties>
</file>

<file path=docProps/custom.xml><?xml version="1.0" encoding="utf-8"?>
<Properties xmlns="http://schemas.openxmlformats.org/officeDocument/2006/custom-properties" xmlns:vt="http://schemas.openxmlformats.org/officeDocument/2006/docPropsVTypes"/>
</file>