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50CEE" w14:textId="659F1CFE" w:rsidR="00C5485A" w:rsidRPr="006C49E4" w:rsidRDefault="00BF5300" w:rsidP="00321F86">
      <w:pPr>
        <w:tabs>
          <w:tab w:val="left" w:pos="8175"/>
        </w:tabs>
        <w:spacing w:before="157" w:after="157" w:line="270" w:lineRule="auto"/>
        <w:rPr>
          <w:rFonts w:ascii="Palatino Linotype" w:hAnsi="Palatino Linotype"/>
        </w:rPr>
      </w:pPr>
      <w:r>
        <w:rPr>
          <w:rFonts w:ascii="Palatino Linotype" w:eastAsia="source serif 4" w:hAnsi="Palatino Linotype" w:cs="source serif 4"/>
          <w:b/>
          <w:color w:val="000000"/>
          <w:sz w:val="39"/>
        </w:rPr>
        <w:t>Titre</w:t>
      </w:r>
      <w:r w:rsidR="00321F86" w:rsidRPr="006C49E4">
        <w:rPr>
          <w:rFonts w:ascii="Palatino Linotype" w:eastAsia="source serif 4" w:hAnsi="Palatino Linotype" w:cs="source serif 4"/>
          <w:b/>
          <w:color w:val="000000"/>
          <w:sz w:val="39"/>
        </w:rPr>
        <w:tab/>
      </w:r>
    </w:p>
    <w:p w14:paraId="595DC686" w14:textId="7B343E49" w:rsidR="00C5485A" w:rsidRPr="008A2957" w:rsidRDefault="008A2957" w:rsidP="008A2957">
      <w:pPr>
        <w:spacing w:before="315" w:after="105" w:line="276" w:lineRule="auto"/>
        <w:ind w:left="-30"/>
        <w:rPr>
          <w:rFonts w:ascii="Palatino Linotype" w:hAnsi="Palatino Linotype"/>
          <w:sz w:val="22"/>
          <w:szCs w:val="24"/>
        </w:rPr>
      </w:pPr>
      <w:r w:rsidRPr="008A2957">
        <w:rPr>
          <w:rFonts w:ascii="Palatino Linotype" w:eastAsia="source serif 4" w:hAnsi="Palatino Linotype" w:cs="source serif 4"/>
          <w:b/>
          <w:bCs/>
          <w:color w:val="000000"/>
          <w:sz w:val="28"/>
          <w:szCs w:val="24"/>
        </w:rPr>
        <w:t>Approche intégrée de prévention criminelle et de repérage précoce : vers un modèle juridiquement encadré de prévention des violences interpersonnelles en Algérie</w:t>
      </w:r>
    </w:p>
    <w:p w14:paraId="7D95E821" w14:textId="77777777" w:rsidR="00C5485A" w:rsidRPr="006C49E4" w:rsidRDefault="00000000">
      <w:pPr>
        <w:spacing w:after="210" w:line="360" w:lineRule="auto"/>
        <w:rPr>
          <w:rFonts w:ascii="Palatino Linotype" w:hAnsi="Palatino Linotype"/>
        </w:rPr>
      </w:pPr>
      <w:r w:rsidRPr="00BF5300">
        <w:rPr>
          <w:rFonts w:ascii="Palatino Linotype" w:eastAsia="source serif 4" w:hAnsi="Palatino Linotype" w:cs="source serif 4"/>
          <w:b/>
          <w:color w:val="000000"/>
          <w:sz w:val="24"/>
          <w:szCs w:val="26"/>
        </w:rPr>
        <w:t>Présenté en vue de l'obtention du diplôme de Master</w:t>
      </w:r>
      <w:r w:rsidRPr="006C49E4">
        <w:rPr>
          <w:rFonts w:ascii="Palatino Linotype" w:eastAsia="source serif 4" w:hAnsi="Palatino Linotype" w:cs="source serif 4"/>
          <w:color w:val="000000"/>
        </w:rPr>
        <w:br/>
      </w:r>
      <w:r w:rsidRPr="006C49E4">
        <w:rPr>
          <w:rFonts w:ascii="Palatino Linotype" w:eastAsia="source serif 4" w:hAnsi="Palatino Linotype" w:cs="source serif 4"/>
          <w:b/>
          <w:color w:val="000000"/>
        </w:rPr>
        <w:t>Spécialité :</w:t>
      </w:r>
      <w:r w:rsidRPr="006C49E4">
        <w:rPr>
          <w:rFonts w:ascii="Palatino Linotype" w:eastAsia="source serif 4" w:hAnsi="Palatino Linotype" w:cs="source serif 4"/>
          <w:color w:val="000000"/>
        </w:rPr>
        <w:t xml:space="preserve"> Droit pénal et sciences criminelles</w:t>
      </w:r>
      <w:r w:rsidRPr="006C49E4">
        <w:rPr>
          <w:rFonts w:ascii="Palatino Linotype" w:eastAsia="source serif 4" w:hAnsi="Palatino Linotype" w:cs="source serif 4"/>
          <w:color w:val="000000"/>
        </w:rPr>
        <w:br/>
      </w:r>
      <w:r w:rsidRPr="006C49E4">
        <w:rPr>
          <w:rFonts w:ascii="Palatino Linotype" w:eastAsia="source serif 4" w:hAnsi="Palatino Linotype" w:cs="source serif 4"/>
          <w:b/>
          <w:color w:val="000000"/>
        </w:rPr>
        <w:t>Année universitaire :</w:t>
      </w:r>
      <w:r w:rsidRPr="006C49E4">
        <w:rPr>
          <w:rFonts w:ascii="Palatino Linotype" w:eastAsia="source serif 4" w:hAnsi="Palatino Linotype" w:cs="source serif 4"/>
          <w:color w:val="000000"/>
        </w:rPr>
        <w:t xml:space="preserve"> 2025–2026</w:t>
      </w:r>
    </w:p>
    <w:p w14:paraId="7AF737F1" w14:textId="77777777" w:rsidR="00C5485A" w:rsidRPr="006C49E4" w:rsidRDefault="00000000">
      <w:pPr>
        <w:spacing w:before="315" w:after="105" w:line="360" w:lineRule="auto"/>
        <w:ind w:left="-30"/>
        <w:rPr>
          <w:rFonts w:ascii="Palatino Linotype" w:hAnsi="Palatino Linotype"/>
        </w:rPr>
      </w:pPr>
      <w:bookmarkStart w:id="0" w:name="résumé"/>
      <w:r w:rsidRPr="006C49E4">
        <w:rPr>
          <w:rFonts w:ascii="Palatino Linotype" w:eastAsia="source serif 4" w:hAnsi="Palatino Linotype" w:cs="source serif 4"/>
          <w:b/>
          <w:color w:val="000000"/>
          <w:sz w:val="24"/>
        </w:rPr>
        <w:t>Résumé</w:t>
      </w:r>
      <w:bookmarkEnd w:id="0"/>
    </w:p>
    <w:p w14:paraId="662491C1" w14:textId="77777777" w:rsidR="00740AAA" w:rsidRPr="00740AAA" w:rsidRDefault="00740AAA" w:rsidP="00740AAA">
      <w:pPr>
        <w:spacing w:after="210" w:line="360" w:lineRule="auto"/>
        <w:jc w:val="both"/>
        <w:rPr>
          <w:rFonts w:ascii="Palatino Linotype" w:eastAsia="source serif 4" w:hAnsi="Palatino Linotype" w:cs="source serif 4"/>
          <w:color w:val="000000"/>
        </w:rPr>
      </w:pPr>
      <w:r w:rsidRPr="00740AAA">
        <w:rPr>
          <w:rFonts w:ascii="Palatino Linotype" w:eastAsia="source serif 4" w:hAnsi="Palatino Linotype" w:cs="source serif 4"/>
          <w:color w:val="000000"/>
        </w:rPr>
        <w:t xml:space="preserve">Le présent mémoire propose un modèle algérien de prévention précoce des situations de rupture psychosociale et des violences interpersonnelles, fondé sur une interdisciplinarité encadrée articulant droit pénal, sciences criminelles, psychologie, santé publique, ingénierie numérique et gouvernance institutionnelle, sans jamais dessaisir le droit positif de sa fonction directrice. Il ne s’agit ni de prédire le crime, ni de profiler les individus à partir d’une dangerosité supposée, mais d’examiner dans quelle mesure un dispositif numérique volontaire de repérage précoce, de </w:t>
      </w:r>
      <w:proofErr w:type="spellStart"/>
      <w:r w:rsidRPr="00740AAA">
        <w:rPr>
          <w:rFonts w:ascii="Palatino Linotype" w:eastAsia="source serif 4" w:hAnsi="Palatino Linotype" w:cs="source serif 4"/>
          <w:color w:val="000000"/>
        </w:rPr>
        <w:t>préorientation</w:t>
      </w:r>
      <w:proofErr w:type="spellEnd"/>
      <w:r w:rsidRPr="00740AAA">
        <w:rPr>
          <w:rFonts w:ascii="Palatino Linotype" w:eastAsia="source serif 4" w:hAnsi="Palatino Linotype" w:cs="source serif 4"/>
          <w:color w:val="000000"/>
        </w:rPr>
        <w:t xml:space="preserve"> graduée et d’accompagnement structuré peut contribuer à contenir certaines trajectoires de fragilisation avant leur éventuelle conversion en crises graves ou en violences interpersonnelles, dans le strict respect des libertés fondamentales et des exigences normatives applicables en Algérie.</w:t>
      </w:r>
    </w:p>
    <w:p w14:paraId="23F8938C" w14:textId="4913A4A6" w:rsidR="00740AAA" w:rsidRPr="00740AAA" w:rsidRDefault="00740AAA" w:rsidP="00740AAA">
      <w:pPr>
        <w:spacing w:after="210" w:line="360" w:lineRule="auto"/>
        <w:jc w:val="both"/>
        <w:rPr>
          <w:rFonts w:ascii="Palatino Linotype" w:eastAsia="source serif 4" w:hAnsi="Palatino Linotype" w:cs="source serif 4"/>
          <w:color w:val="000000"/>
        </w:rPr>
      </w:pPr>
      <w:r w:rsidRPr="00740AAA">
        <w:rPr>
          <w:rFonts w:ascii="Palatino Linotype" w:eastAsia="source serif 4" w:hAnsi="Palatino Linotype" w:cs="source serif 4"/>
          <w:color w:val="000000"/>
        </w:rPr>
        <w:t xml:space="preserve">L’économie générale du travail repose sur un déplacement théorique et méthodologique majeur : substituer à une logique de prédiction pénale une logique de prévention secondaire orientée vers le repérage de vulnérabilités biopsychosociales, l’organisation d’un accès précoce à l’aide et la gradation des réponses institutionnelles. Dans cette perspective, le </w:t>
      </w:r>
      <w:r w:rsidR="00AA5C84">
        <w:rPr>
          <w:rFonts w:ascii="Palatino Linotype" w:eastAsia="source serif 4" w:hAnsi="Palatino Linotype" w:cs="source serif 4"/>
          <w:color w:val="000000"/>
        </w:rPr>
        <w:t>projet</w:t>
      </w:r>
      <w:r w:rsidRPr="00740AAA">
        <w:rPr>
          <w:rFonts w:ascii="Palatino Linotype" w:eastAsia="source serif 4" w:hAnsi="Palatino Linotype" w:cs="source serif 4"/>
          <w:color w:val="000000"/>
        </w:rPr>
        <w:t xml:space="preserve"> développe une architecture préventive à plusieurs niveaux comprenant, d’une part, un dispositif numérique grand public, volontaire, non stigmatisant et exécuté localement ; d’autre part, une orientation stratifiée vers des réponses adaptées ; enfin, pour certaines situations complexes, un axe d’approfondissement clinique et scientifique distinct, secondaire et explicitement non décisionnel.</w:t>
      </w:r>
    </w:p>
    <w:p w14:paraId="1241340F" w14:textId="77777777" w:rsidR="00740AAA" w:rsidRPr="00740AAA" w:rsidRDefault="00740AAA" w:rsidP="00740AAA">
      <w:pPr>
        <w:spacing w:after="210" w:line="360" w:lineRule="auto"/>
        <w:jc w:val="both"/>
        <w:rPr>
          <w:rFonts w:ascii="Palatino Linotype" w:eastAsia="source serif 4" w:hAnsi="Palatino Linotype" w:cs="source serif 4"/>
          <w:color w:val="000000"/>
        </w:rPr>
      </w:pPr>
      <w:r w:rsidRPr="00740AAA">
        <w:rPr>
          <w:rFonts w:ascii="Palatino Linotype" w:eastAsia="source serif 4" w:hAnsi="Palatino Linotype" w:cs="source serif 4"/>
          <w:color w:val="000000"/>
        </w:rPr>
        <w:t xml:space="preserve">Le cas de référence retenu est l’application </w:t>
      </w:r>
      <w:proofErr w:type="spellStart"/>
      <w:r w:rsidRPr="00AA5C84">
        <w:rPr>
          <w:rFonts w:ascii="Palatino Linotype" w:eastAsia="source serif 4" w:hAnsi="Palatino Linotype" w:cs="source serif 4"/>
          <w:b/>
          <w:bCs/>
          <w:color w:val="000000"/>
        </w:rPr>
        <w:t>NeuroSync</w:t>
      </w:r>
      <w:proofErr w:type="spellEnd"/>
      <w:r w:rsidRPr="00AA5C84">
        <w:rPr>
          <w:rFonts w:ascii="Palatino Linotype" w:eastAsia="source serif 4" w:hAnsi="Palatino Linotype" w:cs="source serif 4"/>
          <w:b/>
          <w:bCs/>
          <w:color w:val="000000"/>
        </w:rPr>
        <w:t xml:space="preserve"> 4.0</w:t>
      </w:r>
      <w:r w:rsidRPr="00740AAA">
        <w:rPr>
          <w:rFonts w:ascii="Palatino Linotype" w:eastAsia="source serif 4" w:hAnsi="Palatino Linotype" w:cs="source serif 4"/>
          <w:color w:val="000000"/>
        </w:rPr>
        <w:t xml:space="preserve">, conçue comme un prototype initial de </w:t>
      </w:r>
      <w:proofErr w:type="spellStart"/>
      <w:r w:rsidRPr="00740AAA">
        <w:rPr>
          <w:rFonts w:ascii="Palatino Linotype" w:eastAsia="source serif 4" w:hAnsi="Palatino Linotype" w:cs="source serif 4"/>
          <w:color w:val="000000"/>
        </w:rPr>
        <w:t>préorientation</w:t>
      </w:r>
      <w:proofErr w:type="spellEnd"/>
      <w:r w:rsidRPr="00740AAA">
        <w:rPr>
          <w:rFonts w:ascii="Palatino Linotype" w:eastAsia="source serif 4" w:hAnsi="Palatino Linotype" w:cs="source serif 4"/>
          <w:color w:val="000000"/>
        </w:rPr>
        <w:t xml:space="preserve"> grand public, bilingue français-arabe, confidentiel, sobre dans sa structure technique et </w:t>
      </w:r>
      <w:r w:rsidRPr="00740AAA">
        <w:rPr>
          <w:rFonts w:ascii="Palatino Linotype" w:eastAsia="source serif 4" w:hAnsi="Palatino Linotype" w:cs="source serif 4"/>
          <w:color w:val="000000"/>
        </w:rPr>
        <w:lastRenderedPageBreak/>
        <w:t xml:space="preserve">organisé selon une logique d’entonnoir allant d’un repérage bref à une orientation graduée. Son architecture fonctionnelle articule un premier niveau de repérage </w:t>
      </w:r>
      <w:proofErr w:type="spellStart"/>
      <w:r w:rsidRPr="00740AAA">
        <w:rPr>
          <w:rFonts w:ascii="Palatino Linotype" w:eastAsia="source serif 4" w:hAnsi="Palatino Linotype" w:cs="source serif 4"/>
          <w:color w:val="000000"/>
        </w:rPr>
        <w:t>ultra-bref</w:t>
      </w:r>
      <w:proofErr w:type="spellEnd"/>
      <w:r w:rsidRPr="00740AAA">
        <w:rPr>
          <w:rFonts w:ascii="Palatino Linotype" w:eastAsia="source serif 4" w:hAnsi="Palatino Linotype" w:cs="source serif 4"/>
          <w:color w:val="000000"/>
        </w:rPr>
        <w:t>, des questions de sécurité à effet de court-circuit prudentiel, des modules complémentaires d’affinage comportemental, puis un moteur de décision déterministe produisant des recommandations de parcours compréhensibles, explicables et dépourvues de toute prétention diagnostique ou prédictive. L’outil doit dès lors être compris non comme un dispositif achevé ou autonome, mais comme une base de simulation, de démonstration et de maturation institutionnelle, appelée à être consolidée par des validations empiriques, des ajustements sémantiques, une calibration progressive des seuils et la constitution d’un réseau réel de partenaires.</w:t>
      </w:r>
    </w:p>
    <w:p w14:paraId="6A76E0E3" w14:textId="770B07B8" w:rsidR="00740AAA" w:rsidRPr="00740AAA" w:rsidRDefault="00740AAA" w:rsidP="00740AAA">
      <w:pPr>
        <w:spacing w:after="210" w:line="360" w:lineRule="auto"/>
        <w:jc w:val="both"/>
        <w:rPr>
          <w:rFonts w:ascii="Palatino Linotype" w:eastAsia="source serif 4" w:hAnsi="Palatino Linotype" w:cs="source serif 4"/>
          <w:color w:val="000000"/>
        </w:rPr>
      </w:pPr>
      <w:r w:rsidRPr="00740AAA">
        <w:rPr>
          <w:rFonts w:ascii="Palatino Linotype" w:eastAsia="source serif 4" w:hAnsi="Palatino Linotype" w:cs="source serif 4"/>
          <w:color w:val="000000"/>
        </w:rPr>
        <w:t xml:space="preserve">Le </w:t>
      </w:r>
      <w:r w:rsidR="00AA5C84">
        <w:rPr>
          <w:rFonts w:ascii="Palatino Linotype" w:eastAsia="source serif 4" w:hAnsi="Palatino Linotype" w:cs="source serif 4"/>
          <w:color w:val="000000"/>
        </w:rPr>
        <w:t>travail</w:t>
      </w:r>
      <w:r w:rsidRPr="00740AAA">
        <w:rPr>
          <w:rFonts w:ascii="Palatino Linotype" w:eastAsia="source serif 4" w:hAnsi="Palatino Linotype" w:cs="source serif 4"/>
          <w:color w:val="000000"/>
        </w:rPr>
        <w:t xml:space="preserve"> soutient que l’utilité scientifique et sociétale d’un tel modèle ne réside pas dans la sophistication algorithmique, mais dans sa capacité à améliorer l’accès précoce à l’accompagnement, à réduire les délais d’orientation, à objectiver des états de tension, de fatigue psychique ou de fragilité relationnelle, et à proposer des réponses proportionnées sans glisser vers la surveillance, le fichage ou la biologisation des conduites humaines. Il montre corrélativement que la recevabilité d’un tel dispositif en Algérie dépend de conditions cumulatives strictes : exclusion de toute logique de dangerosité, absence de coercition, langage public non stigmatisant, traitement local et souverain des données, consentement explicite, explicabilité fonctionnelle, gouvernance juridique claire et distinction nette entre usage courant du service et éventuels prolongements de recherche.</w:t>
      </w:r>
    </w:p>
    <w:p w14:paraId="30328A50" w14:textId="3E4C2FA9" w:rsidR="00C5485A" w:rsidRPr="00740AAA" w:rsidRDefault="00740AAA" w:rsidP="00740AAA">
      <w:pPr>
        <w:spacing w:after="210" w:line="360" w:lineRule="auto"/>
        <w:jc w:val="both"/>
        <w:rPr>
          <w:rFonts w:ascii="Palatino Linotype" w:eastAsia="source serif 4" w:hAnsi="Palatino Linotype" w:cs="source serif 4"/>
          <w:color w:val="000000"/>
        </w:rPr>
      </w:pPr>
      <w:r w:rsidRPr="00740AAA">
        <w:rPr>
          <w:rFonts w:ascii="Palatino Linotype" w:eastAsia="source serif 4" w:hAnsi="Palatino Linotype" w:cs="source serif 4"/>
          <w:color w:val="000000"/>
        </w:rPr>
        <w:t>L’analyse établit enfin que la loi n° 16-03 relative à l’utilisation de l’empreinte génétique, ainsi que la loi n° 18-07 relative à la protection des données personnelles, modifiée et complétée par la loi n° 25-11, doivent être appréhendées non comme des obstacles extérieurs au projet, mais comme les bornes constitutives de sa légitimité scientifique, institutionnelle et opérationnelle. Dans cette perspective, l’ambition du mémoire n’est pas de présenter une solution définitivement stabilisée, mais de proposer un modèle intellectuellement cohérent, juridiquement prudent, techniquement évolutif et socialement acceptable, susceptible de servir de référence à une politique de prévention plus précoce, plus humaine et mieux structurée dans le contexte algérien</w:t>
      </w:r>
      <w:r>
        <w:rPr>
          <w:rFonts w:ascii="Palatino Linotype" w:eastAsia="source serif 4" w:hAnsi="Palatino Linotype" w:cs="source serif 4"/>
          <w:color w:val="000000"/>
        </w:rPr>
        <w:t>.</w:t>
      </w:r>
    </w:p>
    <w:p w14:paraId="1DF0E499" w14:textId="1608EE6C"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b/>
          <w:color w:val="000000"/>
        </w:rPr>
        <w:t>Mots-clés :</w:t>
      </w:r>
      <w:r w:rsidRPr="006C49E4">
        <w:rPr>
          <w:rFonts w:ascii="Palatino Linotype" w:eastAsia="source serif 4" w:hAnsi="Palatino Linotype" w:cs="source serif 4"/>
          <w:color w:val="000000"/>
        </w:rPr>
        <w:t xml:space="preserve"> prévention criminelle, </w:t>
      </w:r>
      <w:proofErr w:type="spellStart"/>
      <w:r w:rsidRPr="006C49E4">
        <w:rPr>
          <w:rFonts w:ascii="Palatino Linotype" w:eastAsia="source serif 4" w:hAnsi="Palatino Linotype" w:cs="source serif 4"/>
          <w:color w:val="000000"/>
        </w:rPr>
        <w:t>préorientation</w:t>
      </w:r>
      <w:proofErr w:type="spellEnd"/>
      <w:r w:rsidRPr="006C49E4">
        <w:rPr>
          <w:rFonts w:ascii="Palatino Linotype" w:eastAsia="source serif 4" w:hAnsi="Palatino Linotype" w:cs="source serif 4"/>
          <w:color w:val="000000"/>
        </w:rPr>
        <w:t xml:space="preserve">, repérage précoce, violences interpersonnelles, interdisciplinarité, données personnelles, </w:t>
      </w:r>
      <w:proofErr w:type="spellStart"/>
      <w:r w:rsidRPr="006C49E4">
        <w:rPr>
          <w:rFonts w:ascii="Palatino Linotype" w:eastAsia="source serif 4" w:hAnsi="Palatino Linotype" w:cs="source serif 4"/>
          <w:color w:val="000000"/>
        </w:rPr>
        <w:t>NeuroSync</w:t>
      </w:r>
      <w:proofErr w:type="spellEnd"/>
      <w:r w:rsidRPr="006C49E4">
        <w:rPr>
          <w:rFonts w:ascii="Palatino Linotype" w:eastAsia="source serif 4" w:hAnsi="Palatino Linotype" w:cs="source serif 4"/>
          <w:color w:val="000000"/>
        </w:rPr>
        <w:t>.</w:t>
      </w:r>
    </w:p>
    <w:p w14:paraId="3BFD3337" w14:textId="77777777" w:rsidR="00C5485A" w:rsidRPr="006C49E4" w:rsidRDefault="00000000">
      <w:pPr>
        <w:spacing w:before="315" w:after="105" w:line="360" w:lineRule="auto"/>
        <w:ind w:left="-30"/>
        <w:rPr>
          <w:rFonts w:ascii="Palatino Linotype" w:hAnsi="Palatino Linotype"/>
        </w:rPr>
      </w:pPr>
      <w:bookmarkStart w:id="1" w:name="table_des_matières"/>
      <w:r w:rsidRPr="006C49E4">
        <w:rPr>
          <w:rFonts w:ascii="Palatino Linotype" w:eastAsia="source serif 4" w:hAnsi="Palatino Linotype" w:cs="source serif 4"/>
          <w:b/>
          <w:color w:val="000000"/>
          <w:sz w:val="24"/>
        </w:rPr>
        <w:lastRenderedPageBreak/>
        <w:t>Table des matières</w:t>
      </w:r>
      <w:bookmarkEnd w:id="1"/>
    </w:p>
    <w:p w14:paraId="7BA29CF1" w14:textId="77777777" w:rsidR="00C5485A" w:rsidRPr="006C49E4" w:rsidRDefault="00000000">
      <w:pPr>
        <w:numPr>
          <w:ilvl w:val="0"/>
          <w:numId w:val="1"/>
        </w:numPr>
        <w:spacing w:before="105" w:after="105" w:line="360" w:lineRule="auto"/>
        <w:rPr>
          <w:rFonts w:ascii="Palatino Linotype" w:hAnsi="Palatino Linotype"/>
        </w:rPr>
      </w:pPr>
      <w:r w:rsidRPr="006C49E4">
        <w:rPr>
          <w:rFonts w:ascii="Palatino Linotype" w:eastAsia="source serif 4" w:hAnsi="Palatino Linotype" w:cs="source serif 4"/>
          <w:color w:val="000000"/>
        </w:rPr>
        <w:t>Introduction générale</w:t>
      </w:r>
    </w:p>
    <w:p w14:paraId="286BD332" w14:textId="77777777" w:rsidR="00C5485A" w:rsidRPr="006C49E4" w:rsidRDefault="00000000">
      <w:pPr>
        <w:numPr>
          <w:ilvl w:val="0"/>
          <w:numId w:val="1"/>
        </w:numPr>
        <w:spacing w:before="105" w:after="105" w:line="360" w:lineRule="auto"/>
        <w:rPr>
          <w:rFonts w:ascii="Palatino Linotype" w:hAnsi="Palatino Linotype"/>
        </w:rPr>
      </w:pPr>
      <w:r w:rsidRPr="006C49E4">
        <w:rPr>
          <w:rFonts w:ascii="Palatino Linotype" w:eastAsia="source serif 4" w:hAnsi="Palatino Linotype" w:cs="source serif 4"/>
          <w:color w:val="000000"/>
        </w:rPr>
        <w:t>Première partie — Fondements théoriques, criminologiques et conceptuels</w:t>
      </w:r>
    </w:p>
    <w:p w14:paraId="4B91F291" w14:textId="77777777" w:rsidR="00C5485A" w:rsidRPr="006C49E4" w:rsidRDefault="00000000">
      <w:pPr>
        <w:numPr>
          <w:ilvl w:val="0"/>
          <w:numId w:val="1"/>
        </w:numPr>
        <w:spacing w:before="105" w:after="105" w:line="360" w:lineRule="auto"/>
        <w:rPr>
          <w:rFonts w:ascii="Palatino Linotype" w:hAnsi="Palatino Linotype"/>
        </w:rPr>
      </w:pPr>
      <w:r w:rsidRPr="006C49E4">
        <w:rPr>
          <w:rFonts w:ascii="Palatino Linotype" w:eastAsia="source serif 4" w:hAnsi="Palatino Linotype" w:cs="source serif 4"/>
          <w:color w:val="000000"/>
        </w:rPr>
        <w:t>Deuxième partie — Ancrage dans le droit positif algérien</w:t>
      </w:r>
    </w:p>
    <w:p w14:paraId="39137081" w14:textId="77777777" w:rsidR="00C5485A" w:rsidRPr="006C49E4" w:rsidRDefault="00000000">
      <w:pPr>
        <w:numPr>
          <w:ilvl w:val="0"/>
          <w:numId w:val="1"/>
        </w:numPr>
        <w:spacing w:before="105" w:after="105" w:line="360" w:lineRule="auto"/>
        <w:rPr>
          <w:rFonts w:ascii="Palatino Linotype" w:hAnsi="Palatino Linotype"/>
        </w:rPr>
      </w:pPr>
      <w:r w:rsidRPr="006C49E4">
        <w:rPr>
          <w:rFonts w:ascii="Palatino Linotype" w:eastAsia="source serif 4" w:hAnsi="Palatino Linotype" w:cs="source serif 4"/>
          <w:color w:val="000000"/>
        </w:rPr>
        <w:t xml:space="preserve">Troisième partie — Étude de cas : </w:t>
      </w:r>
      <w:proofErr w:type="spellStart"/>
      <w:r w:rsidRPr="006C49E4">
        <w:rPr>
          <w:rFonts w:ascii="Palatino Linotype" w:eastAsia="source serif 4" w:hAnsi="Palatino Linotype" w:cs="source serif 4"/>
          <w:color w:val="000000"/>
        </w:rPr>
        <w:t>NeuroSync</w:t>
      </w:r>
      <w:proofErr w:type="spellEnd"/>
      <w:r w:rsidRPr="006C49E4">
        <w:rPr>
          <w:rFonts w:ascii="Palatino Linotype" w:eastAsia="source serif 4" w:hAnsi="Palatino Linotype" w:cs="source serif 4"/>
          <w:color w:val="000000"/>
        </w:rPr>
        <w:t xml:space="preserve"> 4.0 dans sa version juridiquement recevable</w:t>
      </w:r>
    </w:p>
    <w:p w14:paraId="39CFD7CF" w14:textId="77777777" w:rsidR="00C5485A" w:rsidRPr="006C49E4" w:rsidRDefault="00000000">
      <w:pPr>
        <w:numPr>
          <w:ilvl w:val="0"/>
          <w:numId w:val="1"/>
        </w:numPr>
        <w:spacing w:before="105" w:after="105" w:line="360" w:lineRule="auto"/>
        <w:rPr>
          <w:rFonts w:ascii="Palatino Linotype" w:hAnsi="Palatino Linotype"/>
        </w:rPr>
      </w:pPr>
      <w:r w:rsidRPr="006C49E4">
        <w:rPr>
          <w:rFonts w:ascii="Palatino Linotype" w:eastAsia="source serif 4" w:hAnsi="Palatino Linotype" w:cs="source serif 4"/>
          <w:color w:val="000000"/>
        </w:rPr>
        <w:t>Quatrième partie — Architecture institutionnelle, déploiement et gouvernance</w:t>
      </w:r>
    </w:p>
    <w:p w14:paraId="7596FCF5" w14:textId="77777777" w:rsidR="00C5485A" w:rsidRPr="006C49E4" w:rsidRDefault="00000000">
      <w:pPr>
        <w:numPr>
          <w:ilvl w:val="0"/>
          <w:numId w:val="1"/>
        </w:numPr>
        <w:spacing w:before="105" w:after="105" w:line="360" w:lineRule="auto"/>
        <w:rPr>
          <w:rFonts w:ascii="Palatino Linotype" w:hAnsi="Palatino Linotype"/>
        </w:rPr>
      </w:pPr>
      <w:r w:rsidRPr="006C49E4">
        <w:rPr>
          <w:rFonts w:ascii="Palatino Linotype" w:eastAsia="source serif 4" w:hAnsi="Palatino Linotype" w:cs="source serif 4"/>
          <w:color w:val="000000"/>
        </w:rPr>
        <w:t>Cinquième partie — Axe clinique, neurobiologique et évaluation d'impact</w:t>
      </w:r>
    </w:p>
    <w:p w14:paraId="3C733E43" w14:textId="77777777" w:rsidR="00C5485A" w:rsidRPr="006C49E4" w:rsidRDefault="00000000">
      <w:pPr>
        <w:numPr>
          <w:ilvl w:val="0"/>
          <w:numId w:val="1"/>
        </w:numPr>
        <w:spacing w:before="105" w:after="105" w:line="360" w:lineRule="auto"/>
        <w:rPr>
          <w:rFonts w:ascii="Palatino Linotype" w:hAnsi="Palatino Linotype"/>
        </w:rPr>
      </w:pPr>
      <w:r w:rsidRPr="006C49E4">
        <w:rPr>
          <w:rFonts w:ascii="Palatino Linotype" w:eastAsia="source serif 4" w:hAnsi="Palatino Linotype" w:cs="source serif 4"/>
          <w:color w:val="000000"/>
        </w:rPr>
        <w:t>Discussion générale</w:t>
      </w:r>
    </w:p>
    <w:p w14:paraId="2C28628A" w14:textId="77777777" w:rsidR="00C5485A" w:rsidRPr="006C49E4" w:rsidRDefault="00000000">
      <w:pPr>
        <w:numPr>
          <w:ilvl w:val="0"/>
          <w:numId w:val="1"/>
        </w:numPr>
        <w:spacing w:before="105" w:after="105" w:line="360" w:lineRule="auto"/>
        <w:rPr>
          <w:rFonts w:ascii="Palatino Linotype" w:hAnsi="Palatino Linotype"/>
        </w:rPr>
      </w:pPr>
      <w:r w:rsidRPr="006C49E4">
        <w:rPr>
          <w:rFonts w:ascii="Palatino Linotype" w:eastAsia="source serif 4" w:hAnsi="Palatino Linotype" w:cs="source serif 4"/>
          <w:color w:val="000000"/>
        </w:rPr>
        <w:t>Conclusion générale</w:t>
      </w:r>
    </w:p>
    <w:p w14:paraId="24590593" w14:textId="77777777" w:rsidR="00C5485A" w:rsidRPr="006C49E4" w:rsidRDefault="00000000">
      <w:pPr>
        <w:numPr>
          <w:ilvl w:val="0"/>
          <w:numId w:val="1"/>
        </w:numPr>
        <w:spacing w:before="105" w:after="105" w:line="360" w:lineRule="auto"/>
        <w:rPr>
          <w:rFonts w:ascii="Palatino Linotype" w:hAnsi="Palatino Linotype"/>
        </w:rPr>
      </w:pPr>
      <w:r w:rsidRPr="006C49E4">
        <w:rPr>
          <w:rFonts w:ascii="Palatino Linotype" w:eastAsia="source serif 4" w:hAnsi="Palatino Linotype" w:cs="source serif 4"/>
          <w:color w:val="000000"/>
        </w:rPr>
        <w:t>Bibliographie sélective</w:t>
      </w:r>
    </w:p>
    <w:p w14:paraId="0637B026" w14:textId="77777777" w:rsidR="00C5485A" w:rsidRPr="006C49E4" w:rsidRDefault="00000000">
      <w:pPr>
        <w:numPr>
          <w:ilvl w:val="0"/>
          <w:numId w:val="1"/>
        </w:numPr>
        <w:spacing w:before="105" w:after="105" w:line="360" w:lineRule="auto"/>
        <w:rPr>
          <w:rFonts w:ascii="Palatino Linotype" w:hAnsi="Palatino Linotype"/>
        </w:rPr>
      </w:pPr>
      <w:r w:rsidRPr="006C49E4">
        <w:rPr>
          <w:rFonts w:ascii="Palatino Linotype" w:eastAsia="source serif 4" w:hAnsi="Palatino Linotype" w:cs="source serif 4"/>
          <w:color w:val="000000"/>
        </w:rPr>
        <w:t>Annexes proposées</w:t>
      </w:r>
    </w:p>
    <w:p w14:paraId="216D49D2" w14:textId="77777777" w:rsidR="00C5485A" w:rsidRPr="006C49E4" w:rsidRDefault="00000000">
      <w:pPr>
        <w:spacing w:before="315" w:after="105" w:line="360" w:lineRule="auto"/>
        <w:ind w:left="-30"/>
        <w:rPr>
          <w:rFonts w:ascii="Palatino Linotype" w:hAnsi="Palatino Linotype"/>
        </w:rPr>
      </w:pPr>
      <w:bookmarkStart w:id="2" w:name="introduction_générale"/>
      <w:r w:rsidRPr="006C49E4">
        <w:rPr>
          <w:rFonts w:ascii="Palatino Linotype" w:eastAsia="source serif 4" w:hAnsi="Palatino Linotype" w:cs="source serif 4"/>
          <w:b/>
          <w:color w:val="000000"/>
          <w:sz w:val="24"/>
        </w:rPr>
        <w:t>Introduction générale</w:t>
      </w:r>
      <w:bookmarkEnd w:id="2"/>
    </w:p>
    <w:p w14:paraId="78B5B09D" w14:textId="08DA90F7" w:rsidR="00C5485A" w:rsidRPr="006C49E4" w:rsidRDefault="00000000" w:rsidP="006C49E4">
      <w:pPr>
        <w:spacing w:after="210" w:line="360" w:lineRule="auto"/>
        <w:jc w:val="both"/>
        <w:rPr>
          <w:rFonts w:ascii="Palatino Linotype" w:hAnsi="Palatino Linotype"/>
        </w:rPr>
      </w:pPr>
      <w:r w:rsidRPr="006C49E4">
        <w:rPr>
          <w:rFonts w:ascii="Palatino Linotype" w:eastAsia="source serif 4" w:hAnsi="Palatino Linotype" w:cs="source serif 4"/>
          <w:color w:val="000000"/>
        </w:rPr>
        <w:t>La criminalité contemporaine, dans ses manifestations les plus ordinaires comme dans ses formes les plus graves, ne peut plus être pensée exclusivement à travers la sanction pénale postérieure au passage à l'acte. La centralité de la réponse répressive demeure inhérente au droit pénal, mais une politique criminelle exclusivement tournée vers l'aval peine à contenir durablement les phénomènes de violence, de désorganisation relationnelle et de récidive. Dans cette perspective, la prévention ne saurait signifier ni l'effacement du droit ni l'extension incontrôlée de techniques d'évaluation du comportement, mais la construction d'instruments complémentaires, prudents et normativement encadrés.</w:t>
      </w:r>
    </w:p>
    <w:p w14:paraId="6D456122" w14:textId="42EC7B06" w:rsidR="00C5485A" w:rsidRPr="006C49E4" w:rsidRDefault="00000000" w:rsidP="006C49E4">
      <w:pPr>
        <w:spacing w:after="210" w:line="360" w:lineRule="auto"/>
        <w:jc w:val="both"/>
        <w:rPr>
          <w:rFonts w:ascii="Palatino Linotype" w:hAnsi="Palatino Linotype"/>
        </w:rPr>
      </w:pPr>
      <w:r w:rsidRPr="006C49E4">
        <w:rPr>
          <w:rFonts w:ascii="Palatino Linotype" w:eastAsia="source serif 4" w:hAnsi="Palatino Linotype" w:cs="source serif 4"/>
          <w:color w:val="000000"/>
        </w:rPr>
        <w:t>Le projet développé dans ce mémoire repose sur l'idée qu'une part importante des situations de violence interpersonnelle, de rupture sociale et de désorganisation comportementale se construit à travers une accumulation progressive de facteurs de vulnérabilité biologiques, psychologiques, relationnels et environnementaux. La question n'est donc pas de savoir s'il serait possible de prédire un criminel, perspective scientifiquement fragile et juridiquement dangereuse, mais s'il est possible de mieux repérer des états de fragilisation, de tension et de dysrégulation avant qu'ils n'évoluent vers des conséquences graves.</w:t>
      </w:r>
    </w:p>
    <w:p w14:paraId="19AC36FC" w14:textId="3D46B9BC" w:rsidR="00C5485A" w:rsidRPr="006C49E4" w:rsidRDefault="00000000" w:rsidP="006C49E4">
      <w:pPr>
        <w:spacing w:after="210" w:line="360" w:lineRule="auto"/>
        <w:jc w:val="both"/>
        <w:rPr>
          <w:rFonts w:ascii="Palatino Linotype" w:hAnsi="Palatino Linotype"/>
        </w:rPr>
      </w:pPr>
      <w:r w:rsidRPr="006C49E4">
        <w:rPr>
          <w:rFonts w:ascii="Palatino Linotype" w:eastAsia="source serif 4" w:hAnsi="Palatino Linotype" w:cs="source serif 4"/>
          <w:color w:val="000000"/>
        </w:rPr>
        <w:lastRenderedPageBreak/>
        <w:t xml:space="preserve">Le mémoire adopte ainsi une perspective de prévention secondaire et de </w:t>
      </w:r>
      <w:proofErr w:type="spellStart"/>
      <w:r w:rsidRPr="006C49E4">
        <w:rPr>
          <w:rFonts w:ascii="Palatino Linotype" w:eastAsia="source serif 4" w:hAnsi="Palatino Linotype" w:cs="source serif 4"/>
          <w:color w:val="000000"/>
        </w:rPr>
        <w:t>préorientation</w:t>
      </w:r>
      <w:proofErr w:type="spellEnd"/>
      <w:r w:rsidRPr="006C49E4">
        <w:rPr>
          <w:rFonts w:ascii="Palatino Linotype" w:eastAsia="source serif 4" w:hAnsi="Palatino Linotype" w:cs="source serif 4"/>
          <w:color w:val="000000"/>
        </w:rPr>
        <w:t xml:space="preserve">. Il ne propose ni un système de surveillance ni un outil de classification pénale, mais un modèle de santé publique juridiquement domestiqué, centré sur le volontariat, la confidentialité, la non-stigmatisation et l'orientation proportionnée. Son cas d'application est </w:t>
      </w:r>
      <w:proofErr w:type="spellStart"/>
      <w:r w:rsidRPr="006C49E4">
        <w:rPr>
          <w:rFonts w:ascii="Palatino Linotype" w:eastAsia="source serif 4" w:hAnsi="Palatino Linotype" w:cs="source serif 4"/>
          <w:color w:val="000000"/>
        </w:rPr>
        <w:t>NeuroSync</w:t>
      </w:r>
      <w:proofErr w:type="spellEnd"/>
      <w:r w:rsidRPr="006C49E4">
        <w:rPr>
          <w:rFonts w:ascii="Palatino Linotype" w:eastAsia="source serif 4" w:hAnsi="Palatino Linotype" w:cs="source serif 4"/>
          <w:color w:val="000000"/>
        </w:rPr>
        <w:t xml:space="preserve"> 4.0, prototype numérique grand public pensé comme porte d'entrée d'un continuum allant de l'apaisement guidé à l'orientation rapide vers une ressource d'accompagnement.</w:t>
      </w:r>
    </w:p>
    <w:p w14:paraId="7EC62F18" w14:textId="7B62C884" w:rsidR="00C5485A" w:rsidRPr="006C49E4" w:rsidRDefault="00000000" w:rsidP="006C49E4">
      <w:pPr>
        <w:spacing w:after="210" w:line="360" w:lineRule="auto"/>
        <w:jc w:val="both"/>
        <w:rPr>
          <w:rFonts w:ascii="Palatino Linotype" w:hAnsi="Palatino Linotype"/>
        </w:rPr>
      </w:pPr>
      <w:r w:rsidRPr="006C49E4">
        <w:rPr>
          <w:rFonts w:ascii="Palatino Linotype" w:eastAsia="source serif 4" w:hAnsi="Palatino Linotype" w:cs="source serif 4"/>
          <w:color w:val="000000"/>
        </w:rPr>
        <w:t xml:space="preserve">La problématique centrale peut être formulée ainsi : dans quelle mesure le droit positif algérien permet-il d'organiser une collaboration interdisciplinaire au service de la prévention de certaines trajectoires menant à des violences interpersonnelles, au moyen d'un dispositif numérique de repérage précoce et de </w:t>
      </w:r>
      <w:proofErr w:type="spellStart"/>
      <w:r w:rsidRPr="006C49E4">
        <w:rPr>
          <w:rFonts w:ascii="Palatino Linotype" w:eastAsia="source serif 4" w:hAnsi="Palatino Linotype" w:cs="source serif 4"/>
          <w:color w:val="000000"/>
        </w:rPr>
        <w:t>préorientation</w:t>
      </w:r>
      <w:proofErr w:type="spellEnd"/>
      <w:r w:rsidRPr="006C49E4">
        <w:rPr>
          <w:rFonts w:ascii="Palatino Linotype" w:eastAsia="source serif 4" w:hAnsi="Palatino Linotype" w:cs="source serif 4"/>
          <w:color w:val="000000"/>
        </w:rPr>
        <w:t>, sans méconnaître les garanties attachées aux libertés individuelles, aux données personnelles et aux procédés biologiques ?</w:t>
      </w:r>
    </w:p>
    <w:p w14:paraId="1409ABD9" w14:textId="5E81AB87" w:rsidR="00C5485A" w:rsidRPr="006C49E4" w:rsidRDefault="00000000" w:rsidP="006C49E4">
      <w:pPr>
        <w:spacing w:after="210" w:line="360" w:lineRule="auto"/>
        <w:jc w:val="both"/>
        <w:rPr>
          <w:rFonts w:ascii="Palatino Linotype" w:hAnsi="Palatino Linotype"/>
        </w:rPr>
      </w:pPr>
      <w:r w:rsidRPr="006C49E4">
        <w:rPr>
          <w:rFonts w:ascii="Palatino Linotype" w:eastAsia="source serif 4" w:hAnsi="Palatino Linotype" w:cs="source serif 4"/>
          <w:color w:val="000000"/>
        </w:rPr>
        <w:t xml:space="preserve">Le mémoire défend quatre hypothèses principales. Premièrement, certaines situations de rupture violente ou de passage à l'acte sont précédées de signaux psychiques, comportementaux ou relationnels repérables. Deuxièmement, un outil numérique simple, volontaire et bien conçu peut faciliter ce repérage en amont, à condition de rester dans un cadre de </w:t>
      </w:r>
      <w:proofErr w:type="spellStart"/>
      <w:r w:rsidRPr="006C49E4">
        <w:rPr>
          <w:rFonts w:ascii="Palatino Linotype" w:eastAsia="source serif 4" w:hAnsi="Palatino Linotype" w:cs="source serif 4"/>
          <w:color w:val="000000"/>
        </w:rPr>
        <w:t>préorientation</w:t>
      </w:r>
      <w:proofErr w:type="spellEnd"/>
      <w:r w:rsidRPr="006C49E4">
        <w:rPr>
          <w:rFonts w:ascii="Palatino Linotype" w:eastAsia="source serif 4" w:hAnsi="Palatino Linotype" w:cs="source serif 4"/>
          <w:color w:val="000000"/>
        </w:rPr>
        <w:t>. Troisièmement, l'utilité sociale d'un tel outil dépend moins d'une promesse de prédiction que de sa capacité à améliorer l'accès à l'aide et à contenir l'escalade des crises. Quatrièmement, toute tentative de prévention dans ce domaine doit être strictement gouvernée par le droit, la protection des données, la sobriété méthodologique et un langage public non stigmatisant.</w:t>
      </w:r>
    </w:p>
    <w:p w14:paraId="52126EAF" w14:textId="77777777" w:rsidR="00C5485A" w:rsidRPr="006C49E4" w:rsidRDefault="00000000">
      <w:pPr>
        <w:spacing w:before="315" w:after="105" w:line="360" w:lineRule="auto"/>
        <w:ind w:left="-30"/>
        <w:rPr>
          <w:rFonts w:ascii="Palatino Linotype" w:hAnsi="Palatino Linotype"/>
        </w:rPr>
      </w:pPr>
      <w:bookmarkStart w:id="3" w:name="première_partie_fondements_théori_762220"/>
      <w:r w:rsidRPr="006C49E4">
        <w:rPr>
          <w:rFonts w:ascii="Palatino Linotype" w:eastAsia="source serif 4" w:hAnsi="Palatino Linotype" w:cs="source serif 4"/>
          <w:b/>
          <w:color w:val="000000"/>
          <w:sz w:val="24"/>
        </w:rPr>
        <w:t>Première partie — Fondements théoriques, criminologiques et conceptuels</w:t>
      </w:r>
      <w:bookmarkEnd w:id="3"/>
    </w:p>
    <w:p w14:paraId="282D1B06" w14:textId="77777777" w:rsidR="00C5485A" w:rsidRPr="006C49E4" w:rsidRDefault="00000000">
      <w:pPr>
        <w:spacing w:before="315" w:after="105" w:line="360" w:lineRule="auto"/>
        <w:ind w:left="-30"/>
        <w:rPr>
          <w:rFonts w:ascii="Palatino Linotype" w:hAnsi="Palatino Linotype"/>
        </w:rPr>
      </w:pPr>
      <w:bookmarkStart w:id="4" w:name="chapitre_1_violences_interpersonn_745721"/>
      <w:r w:rsidRPr="006C49E4">
        <w:rPr>
          <w:rFonts w:ascii="Palatino Linotype" w:eastAsia="source serif 4" w:hAnsi="Palatino Linotype" w:cs="source serif 4"/>
          <w:b/>
          <w:color w:val="000000"/>
          <w:sz w:val="24"/>
        </w:rPr>
        <w:t>Chapitre 1 — Violences interpersonnelles, crises comportementales et vulnérabilités biopsychosociales</w:t>
      </w:r>
      <w:bookmarkEnd w:id="4"/>
    </w:p>
    <w:p w14:paraId="65727AC9" w14:textId="3CB4D34D"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Les violences interpersonnelles recouvrent un continuum allant de l'agression verbale, de la menace, du harcèlement et de l'intimidation jusqu'aux atteintes physiques graves, aux violences intrafamiliales, aux conduites auto-agressives et aux passages à l'acte hétéro-agressifs. Leur compréhension exige de dépasser les oppositions simplistes entre normalité et pathologie, ou entre sujet sain et sujet dangereux.</w:t>
      </w:r>
    </w:p>
    <w:p w14:paraId="73DD6767" w14:textId="2552E394"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lastRenderedPageBreak/>
        <w:t>Dans la plupart des cas, les conduites violentes n'ont pas une cause unique. Elles émergent de l'interaction entre des vulnérabilités tempéramentales, des antécédents développementaux, le stress chronique, la précarité, les conflits relationnels, l'isolement, la fatigue psychique, les troubles du sommeil et l'altération du contrôle inhibiteur. Le cadre biopsychosocial permet de saisir cette pluralité sans réduire les conduites humaines à un seul registre explicatif.</w:t>
      </w:r>
    </w:p>
    <w:p w14:paraId="0FD4DA53" w14:textId="01D2F713"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Dans le contexte algérien, plusieurs facteurs renforcent l'intérêt d'une approche préventive : obstacles culturels à la demande de soutien, peur du jugement, confusion entre psychiatrie et folie, rareté de certaines ressources et distance entre le vocabulaire clinique et le langage du grand public. Ce déplacement conceptuel est décisif : l'unité d'analyse n'est pas ici la criminalité comme catégorie juridico-pénale première, mais la trajectoire de vulnérabilité pouvant, dans certains cas, déboucher sur une crise grave ou sur des violences interpersonnelles.</w:t>
      </w:r>
    </w:p>
    <w:p w14:paraId="73C85806" w14:textId="77777777" w:rsidR="00C5485A" w:rsidRPr="006C49E4" w:rsidRDefault="00000000">
      <w:pPr>
        <w:spacing w:before="315" w:after="105" w:line="360" w:lineRule="auto"/>
        <w:ind w:left="-30"/>
        <w:rPr>
          <w:rFonts w:ascii="Palatino Linotype" w:hAnsi="Palatino Linotype"/>
        </w:rPr>
      </w:pPr>
      <w:bookmarkStart w:id="5" w:name="chapitre_2_modèle_biopsychosocial_640ce9"/>
      <w:r w:rsidRPr="006C49E4">
        <w:rPr>
          <w:rFonts w:ascii="Palatino Linotype" w:eastAsia="source serif 4" w:hAnsi="Palatino Linotype" w:cs="source serif 4"/>
          <w:b/>
          <w:color w:val="000000"/>
          <w:sz w:val="24"/>
        </w:rPr>
        <w:t>Chapitre 2 — Modèle biopsychosocial, diathèse-stress et fenêtre d'intervention critique</w:t>
      </w:r>
      <w:bookmarkEnd w:id="5"/>
    </w:p>
    <w:p w14:paraId="67E5CF05" w14:textId="155D5312"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Le modèle biopsychosocial constitue le socle épistémologique du travail. Il postule que les conduites humaines résultent d'interactions permanentes entre facteurs biologiques, psychologiques et sociaux, ce qui implique qu'aucune stratégie de prévention sérieuse ne peut ignorer ni les mécanismes neurocognitifs de la régulation émotionnelle ni les déterminants relationnels et environnementaux.</w:t>
      </w:r>
    </w:p>
    <w:p w14:paraId="7643E1EF" w14:textId="530BD2FB"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 xml:space="preserve">Le modèle diathèse-stress complète cette approche en montrant qu'une vulnérabilité préexistante peut rester silencieuse puis s'actualiser sous l'effet de </w:t>
      </w:r>
      <w:proofErr w:type="spellStart"/>
      <w:r w:rsidRPr="006C49E4">
        <w:rPr>
          <w:rFonts w:ascii="Palatino Linotype" w:eastAsia="source serif 4" w:hAnsi="Palatino Linotype" w:cs="source serif 4"/>
          <w:color w:val="000000"/>
        </w:rPr>
        <w:t>stresseurs</w:t>
      </w:r>
      <w:proofErr w:type="spellEnd"/>
      <w:r w:rsidRPr="006C49E4">
        <w:rPr>
          <w:rFonts w:ascii="Palatino Linotype" w:eastAsia="source serif 4" w:hAnsi="Palatino Linotype" w:cs="source serif 4"/>
          <w:color w:val="000000"/>
        </w:rPr>
        <w:t xml:space="preserve"> ou d'une accumulation de stress. Cette articulation est particulièrement utile pour penser l'impulsivité, la dysrégulation émotionnelle, la colère réactive et certains passages à l'acte. Entre la vulnérabilité et la crise existe souvent une fenêtre d'intervention critique, marquée par des signaux comme la fatigue psychique, l'irritabilité, la désorganisation, le retrait social, la tension relationnelle ou l'augmentation des réactions impulsives.</w:t>
      </w:r>
    </w:p>
    <w:p w14:paraId="253F75FA" w14:textId="77777777" w:rsidR="00C5485A" w:rsidRPr="006C49E4" w:rsidRDefault="00000000">
      <w:pPr>
        <w:spacing w:before="315" w:after="105" w:line="360" w:lineRule="auto"/>
        <w:ind w:left="-30"/>
        <w:rPr>
          <w:rFonts w:ascii="Palatino Linotype" w:hAnsi="Palatino Linotype"/>
        </w:rPr>
      </w:pPr>
      <w:bookmarkStart w:id="6" w:name="chapitre_3_du_paradigme_de_prédic_820152"/>
      <w:r w:rsidRPr="006C49E4">
        <w:rPr>
          <w:rFonts w:ascii="Palatino Linotype" w:eastAsia="source serif 4" w:hAnsi="Palatino Linotype" w:cs="source serif 4"/>
          <w:b/>
          <w:color w:val="000000"/>
          <w:sz w:val="24"/>
        </w:rPr>
        <w:t xml:space="preserve">Chapitre 3 — Du paradigme de prédiction au paradigme de </w:t>
      </w:r>
      <w:proofErr w:type="spellStart"/>
      <w:r w:rsidRPr="006C49E4">
        <w:rPr>
          <w:rFonts w:ascii="Palatino Linotype" w:eastAsia="source serif 4" w:hAnsi="Palatino Linotype" w:cs="source serif 4"/>
          <w:b/>
          <w:color w:val="000000"/>
          <w:sz w:val="24"/>
        </w:rPr>
        <w:t>préorientation</w:t>
      </w:r>
      <w:bookmarkEnd w:id="6"/>
      <w:proofErr w:type="spellEnd"/>
    </w:p>
    <w:p w14:paraId="0E9DBDE2" w14:textId="1647D5E4"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L'une des confusions les plus graves dans ce type de projet consiste à assimiler prévention et prédiction. La prévention vise à réduire des vulnérabilités, à soutenir l'accès à l'aide et à contenir des dynamiques d'escalade, tandis que la prédiction prétend anticiper le comportement futur d'un individu et tend à dériver vers le profilage, le soupçon et l'assignation.</w:t>
      </w:r>
    </w:p>
    <w:p w14:paraId="548A3435" w14:textId="60DA2F18"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lastRenderedPageBreak/>
        <w:t xml:space="preserve">Le passage d'un paradigme de prédiction à un paradigme de </w:t>
      </w:r>
      <w:proofErr w:type="spellStart"/>
      <w:r w:rsidRPr="006C49E4">
        <w:rPr>
          <w:rFonts w:ascii="Palatino Linotype" w:eastAsia="source serif 4" w:hAnsi="Palatino Linotype" w:cs="source serif 4"/>
          <w:color w:val="000000"/>
        </w:rPr>
        <w:t>préorientation</w:t>
      </w:r>
      <w:proofErr w:type="spellEnd"/>
      <w:r w:rsidRPr="006C49E4">
        <w:rPr>
          <w:rFonts w:ascii="Palatino Linotype" w:eastAsia="source serif 4" w:hAnsi="Palatino Linotype" w:cs="source serif 4"/>
          <w:color w:val="000000"/>
        </w:rPr>
        <w:t xml:space="preserve"> constitue donc une exigence scientifique autant que juridique. Les sorties du dispositif ne sont ni des diagnostics, ni des scores de dangerosité, mais des recommandations de parcours : </w:t>
      </w:r>
      <w:proofErr w:type="spellStart"/>
      <w:r w:rsidRPr="006C49E4">
        <w:rPr>
          <w:rFonts w:ascii="Palatino Linotype" w:eastAsia="source serif 4" w:hAnsi="Palatino Linotype" w:cs="source serif 4"/>
          <w:color w:val="000000"/>
        </w:rPr>
        <w:t>auto-apaisement</w:t>
      </w:r>
      <w:proofErr w:type="spellEnd"/>
      <w:r w:rsidRPr="006C49E4">
        <w:rPr>
          <w:rFonts w:ascii="Palatino Linotype" w:eastAsia="source serif 4" w:hAnsi="Palatino Linotype" w:cs="source serif 4"/>
          <w:color w:val="000000"/>
        </w:rPr>
        <w:t xml:space="preserve"> guidé, consultation conseillée, contact rapide recommandé ou aide immédiate. Les facteurs restitués à l'écran doivent être présentés comme des indicateurs compréhensibles de fatigue psychique, de tension émotionnelle, de concentration affectée ou de tension relationnelle, et non comme des étiquettes psychiatriques ou criminologiques.</w:t>
      </w:r>
    </w:p>
    <w:p w14:paraId="5501BC6E" w14:textId="77777777" w:rsidR="00C5485A" w:rsidRPr="006C49E4" w:rsidRDefault="00000000">
      <w:pPr>
        <w:spacing w:before="315" w:after="105" w:line="360" w:lineRule="auto"/>
        <w:ind w:left="-30"/>
        <w:rPr>
          <w:rFonts w:ascii="Palatino Linotype" w:hAnsi="Palatino Linotype"/>
        </w:rPr>
      </w:pPr>
      <w:bookmarkStart w:id="7" w:name="deuxième_partie_ancrage_dans_le_d_e4e1bb"/>
      <w:r w:rsidRPr="006C49E4">
        <w:rPr>
          <w:rFonts w:ascii="Palatino Linotype" w:eastAsia="source serif 4" w:hAnsi="Palatino Linotype" w:cs="source serif 4"/>
          <w:b/>
          <w:color w:val="000000"/>
          <w:sz w:val="24"/>
        </w:rPr>
        <w:t>Deuxième partie — Ancrage dans le droit positif algérien</w:t>
      </w:r>
      <w:bookmarkEnd w:id="7"/>
    </w:p>
    <w:p w14:paraId="3EA6A65F" w14:textId="691CFCAA" w:rsidR="00C5485A" w:rsidRPr="006C49E4" w:rsidRDefault="00000000">
      <w:pPr>
        <w:spacing w:before="315" w:after="105" w:line="360" w:lineRule="auto"/>
        <w:ind w:left="-30"/>
        <w:rPr>
          <w:rFonts w:ascii="Palatino Linotype" w:hAnsi="Palatino Linotype"/>
        </w:rPr>
      </w:pPr>
      <w:bookmarkStart w:id="8" w:name="chapitre_4_la_loi_n_16_03_et_les_c24cb3"/>
      <w:r w:rsidRPr="006C49E4">
        <w:rPr>
          <w:rFonts w:ascii="Palatino Linotype" w:eastAsia="source serif 4" w:hAnsi="Palatino Linotype" w:cs="source serif 4"/>
          <w:b/>
          <w:color w:val="000000"/>
          <w:sz w:val="24"/>
        </w:rPr>
        <w:t xml:space="preserve">Chapitre 4 — </w:t>
      </w:r>
      <w:bookmarkEnd w:id="8"/>
      <w:r w:rsidR="006C49E4" w:rsidRPr="006C49E4">
        <w:rPr>
          <w:rFonts w:ascii="Palatino Linotype" w:eastAsia="source serif 4" w:hAnsi="Palatino Linotype" w:cs="source serif 4"/>
          <w:b/>
          <w:color w:val="000000"/>
          <w:sz w:val="24"/>
        </w:rPr>
        <w:t>Données génétiques, épigénétiques et biologiques : bornes juridiques et place résiduelle dans le modèle proposé</w:t>
      </w:r>
    </w:p>
    <w:p w14:paraId="0214C074" w14:textId="77777777" w:rsidR="006C49E4" w:rsidRPr="006C49E4" w:rsidRDefault="006C49E4" w:rsidP="006C49E4">
      <w:pPr>
        <w:spacing w:after="210" w:line="360" w:lineRule="auto"/>
        <w:jc w:val="both"/>
        <w:rPr>
          <w:rFonts w:ascii="Palatino Linotype" w:eastAsia="source serif 4" w:hAnsi="Palatino Linotype" w:cs="source serif 4"/>
          <w:color w:val="000000"/>
        </w:rPr>
      </w:pPr>
      <w:r w:rsidRPr="006C49E4">
        <w:rPr>
          <w:rFonts w:ascii="Palatino Linotype" w:eastAsia="source serif 4" w:hAnsi="Palatino Linotype" w:cs="source serif 4"/>
          <w:color w:val="000000"/>
        </w:rPr>
        <w:t>La loi n° 16-03 du 19 juin 2016 relative à l’utilisation de l’empreinte génétique encadre un usage strictement judiciaire et identificatoire de l’ADN ; elle n’a ni pour objet ni pour effet d’autoriser un recours préventif grand public à l’empreinte génétique.</w:t>
      </w:r>
    </w:p>
    <w:p w14:paraId="1DE4FAFA" w14:textId="77777777" w:rsidR="006C49E4" w:rsidRPr="006C49E4" w:rsidRDefault="006C49E4" w:rsidP="006C49E4">
      <w:pPr>
        <w:spacing w:after="210" w:line="360" w:lineRule="auto"/>
        <w:jc w:val="both"/>
        <w:rPr>
          <w:rFonts w:ascii="Palatino Linotype" w:eastAsia="source serif 4" w:hAnsi="Palatino Linotype" w:cs="source serif 4"/>
          <w:color w:val="000000"/>
        </w:rPr>
      </w:pPr>
      <w:r w:rsidRPr="006C49E4">
        <w:rPr>
          <w:rFonts w:ascii="Palatino Linotype" w:eastAsia="source serif 4" w:hAnsi="Palatino Linotype" w:cs="source serif 4"/>
          <w:color w:val="000000"/>
        </w:rPr>
        <w:t xml:space="preserve">En conséquence, le prototype </w:t>
      </w:r>
      <w:proofErr w:type="spellStart"/>
      <w:r w:rsidRPr="006C49E4">
        <w:rPr>
          <w:rFonts w:ascii="Palatino Linotype" w:eastAsia="source serif 4" w:hAnsi="Palatino Linotype" w:cs="source serif 4"/>
          <w:color w:val="000000"/>
        </w:rPr>
        <w:t>NeuroSync</w:t>
      </w:r>
      <w:proofErr w:type="spellEnd"/>
      <w:r w:rsidRPr="006C49E4">
        <w:rPr>
          <w:rFonts w:ascii="Palatino Linotype" w:eastAsia="source serif 4" w:hAnsi="Palatino Linotype" w:cs="source serif 4"/>
          <w:color w:val="000000"/>
        </w:rPr>
        <w:t xml:space="preserve"> 4.0 ne relève pas de ce régime, dès lors qu’il n’a pas vocation à procéder à des prélèvements biologiques ni à constituer des fichiers génétiques à finalité judiciaire.</w:t>
      </w:r>
    </w:p>
    <w:p w14:paraId="798605AD" w14:textId="77777777" w:rsidR="006C49E4" w:rsidRPr="006C49E4" w:rsidRDefault="006C49E4" w:rsidP="006C49E4">
      <w:pPr>
        <w:spacing w:after="210" w:line="360" w:lineRule="auto"/>
        <w:jc w:val="both"/>
        <w:rPr>
          <w:rFonts w:ascii="Palatino Linotype" w:eastAsia="source serif 4" w:hAnsi="Palatino Linotype" w:cs="source serif 4"/>
          <w:color w:val="000000"/>
        </w:rPr>
      </w:pPr>
      <w:r w:rsidRPr="006C49E4">
        <w:rPr>
          <w:rFonts w:ascii="Palatino Linotype" w:eastAsia="source serif 4" w:hAnsi="Palatino Linotype" w:cs="source serif 4"/>
          <w:color w:val="000000"/>
        </w:rPr>
        <w:t xml:space="preserve">Si une réflexion scientifique complémentaire devait porter, à l’avenir, sur des marqueurs génétiques ou épigénétiques, elle devrait être dissociée du dispositif grand public de </w:t>
      </w:r>
      <w:proofErr w:type="spellStart"/>
      <w:r w:rsidRPr="006C49E4">
        <w:rPr>
          <w:rFonts w:ascii="Palatino Linotype" w:eastAsia="source serif 4" w:hAnsi="Palatino Linotype" w:cs="source serif 4"/>
          <w:color w:val="000000"/>
        </w:rPr>
        <w:t>préorientation</w:t>
      </w:r>
      <w:proofErr w:type="spellEnd"/>
      <w:r w:rsidRPr="006C49E4">
        <w:rPr>
          <w:rFonts w:ascii="Palatino Linotype" w:eastAsia="source serif 4" w:hAnsi="Palatino Linotype" w:cs="source serif 4"/>
          <w:color w:val="000000"/>
        </w:rPr>
        <w:t xml:space="preserve"> et rattachée à un cadre autonome de recherche ou d’évaluation dans le domaine de la santé.</w:t>
      </w:r>
    </w:p>
    <w:p w14:paraId="543AE244" w14:textId="77777777" w:rsidR="006C49E4" w:rsidRPr="006C49E4" w:rsidRDefault="006C49E4" w:rsidP="006C49E4">
      <w:pPr>
        <w:spacing w:after="210" w:line="360" w:lineRule="auto"/>
        <w:jc w:val="both"/>
        <w:rPr>
          <w:rFonts w:ascii="Palatino Linotype" w:eastAsia="source serif 4" w:hAnsi="Palatino Linotype" w:cs="source serif 4"/>
          <w:color w:val="000000"/>
        </w:rPr>
      </w:pPr>
      <w:r w:rsidRPr="006C49E4">
        <w:rPr>
          <w:rFonts w:ascii="Palatino Linotype" w:eastAsia="source serif 4" w:hAnsi="Palatino Linotype" w:cs="source serif 4"/>
          <w:color w:val="000000"/>
        </w:rPr>
        <w:t>Un tel traitement relèverait alors principalement du droit des données personnelles, les données génétiques étant qualifiées de données sensibles et de données de santé par la loi n° 18-07.</w:t>
      </w:r>
    </w:p>
    <w:p w14:paraId="0BD82B2A" w14:textId="5A9B137E" w:rsidR="00C5485A" w:rsidRPr="006C49E4" w:rsidRDefault="006C49E4" w:rsidP="006C49E4">
      <w:pPr>
        <w:spacing w:after="210" w:line="360" w:lineRule="auto"/>
        <w:jc w:val="both"/>
        <w:rPr>
          <w:rFonts w:ascii="Palatino Linotype" w:eastAsia="source serif 4" w:hAnsi="Palatino Linotype" w:cs="source serif 4"/>
          <w:color w:val="000000"/>
        </w:rPr>
      </w:pPr>
      <w:r w:rsidRPr="006C49E4">
        <w:rPr>
          <w:rFonts w:ascii="Palatino Linotype" w:eastAsia="source serif 4" w:hAnsi="Palatino Linotype" w:cs="source serif 4"/>
          <w:color w:val="000000"/>
        </w:rPr>
        <w:t>Dès lors, la logique juridiquement la plus sûre consiste à exclure tout recueil biologique du noyau applicatif destiné au public et à réserver les hypothèses biologiques à un axe secondaire, non décisionnel, soumis à autorisation, consentement exprès et gouvernance renforcée.</w:t>
      </w:r>
    </w:p>
    <w:p w14:paraId="7EFCA8F8" w14:textId="77777777" w:rsidR="00C5485A" w:rsidRPr="006C49E4" w:rsidRDefault="00000000">
      <w:pPr>
        <w:spacing w:before="315" w:after="105" w:line="360" w:lineRule="auto"/>
        <w:ind w:left="-30"/>
        <w:rPr>
          <w:rFonts w:ascii="Palatino Linotype" w:hAnsi="Palatino Linotype"/>
        </w:rPr>
      </w:pPr>
      <w:bookmarkStart w:id="9" w:name="chapitre_5_la_loi_n_18_07_modifié_9bdc7c"/>
      <w:r w:rsidRPr="006C49E4">
        <w:rPr>
          <w:rFonts w:ascii="Palatino Linotype" w:eastAsia="source serif 4" w:hAnsi="Palatino Linotype" w:cs="source serif 4"/>
          <w:b/>
          <w:color w:val="000000"/>
          <w:sz w:val="24"/>
        </w:rPr>
        <w:t>Chapitre 5 — La loi n° 18-07 modifiée par la loi n° 25-11 : données personnelles, données sensibles et profilage</w:t>
      </w:r>
      <w:bookmarkEnd w:id="9"/>
    </w:p>
    <w:p w14:paraId="3DEB3392" w14:textId="6C2042DE"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lastRenderedPageBreak/>
        <w:t>La loi n° 18-07 relative à la protection des personnes physiques dans le traitement des données à caractère personnel, modifiée et complétée par la loi n° 25-11, constitue le socle principal d'encadrement juridique du projet. Le traitement de données relatives à l'état émotionnel, psychique, comportemental, relationnel ou sanitaire d'une personne relève d'un domaine hautement sensible, ce qui impose une discipline rigoureuse en matière de finalité, de proportionnalité, de consentement, de sécurité, de transparence, de profilage et de gouvernance.</w:t>
      </w:r>
    </w:p>
    <w:p w14:paraId="03263D16" w14:textId="4A844126"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 xml:space="preserve">Pour un dispositif comme </w:t>
      </w:r>
      <w:proofErr w:type="spellStart"/>
      <w:r w:rsidRPr="006C49E4">
        <w:rPr>
          <w:rFonts w:ascii="Palatino Linotype" w:eastAsia="source serif 4" w:hAnsi="Palatino Linotype" w:cs="source serif 4"/>
          <w:color w:val="000000"/>
        </w:rPr>
        <w:t>NeuroSync</w:t>
      </w:r>
      <w:proofErr w:type="spellEnd"/>
      <w:r w:rsidRPr="006C49E4">
        <w:rPr>
          <w:rFonts w:ascii="Palatino Linotype" w:eastAsia="source serif 4" w:hAnsi="Palatino Linotype" w:cs="source serif 4"/>
          <w:color w:val="000000"/>
        </w:rPr>
        <w:t xml:space="preserve">, cela implique plusieurs exigences non négociables : finalité déterminée et explicite, minimisation des données, traitement local quand cela est possible, absence de collecte nominative excessive, sécurité technique et organisationnelle, documentation de la gouvernance et information claire de l'usager. Il faut en outre reconnaître qu'un identifiant local, un QR code de liaison ou un résumé exportable ne relèvent pas d'une anonymisation absolue, mais au mieux d'une </w:t>
      </w:r>
      <w:proofErr w:type="spellStart"/>
      <w:r w:rsidRPr="006C49E4">
        <w:rPr>
          <w:rFonts w:ascii="Palatino Linotype" w:eastAsia="source serif 4" w:hAnsi="Palatino Linotype" w:cs="source serif 4"/>
          <w:color w:val="000000"/>
        </w:rPr>
        <w:t>pseudonymisation</w:t>
      </w:r>
      <w:proofErr w:type="spellEnd"/>
      <w:r w:rsidRPr="006C49E4">
        <w:rPr>
          <w:rFonts w:ascii="Palatino Linotype" w:eastAsia="source serif 4" w:hAnsi="Palatino Linotype" w:cs="source serif 4"/>
          <w:color w:val="000000"/>
        </w:rPr>
        <w:t xml:space="preserve"> fonctionnelle, ce qui commande une prudence extrême.</w:t>
      </w:r>
    </w:p>
    <w:p w14:paraId="6D022EAF" w14:textId="77777777" w:rsidR="00C5485A" w:rsidRPr="006C49E4" w:rsidRDefault="00000000">
      <w:pPr>
        <w:spacing w:before="315" w:after="105" w:line="360" w:lineRule="auto"/>
        <w:ind w:left="-30"/>
        <w:rPr>
          <w:rFonts w:ascii="Palatino Linotype" w:hAnsi="Palatino Linotype"/>
        </w:rPr>
      </w:pPr>
      <w:bookmarkStart w:id="10" w:name="chapitre_6_droits_fondamentaux_tr_648056"/>
      <w:r w:rsidRPr="006C49E4">
        <w:rPr>
          <w:rFonts w:ascii="Palatino Linotype" w:eastAsia="source serif 4" w:hAnsi="Palatino Linotype" w:cs="source serif 4"/>
          <w:b/>
          <w:color w:val="000000"/>
          <w:sz w:val="24"/>
        </w:rPr>
        <w:t>Chapitre 6 — Droits fondamentaux, traitement automatisé et gouvernance institutionnelle</w:t>
      </w:r>
      <w:bookmarkEnd w:id="10"/>
    </w:p>
    <w:p w14:paraId="07C5EA8A" w14:textId="0B97F01C"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La conformité formelle d'un traitement n'épuise pas la question de sa légitimité. Un dispositif préventif mal conçu peut dériver vers la surveillance diffuse, la réidentification, l'auto-stigmatisation ou la circulation informelle d'appréciations défavorables sur des personnes vulnérables. Il convient donc de rappeler qu'aucune décision produisant des effets juridiques ou significatifs ne peut être fondée exclusivement sur un traitement automatisé d'évaluation du comportement ou de la personnalité.</w:t>
      </w:r>
    </w:p>
    <w:p w14:paraId="4EC35705" w14:textId="2D4D93A5"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 xml:space="preserve">Dès lors, l'orientation fournie par </w:t>
      </w:r>
      <w:proofErr w:type="spellStart"/>
      <w:r w:rsidRPr="006C49E4">
        <w:rPr>
          <w:rFonts w:ascii="Palatino Linotype" w:eastAsia="source serif 4" w:hAnsi="Palatino Linotype" w:cs="source serif 4"/>
          <w:color w:val="000000"/>
        </w:rPr>
        <w:t>NeuroSync</w:t>
      </w:r>
      <w:proofErr w:type="spellEnd"/>
      <w:r w:rsidRPr="006C49E4">
        <w:rPr>
          <w:rFonts w:ascii="Palatino Linotype" w:eastAsia="source serif 4" w:hAnsi="Palatino Linotype" w:cs="source serif 4"/>
          <w:color w:val="000000"/>
        </w:rPr>
        <w:t xml:space="preserve"> ne doit jamais être présentée comme un verdict, mais comme une aide à la décision volontaire, intelligible et révisable. La gouvernance institutionnelle doit être pensée en amont : responsable du traitement, documentation, contrôle, audit, gestion des incidents, sécurité, hébergement et base légale doivent être clairement définis.</w:t>
      </w:r>
    </w:p>
    <w:p w14:paraId="36EE3F12" w14:textId="44AE6378" w:rsidR="00C5485A" w:rsidRPr="006C49E4" w:rsidRDefault="00000000">
      <w:pPr>
        <w:spacing w:before="315" w:after="105" w:line="360" w:lineRule="auto"/>
        <w:ind w:left="-30"/>
        <w:rPr>
          <w:rFonts w:ascii="Palatino Linotype" w:hAnsi="Palatino Linotype"/>
        </w:rPr>
      </w:pPr>
      <w:bookmarkStart w:id="11" w:name="troisième_partie_étude_de_cas_neu_a2d97a"/>
      <w:r w:rsidRPr="006C49E4">
        <w:rPr>
          <w:rFonts w:ascii="Palatino Linotype" w:eastAsia="source serif 4" w:hAnsi="Palatino Linotype" w:cs="source serif 4"/>
          <w:b/>
          <w:color w:val="000000"/>
          <w:sz w:val="24"/>
        </w:rPr>
        <w:t xml:space="preserve">Troisième partie — Étude de cas : </w:t>
      </w:r>
      <w:hyperlink r:id="rId7" w:history="1">
        <w:proofErr w:type="spellStart"/>
        <w:r w:rsidR="00C5485A" w:rsidRPr="00BF5300">
          <w:rPr>
            <w:rStyle w:val="Hyperlink"/>
            <w:rFonts w:ascii="Palatino Linotype" w:eastAsia="source serif 4" w:hAnsi="Palatino Linotype" w:cs="source serif 4"/>
            <w:b/>
            <w:sz w:val="24"/>
          </w:rPr>
          <w:t>NeuroSync</w:t>
        </w:r>
        <w:proofErr w:type="spellEnd"/>
        <w:r w:rsidR="00C5485A" w:rsidRPr="00BF5300">
          <w:rPr>
            <w:rStyle w:val="Hyperlink"/>
            <w:rFonts w:ascii="Palatino Linotype" w:eastAsia="source serif 4" w:hAnsi="Palatino Linotype" w:cs="source serif 4"/>
            <w:b/>
            <w:sz w:val="24"/>
          </w:rPr>
          <w:t xml:space="preserve"> 4.0</w:t>
        </w:r>
      </w:hyperlink>
      <w:r w:rsidRPr="006C49E4">
        <w:rPr>
          <w:rFonts w:ascii="Palatino Linotype" w:eastAsia="source serif 4" w:hAnsi="Palatino Linotype" w:cs="source serif 4"/>
          <w:b/>
          <w:color w:val="000000"/>
          <w:sz w:val="24"/>
        </w:rPr>
        <w:t xml:space="preserve"> dans sa version juridiquement recevable</w:t>
      </w:r>
      <w:bookmarkEnd w:id="11"/>
    </w:p>
    <w:p w14:paraId="6CF670B9" w14:textId="77777777" w:rsidR="00C5485A" w:rsidRPr="006C49E4" w:rsidRDefault="00000000">
      <w:pPr>
        <w:spacing w:before="315" w:after="105" w:line="360" w:lineRule="auto"/>
        <w:ind w:left="-30"/>
        <w:rPr>
          <w:rFonts w:ascii="Palatino Linotype" w:hAnsi="Palatino Linotype"/>
        </w:rPr>
      </w:pPr>
      <w:bookmarkStart w:id="12" w:name="chapitre_7_requalification_du_pro_7bd067"/>
      <w:r w:rsidRPr="006C49E4">
        <w:rPr>
          <w:rFonts w:ascii="Palatino Linotype" w:eastAsia="source serif 4" w:hAnsi="Palatino Linotype" w:cs="source serif 4"/>
          <w:b/>
          <w:color w:val="000000"/>
          <w:sz w:val="24"/>
        </w:rPr>
        <w:t>Chapitre 7 — Requalification du projet et finalité exacte de l'application</w:t>
      </w:r>
      <w:bookmarkEnd w:id="12"/>
    </w:p>
    <w:p w14:paraId="454F6B95" w14:textId="1425F850"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lastRenderedPageBreak/>
        <w:t xml:space="preserve">Dans sa version finale compatible avec les exigences du mémoire, </w:t>
      </w:r>
      <w:proofErr w:type="spellStart"/>
      <w:r w:rsidRPr="006C49E4">
        <w:rPr>
          <w:rFonts w:ascii="Palatino Linotype" w:eastAsia="source serif 4" w:hAnsi="Palatino Linotype" w:cs="source serif 4"/>
          <w:color w:val="000000"/>
        </w:rPr>
        <w:t>NeuroSync</w:t>
      </w:r>
      <w:proofErr w:type="spellEnd"/>
      <w:r w:rsidRPr="006C49E4">
        <w:rPr>
          <w:rFonts w:ascii="Palatino Linotype" w:eastAsia="source serif 4" w:hAnsi="Palatino Linotype" w:cs="source serif 4"/>
          <w:color w:val="000000"/>
        </w:rPr>
        <w:t xml:space="preserve"> 4.0 ne doit pas être décrit comme un outil de diagnostic, de profilage ou de détection de dangerosité. Il doit être défini comme un dispositif volontaire de </w:t>
      </w:r>
      <w:proofErr w:type="spellStart"/>
      <w:r w:rsidRPr="006C49E4">
        <w:rPr>
          <w:rFonts w:ascii="Palatino Linotype" w:eastAsia="source serif 4" w:hAnsi="Palatino Linotype" w:cs="source serif 4"/>
          <w:color w:val="000000"/>
        </w:rPr>
        <w:t>préorientation</w:t>
      </w:r>
      <w:proofErr w:type="spellEnd"/>
      <w:r w:rsidRPr="006C49E4">
        <w:rPr>
          <w:rFonts w:ascii="Palatino Linotype" w:eastAsia="source serif 4" w:hAnsi="Palatino Linotype" w:cs="source serif 4"/>
          <w:color w:val="000000"/>
        </w:rPr>
        <w:t xml:space="preserve"> et d'accompagnement de première ligne, destiné à aider l'usager à situer son état de tension, de fatigue émotionnelle ou de fragilité relationnelle afin d'accéder à un niveau de soutien adapté.</w:t>
      </w:r>
    </w:p>
    <w:p w14:paraId="12DF0F12" w14:textId="0FB3C099"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Cette requalification est décisive pour trois raisons : elle rétablit la cohérence scientifique du projet, elle le replace dans un cadre compatible avec le droit algérien, et elle rend l'outil socialement plus acceptable dans un contexte où les termes de santé mentale, de psychiatrie ou de dangerosité peuvent provoquer peur, retrait ou rejet.</w:t>
      </w:r>
    </w:p>
    <w:p w14:paraId="1251D426" w14:textId="77777777" w:rsidR="00C5485A" w:rsidRPr="006C49E4" w:rsidRDefault="00000000">
      <w:pPr>
        <w:spacing w:before="315" w:after="105" w:line="360" w:lineRule="auto"/>
        <w:ind w:left="-30"/>
        <w:rPr>
          <w:rFonts w:ascii="Palatino Linotype" w:hAnsi="Palatino Linotype"/>
        </w:rPr>
      </w:pPr>
      <w:bookmarkStart w:id="13" w:name="chapitre_8_architecture_fonctionn_d8c425"/>
      <w:r w:rsidRPr="006C49E4">
        <w:rPr>
          <w:rFonts w:ascii="Palatino Linotype" w:eastAsia="source serif 4" w:hAnsi="Palatino Linotype" w:cs="source serif 4"/>
          <w:b/>
          <w:color w:val="000000"/>
          <w:sz w:val="24"/>
        </w:rPr>
        <w:t>Chapitre 8 — Architecture fonctionnelle recommandée</w:t>
      </w:r>
      <w:bookmarkEnd w:id="13"/>
    </w:p>
    <w:p w14:paraId="68446887" w14:textId="67546901"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 xml:space="preserve">Une architecture juridiquement prudente de </w:t>
      </w:r>
      <w:proofErr w:type="spellStart"/>
      <w:r w:rsidRPr="006C49E4">
        <w:rPr>
          <w:rFonts w:ascii="Palatino Linotype" w:eastAsia="source serif 4" w:hAnsi="Palatino Linotype" w:cs="source serif 4"/>
          <w:color w:val="000000"/>
        </w:rPr>
        <w:t>NeuroSync</w:t>
      </w:r>
      <w:proofErr w:type="spellEnd"/>
      <w:r w:rsidRPr="006C49E4">
        <w:rPr>
          <w:rFonts w:ascii="Palatino Linotype" w:eastAsia="source serif 4" w:hAnsi="Palatino Linotype" w:cs="source serif 4"/>
          <w:color w:val="000000"/>
        </w:rPr>
        <w:t xml:space="preserve"> repose sur plusieurs choix structurants : traitement local dans le navigateur, absence de backend nominatif, absence de collecte d'identité civile, absence de transmission automatique à une autorité publique ou privée, et possibilité pour l'usager de quitter le parcours à tout moment. Le parcours peut légitimement comporter un écran d'information, un consentement exprès, un questionnaire bref sur le ressenti actuel, quelques indicateurs de fonctionnement quotidien, un bloc de questions de sécurité immédiate, puis une restitution graduée et explicable.</w:t>
      </w:r>
    </w:p>
    <w:p w14:paraId="236B0220" w14:textId="2C4D33BD"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En revanche, il convient d'exclure les modules génétiques, les références forensiques, les biomarqueurs pseudo-cliniques interprétés comme des certitudes et toute architecture laissant croire à la constitution d'une base centrale de profils individuels. Le moteur de décision doit être déterministe, auditable et interprétable ; il peut produire quatre niveaux d'orientation, mais uniquement comme guide de conduite volontaire.</w:t>
      </w:r>
    </w:p>
    <w:p w14:paraId="5B3D3B7F" w14:textId="77777777" w:rsidR="00C5485A" w:rsidRPr="006C49E4" w:rsidRDefault="00000000">
      <w:pPr>
        <w:spacing w:before="315" w:after="105" w:line="360" w:lineRule="auto"/>
        <w:ind w:left="-30"/>
        <w:rPr>
          <w:rFonts w:ascii="Palatino Linotype" w:hAnsi="Palatino Linotype"/>
        </w:rPr>
      </w:pPr>
      <w:bookmarkStart w:id="14" w:name="chapitre_9_parcours_utilisateur_détaillé"/>
      <w:r w:rsidRPr="006C49E4">
        <w:rPr>
          <w:rFonts w:ascii="Palatino Linotype" w:eastAsia="source serif 4" w:hAnsi="Palatino Linotype" w:cs="source serif 4"/>
          <w:b/>
          <w:color w:val="000000"/>
          <w:sz w:val="24"/>
        </w:rPr>
        <w:t>Chapitre 9 — Parcours utilisateur détaillé</w:t>
      </w:r>
      <w:bookmarkEnd w:id="14"/>
    </w:p>
    <w:p w14:paraId="572067FA" w14:textId="4F74401E"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L'écran d'accueil doit installer un climat de confiance sans médicaliser d'emblée la démarche. Une formulation telle que « Comment vous sentez-vous en ce moment ? » est préférable à « Test de santé mentale » ou « Évaluation psychiatrique », car elle annonce l'utilité du service sans activer un imaginaire de maladie ou de danger.</w:t>
      </w:r>
    </w:p>
    <w:p w14:paraId="1141D0CB" w14:textId="7BBE3D4A"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lastRenderedPageBreak/>
        <w:t xml:space="preserve">Le consentement doit comporter au minimum trois informations distinctes : il s'agit d'un outil d'orientation et non de diagnostic, les réponses restent anonymes et locales, et aucune donnée n'est transmise aux autorités répressives. Cette dernière précision est centrale pour établir un climat de confiance dans le contexte algérien. </w:t>
      </w:r>
    </w:p>
    <w:p w14:paraId="24F3AF99" w14:textId="25D21008"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L'</w:t>
      </w:r>
      <w:proofErr w:type="spellStart"/>
      <w:r w:rsidRPr="006C49E4">
        <w:rPr>
          <w:rFonts w:ascii="Palatino Linotype" w:eastAsia="source serif 4" w:hAnsi="Palatino Linotype" w:cs="source serif 4"/>
          <w:color w:val="000000"/>
        </w:rPr>
        <w:t>intake</w:t>
      </w:r>
      <w:proofErr w:type="spellEnd"/>
      <w:r w:rsidRPr="006C49E4">
        <w:rPr>
          <w:rFonts w:ascii="Palatino Linotype" w:eastAsia="source serif 4" w:hAnsi="Palatino Linotype" w:cs="source serif 4"/>
          <w:color w:val="000000"/>
        </w:rPr>
        <w:t xml:space="preserve"> situationnel doit rester bref et formulé dans un langage de vécu : stress, sommeil difficile, tensions émotionnelles, réactivité comportementale, tension relationnelle, souvenir lourd du passé ou difficulté à nommer ce qui se passe. Le premier noyau psychométrique peut utilement reposer sur le PHQ-4, choisi pour sa brièveté, mais son usage doit demeurer strictement non diagnostique et accompagné de formulations adoucies pour le public.</w:t>
      </w:r>
    </w:p>
    <w:p w14:paraId="33A44EBC" w14:textId="3B8B4B6A"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 xml:space="preserve">Les questions de sécurité inspirées de la logique du C-SSRS ont une fonction prudentielle : elles ne visent pas une évaluation exhaustive, mais le repérage de signaux imposant une priorisation immédiate. Toute réponse critique doit court-circuiter le reste du </w:t>
      </w:r>
      <w:proofErr w:type="spellStart"/>
      <w:r w:rsidRPr="006C49E4">
        <w:rPr>
          <w:rFonts w:ascii="Palatino Linotype" w:eastAsia="source serif 4" w:hAnsi="Palatino Linotype" w:cs="source serif 4"/>
          <w:color w:val="000000"/>
        </w:rPr>
        <w:t>scoring</w:t>
      </w:r>
      <w:proofErr w:type="spellEnd"/>
      <w:r w:rsidRPr="006C49E4">
        <w:rPr>
          <w:rFonts w:ascii="Palatino Linotype" w:eastAsia="source serif 4" w:hAnsi="Palatino Linotype" w:cs="source serif 4"/>
          <w:color w:val="000000"/>
        </w:rPr>
        <w:t xml:space="preserve"> et transformer le dispositif en mécanisme de redirection urgente vers l'écoute immédiate et les secours.</w:t>
      </w:r>
    </w:p>
    <w:p w14:paraId="416D4715" w14:textId="04C8FDAD"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Le module de biais attributionnel peut ajouter un indicateur sur la manière dont une personne interprète des situations ambiguës sous tension, sans jamais prétendre tester sa personnalité. La tâche attentionnelle de type SART, dans une version très courte, doit être présentée comme un complément indicatif et non comme une expertise neuropsychologique. Quant aux indicateurs physiologiques simulés, ils ne peuvent avoir qu'une fonction illustrative de développement futur, à condition d'être affichés en langage qualitatif et non pseudo-médical.</w:t>
      </w:r>
    </w:p>
    <w:p w14:paraId="184CC0BB" w14:textId="77777777" w:rsidR="00C5485A" w:rsidRPr="006C49E4" w:rsidRDefault="00000000">
      <w:pPr>
        <w:spacing w:before="315" w:after="105" w:line="360" w:lineRule="auto"/>
        <w:ind w:left="-30"/>
        <w:rPr>
          <w:rFonts w:ascii="Palatino Linotype" w:hAnsi="Palatino Linotype"/>
        </w:rPr>
      </w:pPr>
      <w:bookmarkStart w:id="15" w:name="chapitre_10_le_moteur_de_décision_8d4cf1"/>
      <w:r w:rsidRPr="006C49E4">
        <w:rPr>
          <w:rFonts w:ascii="Palatino Linotype" w:eastAsia="source serif 4" w:hAnsi="Palatino Linotype" w:cs="source serif 4"/>
          <w:b/>
          <w:color w:val="000000"/>
          <w:sz w:val="24"/>
        </w:rPr>
        <w:t>Chapitre 10 — Le moteur de décision : déterminisme, seuils et explicabilité</w:t>
      </w:r>
      <w:bookmarkEnd w:id="15"/>
    </w:p>
    <w:p w14:paraId="538A8014" w14:textId="69563F9B"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 xml:space="preserve">Le moteur de décision de </w:t>
      </w:r>
      <w:proofErr w:type="spellStart"/>
      <w:r w:rsidRPr="006C49E4">
        <w:rPr>
          <w:rFonts w:ascii="Palatino Linotype" w:eastAsia="source serif 4" w:hAnsi="Palatino Linotype" w:cs="source serif 4"/>
          <w:color w:val="000000"/>
        </w:rPr>
        <w:t>NeuroSync</w:t>
      </w:r>
      <w:proofErr w:type="spellEnd"/>
      <w:r w:rsidRPr="006C49E4">
        <w:rPr>
          <w:rFonts w:ascii="Palatino Linotype" w:eastAsia="source serif 4" w:hAnsi="Palatino Linotype" w:cs="source serif 4"/>
          <w:color w:val="000000"/>
        </w:rPr>
        <w:t xml:space="preserve"> doit être déterministe. Ce choix permet l'audit, la simulation, la justification et la reproductibilité, tout en évitant une boîte noire algorithmique injustifiée. Le calcul peut reposer sur un score composite combinant le PHQ-4, les indicateurs de fonctionnement quotidien, certains éléments des modules complémentaires et un système de court-circuit par </w:t>
      </w:r>
      <w:proofErr w:type="spellStart"/>
      <w:r w:rsidRPr="006C49E4">
        <w:rPr>
          <w:rFonts w:ascii="Palatino Linotype" w:eastAsia="source serif 4" w:hAnsi="Palatino Linotype" w:cs="source serif 4"/>
          <w:color w:val="000000"/>
        </w:rPr>
        <w:t>red</w:t>
      </w:r>
      <w:proofErr w:type="spellEnd"/>
      <w:r w:rsidRPr="006C49E4">
        <w:rPr>
          <w:rFonts w:ascii="Palatino Linotype" w:eastAsia="source serif 4" w:hAnsi="Palatino Linotype" w:cs="source serif 4"/>
          <w:color w:val="000000"/>
        </w:rPr>
        <w:t xml:space="preserve"> flags.</w:t>
      </w:r>
    </w:p>
    <w:p w14:paraId="0360574F" w14:textId="2CD31CFD"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 xml:space="preserve">Les seuils de passage vers les différents niveaux d'orientation ne peuvent être présentés que comme des repères provisoires appelant une validation empirique ultérieure. L'explicabilité en langage public constitue ici une exigence centrale : l'application doit restituer des formulations comme « tensions </w:t>
      </w:r>
      <w:r w:rsidRPr="006C49E4">
        <w:rPr>
          <w:rFonts w:ascii="Palatino Linotype" w:eastAsia="source serif 4" w:hAnsi="Palatino Linotype" w:cs="source serif 4"/>
          <w:color w:val="000000"/>
        </w:rPr>
        <w:lastRenderedPageBreak/>
        <w:t>émotionnelles fréquentes », « concentration affectée », « fatigue psychique marquée », « tension relationnelle en cours » ou « besoin d'une écoute rapide », et non des scores ou catégories impressionnantes pour le grand public.</w:t>
      </w:r>
    </w:p>
    <w:p w14:paraId="22023596" w14:textId="77777777" w:rsidR="00C5485A" w:rsidRPr="006C49E4" w:rsidRDefault="00000000">
      <w:pPr>
        <w:spacing w:before="315" w:after="105" w:line="360" w:lineRule="auto"/>
        <w:ind w:left="-30"/>
        <w:rPr>
          <w:rFonts w:ascii="Palatino Linotype" w:hAnsi="Palatino Linotype"/>
        </w:rPr>
      </w:pPr>
      <w:bookmarkStart w:id="16" w:name="chapitre_11_sémantique_publique_a_2086d4"/>
      <w:r w:rsidRPr="006C49E4">
        <w:rPr>
          <w:rFonts w:ascii="Palatino Linotype" w:eastAsia="source serif 4" w:hAnsi="Palatino Linotype" w:cs="source serif 4"/>
          <w:b/>
          <w:color w:val="000000"/>
          <w:sz w:val="24"/>
        </w:rPr>
        <w:t>Chapitre 11 — Sémantique publique, acceptabilité sociale et design d'usage</w:t>
      </w:r>
      <w:bookmarkEnd w:id="16"/>
    </w:p>
    <w:p w14:paraId="49CE84B2" w14:textId="053DF5BE"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 xml:space="preserve">Le succès social de </w:t>
      </w:r>
      <w:proofErr w:type="spellStart"/>
      <w:r w:rsidRPr="006C49E4">
        <w:rPr>
          <w:rFonts w:ascii="Palatino Linotype" w:eastAsia="source serif 4" w:hAnsi="Palatino Linotype" w:cs="source serif 4"/>
          <w:color w:val="000000"/>
        </w:rPr>
        <w:t>NeuroSync</w:t>
      </w:r>
      <w:proofErr w:type="spellEnd"/>
      <w:r w:rsidRPr="006C49E4">
        <w:rPr>
          <w:rFonts w:ascii="Palatino Linotype" w:eastAsia="source serif 4" w:hAnsi="Palatino Linotype" w:cs="source serif 4"/>
          <w:color w:val="000000"/>
        </w:rPr>
        <w:t xml:space="preserve"> dépend largement de son vocabulaire. Dans le contexte algérien, des termes comme « santé mentale », « trouble », « patient », « maladie », « dangerosité » ou « psychiatrie » peuvent freiner l'adhésion et créer un refus défensif. Il est donc méthodologiquement pertinent d'adopter un lexique de bien-être psychique, d'équilibre personnel, de tension du moment, de fatigue émotionnelle, de besoin de soutien et d'orientation adaptée.</w:t>
      </w:r>
    </w:p>
    <w:p w14:paraId="12C58C44" w14:textId="35093824"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Le bilinguisme français-arabe n'est pas un simple ajout technique mais une exigence de justice d'accès. La traduction arabe doit être culturellement recevable, non littérale et compatible avec le support RTL. Le style visuel doit éviter toute esthétique froide, sombre ou médicalisée, au profit d'une palette claire, apaisante et sobre.</w:t>
      </w:r>
    </w:p>
    <w:p w14:paraId="3FA2B9E3" w14:textId="77777777" w:rsidR="00C5485A" w:rsidRPr="006C49E4" w:rsidRDefault="00000000">
      <w:pPr>
        <w:spacing w:before="315" w:after="105" w:line="360" w:lineRule="auto"/>
        <w:ind w:left="-30"/>
        <w:rPr>
          <w:rFonts w:ascii="Palatino Linotype" w:hAnsi="Palatino Linotype"/>
        </w:rPr>
      </w:pPr>
      <w:bookmarkStart w:id="17" w:name="quatrième_partie_architecture_ins_ca1893"/>
      <w:r w:rsidRPr="006C49E4">
        <w:rPr>
          <w:rFonts w:ascii="Palatino Linotype" w:eastAsia="source serif 4" w:hAnsi="Palatino Linotype" w:cs="source serif 4"/>
          <w:b/>
          <w:color w:val="000000"/>
          <w:sz w:val="24"/>
        </w:rPr>
        <w:t>Quatrième partie — Architecture institutionnelle, déploiement et gouvernance</w:t>
      </w:r>
      <w:bookmarkEnd w:id="17"/>
    </w:p>
    <w:p w14:paraId="60C2013F" w14:textId="77777777" w:rsidR="00C5485A" w:rsidRPr="006C49E4" w:rsidRDefault="00000000">
      <w:pPr>
        <w:spacing w:before="315" w:after="105" w:line="360" w:lineRule="auto"/>
        <w:ind w:left="-30"/>
        <w:rPr>
          <w:rFonts w:ascii="Palatino Linotype" w:hAnsi="Palatino Linotype"/>
        </w:rPr>
      </w:pPr>
      <w:bookmarkStart w:id="18" w:name="chapitre_12_d_une_innovation_appl_8526a1"/>
      <w:r w:rsidRPr="006C49E4">
        <w:rPr>
          <w:rFonts w:ascii="Palatino Linotype" w:eastAsia="source serif 4" w:hAnsi="Palatino Linotype" w:cs="source serif 4"/>
          <w:b/>
          <w:color w:val="000000"/>
          <w:sz w:val="24"/>
        </w:rPr>
        <w:t>Chapitre 12 — D'une innovation applicative à un modèle institutionnel</w:t>
      </w:r>
      <w:bookmarkEnd w:id="18"/>
    </w:p>
    <w:p w14:paraId="0DB6A82E" w14:textId="664BE100"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 xml:space="preserve">Pour devenir une référence académique et institutionnelle en Algérie, </w:t>
      </w:r>
      <w:r w:rsidR="00DB5CCE">
        <w:rPr>
          <w:rFonts w:ascii="Palatino Linotype" w:eastAsia="source serif 4" w:hAnsi="Palatino Linotype" w:cs="source serif 4"/>
          <w:color w:val="000000"/>
        </w:rPr>
        <w:t>ce projet</w:t>
      </w:r>
      <w:r w:rsidRPr="006C49E4">
        <w:rPr>
          <w:rFonts w:ascii="Palatino Linotype" w:eastAsia="source serif 4" w:hAnsi="Palatino Linotype" w:cs="source serif 4"/>
          <w:color w:val="000000"/>
        </w:rPr>
        <w:t xml:space="preserve"> ne doit pas s'arrêter à la description d'une application. Il doit proposer un modèle institutionnel de prévention criminelle encadrée dont </w:t>
      </w:r>
      <w:proofErr w:type="spellStart"/>
      <w:r w:rsidRPr="006C49E4">
        <w:rPr>
          <w:rFonts w:ascii="Palatino Linotype" w:eastAsia="source serif 4" w:hAnsi="Palatino Linotype" w:cs="source serif 4"/>
          <w:color w:val="000000"/>
        </w:rPr>
        <w:t>NeuroSync</w:t>
      </w:r>
      <w:proofErr w:type="spellEnd"/>
      <w:r w:rsidRPr="006C49E4">
        <w:rPr>
          <w:rFonts w:ascii="Palatino Linotype" w:eastAsia="source serif 4" w:hAnsi="Palatino Linotype" w:cs="source serif 4"/>
          <w:color w:val="000000"/>
        </w:rPr>
        <w:t xml:space="preserve"> n'est qu'un composant, intégré à un réseau d'acteurs et de garanties.</w:t>
      </w:r>
    </w:p>
    <w:p w14:paraId="335E9B78" w14:textId="7DE1E3F9"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Ce modèle suppose une coopération entre juristes, criminologues, psychologues, professionnels de l'accompagnement, ingénieurs, responsables de la conformité, autorités académiques et institutions partenaires. Chacun doit intervenir dans un périmètre défini ; aucun acteur non habilité ne peut accéder librement à des données sensibles ou à des finalités pénales.</w:t>
      </w:r>
    </w:p>
    <w:p w14:paraId="4F7F0B42" w14:textId="77777777" w:rsidR="00C5485A" w:rsidRPr="006C49E4" w:rsidRDefault="00000000">
      <w:pPr>
        <w:spacing w:before="315" w:after="105" w:line="360" w:lineRule="auto"/>
        <w:ind w:left="-30"/>
        <w:rPr>
          <w:rFonts w:ascii="Palatino Linotype" w:hAnsi="Palatino Linotype"/>
        </w:rPr>
      </w:pPr>
      <w:bookmarkStart w:id="19" w:name="chapitre_13_déploiement_progressi_9f8972"/>
      <w:r w:rsidRPr="006C49E4">
        <w:rPr>
          <w:rFonts w:ascii="Palatino Linotype" w:eastAsia="source serif 4" w:hAnsi="Palatino Linotype" w:cs="source serif 4"/>
          <w:b/>
          <w:color w:val="000000"/>
          <w:sz w:val="24"/>
        </w:rPr>
        <w:t>Chapitre 13 — Déploiement progressif et réseau de partenaires</w:t>
      </w:r>
      <w:bookmarkEnd w:id="19"/>
    </w:p>
    <w:p w14:paraId="57DFB373" w14:textId="5E2F82D9"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 xml:space="preserve">L'application seule ne constitue pas une solution complète ; elle n'est qu'une porte d'entrée. Le modèle doit donc être pensé comme un maillage avec les établissements scolaires, les universités, les </w:t>
      </w:r>
      <w:r w:rsidRPr="006C49E4">
        <w:rPr>
          <w:rFonts w:ascii="Palatino Linotype" w:eastAsia="source serif 4" w:hAnsi="Palatino Linotype" w:cs="source serif 4"/>
          <w:color w:val="000000"/>
        </w:rPr>
        <w:lastRenderedPageBreak/>
        <w:t>entreprises, les services de santé, les praticiens, les structures d'écoute et, à terme, des relais cliniques plus spécialisés pour les cas complexes.</w:t>
      </w:r>
    </w:p>
    <w:p w14:paraId="3BF41FC4" w14:textId="49FE3138"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Le déploiement doit être progressif. Une phase pilote permettrait de tester l'acceptabilité, les taux d'achèvement, la pertinence des orientations, la capacité des ressources locales à absorber les flux et les ajustements sémantiques ou techniques nécessaires. Une généralisation nationale ne pourrait être envisagée qu'après validation des instruments, calibration des seuils et démonstration d'une utilité réelle sur des indicateurs intermédiaires.</w:t>
      </w:r>
    </w:p>
    <w:p w14:paraId="1F7365A4" w14:textId="77777777" w:rsidR="00C5485A" w:rsidRPr="006C49E4" w:rsidRDefault="00000000">
      <w:pPr>
        <w:spacing w:before="315" w:after="105" w:line="360" w:lineRule="auto"/>
        <w:ind w:left="-30"/>
        <w:rPr>
          <w:rFonts w:ascii="Palatino Linotype" w:hAnsi="Palatino Linotype"/>
        </w:rPr>
      </w:pPr>
      <w:bookmarkStart w:id="20" w:name="chapitre_14_schéma_de_gouvernance_ae9073"/>
      <w:r w:rsidRPr="006C49E4">
        <w:rPr>
          <w:rFonts w:ascii="Palatino Linotype" w:eastAsia="source serif 4" w:hAnsi="Palatino Linotype" w:cs="source serif 4"/>
          <w:b/>
          <w:color w:val="000000"/>
          <w:sz w:val="24"/>
        </w:rPr>
        <w:t>Chapitre 14 — Schéma de gouvernance et de conformité</w:t>
      </w:r>
      <w:bookmarkEnd w:id="20"/>
    </w:p>
    <w:p w14:paraId="290F0A57" w14:textId="5DF3B7A0"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Le mémoire recommande un schéma de gouvernance précis : responsable du traitement clairement identifié, registre des traitements, cartographie des données, documentation des finalités, politique de conservation, procédure de gestion des incidents, canal d'exercice des droits et interface de dialogue avec l'autorité compétente en matière de protection des données.</w:t>
      </w:r>
    </w:p>
    <w:p w14:paraId="410C6334" w14:textId="29E170D6"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Cette architecture de gouvernance transforme l'innovation en objet gouvernable. Sans elle, l'application resterait une démonstration technique ; avec elle, elle devient un prototype institutionnellement pensable, auditable et aligné avec les exigences contemporaines de souveraineté numérique et de protection des libertés.</w:t>
      </w:r>
    </w:p>
    <w:p w14:paraId="13469331" w14:textId="77777777" w:rsidR="00C5485A" w:rsidRPr="006C49E4" w:rsidRDefault="00000000">
      <w:pPr>
        <w:spacing w:before="315" w:after="105" w:line="360" w:lineRule="auto"/>
        <w:ind w:left="-30"/>
        <w:rPr>
          <w:rFonts w:ascii="Palatino Linotype" w:hAnsi="Palatino Linotype"/>
        </w:rPr>
      </w:pPr>
      <w:bookmarkStart w:id="21" w:name="cinquième_partie_axe_clinique_neu_5ee755"/>
      <w:r w:rsidRPr="006C49E4">
        <w:rPr>
          <w:rFonts w:ascii="Palatino Linotype" w:eastAsia="source serif 4" w:hAnsi="Palatino Linotype" w:cs="source serif 4"/>
          <w:b/>
          <w:color w:val="000000"/>
          <w:sz w:val="24"/>
        </w:rPr>
        <w:t>Cinquième partie — Axe clinique, neurobiologique et évaluation d'impact</w:t>
      </w:r>
      <w:bookmarkEnd w:id="21"/>
    </w:p>
    <w:p w14:paraId="1589755A" w14:textId="77777777" w:rsidR="00C5485A" w:rsidRPr="006C49E4" w:rsidRDefault="00000000">
      <w:pPr>
        <w:spacing w:before="315" w:after="105" w:line="360" w:lineRule="auto"/>
        <w:ind w:left="-30"/>
        <w:rPr>
          <w:rFonts w:ascii="Palatino Linotype" w:hAnsi="Palatino Linotype"/>
        </w:rPr>
      </w:pPr>
      <w:bookmarkStart w:id="22" w:name="chapitre_15_axe_clinique_et_neuro_8e5af4"/>
      <w:r w:rsidRPr="006C49E4">
        <w:rPr>
          <w:rFonts w:ascii="Palatino Linotype" w:eastAsia="source serif 4" w:hAnsi="Palatino Linotype" w:cs="source serif 4"/>
          <w:b/>
          <w:color w:val="000000"/>
          <w:sz w:val="24"/>
        </w:rPr>
        <w:t>Chapitre 15 — Axe clinique et neurobiologique : intérêt, portée et limites</w:t>
      </w:r>
      <w:bookmarkEnd w:id="22"/>
    </w:p>
    <w:p w14:paraId="5567BA29" w14:textId="6B6D53FC"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Le projet comporte un second versant, plus ambitieux et plus spéculatif, qui consiste à articuler le repérage numérique avec une exploration clinique et biologique approfondie pour certains cas complexes. Cet axe ne doit jamais être confondu avec l'application elle-même ; il constitue un prolongement de recherche, non une composante nécessaire du service grand public.</w:t>
      </w:r>
    </w:p>
    <w:p w14:paraId="075DA724" w14:textId="1615B315"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 xml:space="preserve">Son intérêt réside dans une meilleure compréhension de certaines dimensions de la vulnérabilité, comme l'impulsivité, l'agressivité réactive, la dysrégulation émotionnelle, la charge allostatique, l'instabilité attentionnelle ou les effets de traumatismes précoces. Toutefois, une prudence méthodologique absolue s'impose : les associations entre biomarqueurs et comportements complexes </w:t>
      </w:r>
      <w:r w:rsidRPr="006C49E4">
        <w:rPr>
          <w:rFonts w:ascii="Palatino Linotype" w:eastAsia="source serif 4" w:hAnsi="Palatino Linotype" w:cs="source serif 4"/>
          <w:color w:val="000000"/>
        </w:rPr>
        <w:lastRenderedPageBreak/>
        <w:t>sont faibles, contextuelles et non déterministes. Les résultats issus de cet axe ne doivent jamais être utilisés pour prédire un individu ni pour justifier un traitement discriminatoire.</w:t>
      </w:r>
    </w:p>
    <w:p w14:paraId="2EE1C74D" w14:textId="77777777" w:rsidR="00C5485A" w:rsidRPr="006C49E4" w:rsidRDefault="00000000">
      <w:pPr>
        <w:spacing w:before="315" w:after="105" w:line="360" w:lineRule="auto"/>
        <w:ind w:left="-30"/>
        <w:rPr>
          <w:rFonts w:ascii="Palatino Linotype" w:hAnsi="Palatino Linotype"/>
        </w:rPr>
      </w:pPr>
      <w:bookmarkStart w:id="23" w:name="chapitre_16_indicateurs_de_réussi_119724"/>
      <w:r w:rsidRPr="006C49E4">
        <w:rPr>
          <w:rFonts w:ascii="Palatino Linotype" w:eastAsia="source serif 4" w:hAnsi="Palatino Linotype" w:cs="source serif 4"/>
          <w:b/>
          <w:color w:val="000000"/>
          <w:sz w:val="24"/>
        </w:rPr>
        <w:t>Chapitre 16 — Indicateurs de réussite et modèle d'évaluation</w:t>
      </w:r>
      <w:bookmarkEnd w:id="23"/>
    </w:p>
    <w:p w14:paraId="26A7A9CB" w14:textId="7DD49C04"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 xml:space="preserve">La démonstration de l'utilité d'un tel dispositif ne peut pas reposer sur l'évolution du taux global de criminalité, critère trop distal, trop multifactoriel et trop sensible à des variables externes. Le </w:t>
      </w:r>
      <w:r w:rsidR="00DB5CCE">
        <w:rPr>
          <w:rFonts w:ascii="Palatino Linotype" w:eastAsia="source serif 4" w:hAnsi="Palatino Linotype" w:cs="source serif 4"/>
          <w:color w:val="000000"/>
        </w:rPr>
        <w:t>projet</w:t>
      </w:r>
      <w:r w:rsidRPr="006C49E4">
        <w:rPr>
          <w:rFonts w:ascii="Palatino Linotype" w:eastAsia="source serif 4" w:hAnsi="Palatino Linotype" w:cs="source serif 4"/>
          <w:color w:val="000000"/>
        </w:rPr>
        <w:t xml:space="preserve"> doit privilégier des indicateurs intermédiaires objectivables tels que le taux d'achèvement, l'acceptabilité sociale, la clarté du langage, la compréhension des garanties juridiques, la qualité des orientations produites, le délai de prise de contact avec une ressource et la perception de confiance par les usagers.</w:t>
      </w:r>
    </w:p>
    <w:p w14:paraId="09299BE7" w14:textId="12705CF5"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À un second niveau, peuvent être suggérés des indicateurs institutionnels plus larges comme l'amélioration du repérage, la diminution de certaines ruptures relationnelles ou la fluidification de l'accès à l'accompagnement, à condition de préciser qu'il s'agit d'effets indirects, complexes et dépendants de l'environnement. Cette modestie méthodologique constitue un gage de sérieux académique.</w:t>
      </w:r>
    </w:p>
    <w:p w14:paraId="1C4EA784" w14:textId="77777777" w:rsidR="00C5485A" w:rsidRPr="006C49E4" w:rsidRDefault="00000000">
      <w:pPr>
        <w:spacing w:before="315" w:after="105" w:line="360" w:lineRule="auto"/>
        <w:ind w:left="-30"/>
        <w:rPr>
          <w:rFonts w:ascii="Palatino Linotype" w:hAnsi="Palatino Linotype"/>
        </w:rPr>
      </w:pPr>
      <w:bookmarkStart w:id="24" w:name="discussion_générale"/>
      <w:r w:rsidRPr="006C49E4">
        <w:rPr>
          <w:rFonts w:ascii="Palatino Linotype" w:eastAsia="source serif 4" w:hAnsi="Palatino Linotype" w:cs="source serif 4"/>
          <w:b/>
          <w:color w:val="000000"/>
          <w:sz w:val="24"/>
        </w:rPr>
        <w:t>Discussion générale</w:t>
      </w:r>
      <w:bookmarkEnd w:id="24"/>
    </w:p>
    <w:p w14:paraId="107D2815" w14:textId="7BAACFBC"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 xml:space="preserve">Le croisement entre droit pénal, sciences criminelles, psychologie, santé publique et ingénierie numérique peut enrichir la prévention, mais seulement si cette interdisciplinarité demeure hiérarchisée par le droit. Le mémoire montre que la pertinence d'un outil comme </w:t>
      </w:r>
      <w:proofErr w:type="spellStart"/>
      <w:r w:rsidRPr="006C49E4">
        <w:rPr>
          <w:rFonts w:ascii="Palatino Linotype" w:eastAsia="source serif 4" w:hAnsi="Palatino Linotype" w:cs="source serif 4"/>
          <w:color w:val="000000"/>
        </w:rPr>
        <w:t>NeuroSync</w:t>
      </w:r>
      <w:proofErr w:type="spellEnd"/>
      <w:r w:rsidRPr="006C49E4">
        <w:rPr>
          <w:rFonts w:ascii="Palatino Linotype" w:eastAsia="source serif 4" w:hAnsi="Palatino Linotype" w:cs="source serif 4"/>
          <w:color w:val="000000"/>
        </w:rPr>
        <w:t xml:space="preserve"> ne résulte ni de sa sophistication technique ni d'une promesse de prédiction, mais de sa capacité à devenir un instrument sobre de </w:t>
      </w:r>
      <w:proofErr w:type="spellStart"/>
      <w:r w:rsidRPr="006C49E4">
        <w:rPr>
          <w:rFonts w:ascii="Palatino Linotype" w:eastAsia="source serif 4" w:hAnsi="Palatino Linotype" w:cs="source serif 4"/>
          <w:color w:val="000000"/>
        </w:rPr>
        <w:t>préorientation</w:t>
      </w:r>
      <w:proofErr w:type="spellEnd"/>
      <w:r w:rsidRPr="006C49E4">
        <w:rPr>
          <w:rFonts w:ascii="Palatino Linotype" w:eastAsia="source serif 4" w:hAnsi="Palatino Linotype" w:cs="source serif 4"/>
          <w:color w:val="000000"/>
        </w:rPr>
        <w:t>, transparent, volontaire et juridiquement discipliné.</w:t>
      </w:r>
    </w:p>
    <w:p w14:paraId="2C7758CA" w14:textId="3753884A"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L'analyse permet également de résoudre une tension centrale. D'un côté, il serait illusoire de penser qu'une application numérique suffit à prévenir à elle seule les violences interpersonnelles ; de l'autre, il serait réducteur de nier l'utilité potentielle d'un tel outil comme porte d'entrée vers une aide plus précoce. La bonne approche consiste donc à insérer le prototype dans un modèle institutionnel plus large, fondé sur la prudence, le volontariat, la non-stigmatisation, la conformité réglementaire et l'articulation avec des partenaires réels.</w:t>
      </w:r>
    </w:p>
    <w:p w14:paraId="799608D5" w14:textId="0DF8FD19"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lastRenderedPageBreak/>
        <w:t xml:space="preserve">Ce travail conduit enfin à une position de méthode claire : l'innovation n'est légitime qu'à condition d'accepter les limites comme constitutives de sa valeur. La loi sur l'empreinte génétique interdit tout glissement vers une biologisation préventive des conduites, tandis que le droit des données personnelles impose une discipline élevée en matière de profilage, de sécurité et de gouvernance. Ces bornes ne réduisent pas la portée scientifique du </w:t>
      </w:r>
      <w:r w:rsidR="00DB5CCE">
        <w:rPr>
          <w:rFonts w:ascii="Palatino Linotype" w:eastAsia="source serif 4" w:hAnsi="Palatino Linotype" w:cs="source serif 4"/>
          <w:color w:val="000000"/>
        </w:rPr>
        <w:t>projet</w:t>
      </w:r>
      <w:r w:rsidRPr="006C49E4">
        <w:rPr>
          <w:rFonts w:ascii="Palatino Linotype" w:eastAsia="source serif 4" w:hAnsi="Palatino Linotype" w:cs="source serif 4"/>
          <w:color w:val="000000"/>
        </w:rPr>
        <w:t xml:space="preserve"> ; elles lui donnent, au contraire, sa crédibilité.</w:t>
      </w:r>
    </w:p>
    <w:p w14:paraId="0BDDD037" w14:textId="77777777" w:rsidR="00C5485A" w:rsidRPr="006C49E4" w:rsidRDefault="00000000">
      <w:pPr>
        <w:spacing w:before="315" w:after="105" w:line="360" w:lineRule="auto"/>
        <w:ind w:left="-30"/>
        <w:rPr>
          <w:rFonts w:ascii="Palatino Linotype" w:hAnsi="Palatino Linotype"/>
        </w:rPr>
      </w:pPr>
      <w:bookmarkStart w:id="25" w:name="conclusion_générale"/>
      <w:r w:rsidRPr="006C49E4">
        <w:rPr>
          <w:rFonts w:ascii="Palatino Linotype" w:eastAsia="source serif 4" w:hAnsi="Palatino Linotype" w:cs="source serif 4"/>
          <w:b/>
          <w:color w:val="000000"/>
          <w:sz w:val="24"/>
        </w:rPr>
        <w:t>Conclusion générale</w:t>
      </w:r>
      <w:bookmarkEnd w:id="25"/>
    </w:p>
    <w:p w14:paraId="578972C5" w14:textId="0ACB2F3A"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 xml:space="preserve">Le présent </w:t>
      </w:r>
      <w:r w:rsidR="00DB5CCE">
        <w:rPr>
          <w:rFonts w:ascii="Palatino Linotype" w:eastAsia="source serif 4" w:hAnsi="Palatino Linotype" w:cs="source serif 4"/>
          <w:color w:val="000000"/>
        </w:rPr>
        <w:t>travail</w:t>
      </w:r>
      <w:r w:rsidRPr="006C49E4">
        <w:rPr>
          <w:rFonts w:ascii="Palatino Linotype" w:eastAsia="source serif 4" w:hAnsi="Palatino Linotype" w:cs="source serif 4"/>
          <w:color w:val="000000"/>
        </w:rPr>
        <w:t xml:space="preserve"> soutient que la prévention de la criminalité en Algérie peut tirer un bénéfice réel d'une collaboration interdisciplinaire, à la condition expresse que cette collaboration soit structurée, limitée et gouvernée par le droit. Le droit pénal et les sciences criminelles ne doivent pas subir l'interdisciplinarité ; ils doivent l'ordonner.</w:t>
      </w:r>
    </w:p>
    <w:p w14:paraId="4F04D086" w14:textId="136D2EE9"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 xml:space="preserve">Dans cette perspective, </w:t>
      </w:r>
      <w:proofErr w:type="spellStart"/>
      <w:r w:rsidRPr="006C49E4">
        <w:rPr>
          <w:rFonts w:ascii="Palatino Linotype" w:eastAsia="source serif 4" w:hAnsi="Palatino Linotype" w:cs="source serif 4"/>
          <w:color w:val="000000"/>
        </w:rPr>
        <w:t>NeuroSync</w:t>
      </w:r>
      <w:proofErr w:type="spellEnd"/>
      <w:r w:rsidRPr="006C49E4">
        <w:rPr>
          <w:rFonts w:ascii="Palatino Linotype" w:eastAsia="source serif 4" w:hAnsi="Palatino Linotype" w:cs="source serif 4"/>
          <w:color w:val="000000"/>
        </w:rPr>
        <w:t xml:space="preserve"> 4.0 ne vaut ni comme machine de prédiction, ni comme technologie de tri des individus, ni comme support de biologisation des conduites. Il vaut comme étude de cas permettant de penser un dispositif de </w:t>
      </w:r>
      <w:proofErr w:type="spellStart"/>
      <w:r w:rsidRPr="006C49E4">
        <w:rPr>
          <w:rFonts w:ascii="Palatino Linotype" w:eastAsia="source serif 4" w:hAnsi="Palatino Linotype" w:cs="source serif 4"/>
          <w:color w:val="000000"/>
        </w:rPr>
        <w:t>préorientation</w:t>
      </w:r>
      <w:proofErr w:type="spellEnd"/>
      <w:r w:rsidRPr="006C49E4">
        <w:rPr>
          <w:rFonts w:ascii="Palatino Linotype" w:eastAsia="source serif 4" w:hAnsi="Palatino Linotype" w:cs="source serif 4"/>
          <w:color w:val="000000"/>
        </w:rPr>
        <w:t xml:space="preserve"> volontaire, de première ligne, non stigmatisant, et juridiquement prudent, inséré dans une politique criminelle plus intelligente que la seule réaction tardive.</w:t>
      </w:r>
    </w:p>
    <w:p w14:paraId="06C0802C" w14:textId="0363E5BE" w:rsidR="00C5485A" w:rsidRPr="006C49E4" w:rsidRDefault="00000000">
      <w:pPr>
        <w:spacing w:after="210" w:line="360" w:lineRule="auto"/>
        <w:rPr>
          <w:rFonts w:ascii="Palatino Linotype" w:hAnsi="Palatino Linotype"/>
        </w:rPr>
      </w:pPr>
      <w:r w:rsidRPr="006C49E4">
        <w:rPr>
          <w:rFonts w:ascii="Palatino Linotype" w:eastAsia="source serif 4" w:hAnsi="Palatino Linotype" w:cs="source serif 4"/>
          <w:color w:val="000000"/>
        </w:rPr>
        <w:t xml:space="preserve">L'ambition finale du </w:t>
      </w:r>
      <w:r w:rsidR="00DB5CCE">
        <w:rPr>
          <w:rFonts w:ascii="Palatino Linotype" w:eastAsia="source serif 4" w:hAnsi="Palatino Linotype" w:cs="source serif 4"/>
          <w:color w:val="000000"/>
        </w:rPr>
        <w:t>projet</w:t>
      </w:r>
      <w:r w:rsidRPr="006C49E4">
        <w:rPr>
          <w:rFonts w:ascii="Palatino Linotype" w:eastAsia="source serif 4" w:hAnsi="Palatino Linotype" w:cs="source serif 4"/>
          <w:color w:val="000000"/>
        </w:rPr>
        <w:t xml:space="preserve"> n'est pas d'annoncer une révolution technique. Elle est plus exigeante : proposer à l'Algérie un modèle intellectuellement honnête, juridiquement fondé, institutionnellement crédible et socialement utile de prévention criminelle interdisciplinaire. C'est à ce prix que ce travail peut prétendre devenir une référence académique solide.</w:t>
      </w:r>
    </w:p>
    <w:sectPr w:rsidR="00C5485A" w:rsidRPr="006C49E4">
      <w:footerReference w:type="default" r:id="rId8"/>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D3030" w14:textId="77777777" w:rsidR="00ED3C69" w:rsidRDefault="00ED3C69" w:rsidP="00BF5300">
      <w:pPr>
        <w:spacing w:after="0" w:line="240" w:lineRule="auto"/>
      </w:pPr>
      <w:r>
        <w:separator/>
      </w:r>
    </w:p>
  </w:endnote>
  <w:endnote w:type="continuationSeparator" w:id="0">
    <w:p w14:paraId="02326097" w14:textId="77777777" w:rsidR="00ED3C69" w:rsidRDefault="00ED3C69" w:rsidP="00BF5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source serif 4">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811313"/>
      <w:docPartObj>
        <w:docPartGallery w:val="Page Numbers (Bottom of Page)"/>
        <w:docPartUnique/>
      </w:docPartObj>
    </w:sdtPr>
    <w:sdtEndPr>
      <w:rPr>
        <w:color w:val="7F7F7F" w:themeColor="background1" w:themeShade="7F"/>
        <w:spacing w:val="60"/>
      </w:rPr>
    </w:sdtEndPr>
    <w:sdtContent>
      <w:p w14:paraId="6E51D7B7" w14:textId="21FBDD25" w:rsidR="00BF5300" w:rsidRDefault="00BF530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85D118D" w14:textId="77777777" w:rsidR="00BF5300" w:rsidRDefault="00BF53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F9A85" w14:textId="77777777" w:rsidR="00ED3C69" w:rsidRDefault="00ED3C69" w:rsidP="00BF5300">
      <w:pPr>
        <w:spacing w:after="0" w:line="240" w:lineRule="auto"/>
      </w:pPr>
      <w:r>
        <w:separator/>
      </w:r>
    </w:p>
  </w:footnote>
  <w:footnote w:type="continuationSeparator" w:id="0">
    <w:p w14:paraId="24742B42" w14:textId="77777777" w:rsidR="00ED3C69" w:rsidRDefault="00ED3C69" w:rsidP="00BF53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37F0A"/>
    <w:multiLevelType w:val="hybridMultilevel"/>
    <w:tmpl w:val="120844F8"/>
    <w:lvl w:ilvl="0" w:tplc="5370611C">
      <w:start w:val="1"/>
      <w:numFmt w:val="bullet"/>
      <w:lvlText w:val=""/>
      <w:lvlJc w:val="left"/>
      <w:pPr>
        <w:tabs>
          <w:tab w:val="num" w:pos="900"/>
        </w:tabs>
        <w:ind w:left="540" w:hanging="360"/>
      </w:pPr>
      <w:rPr>
        <w:rFonts w:ascii="Symbol" w:hAnsi="Symbol" w:hint="default"/>
      </w:rPr>
    </w:lvl>
    <w:lvl w:ilvl="1" w:tplc="EFC85E24">
      <w:numFmt w:val="decimal"/>
      <w:lvlText w:val=""/>
      <w:lvlJc w:val="left"/>
    </w:lvl>
    <w:lvl w:ilvl="2" w:tplc="14FA0A80">
      <w:numFmt w:val="decimal"/>
      <w:lvlText w:val=""/>
      <w:lvlJc w:val="left"/>
    </w:lvl>
    <w:lvl w:ilvl="3" w:tplc="5436FE76">
      <w:numFmt w:val="decimal"/>
      <w:lvlText w:val=""/>
      <w:lvlJc w:val="left"/>
    </w:lvl>
    <w:lvl w:ilvl="4" w:tplc="9024330A">
      <w:numFmt w:val="decimal"/>
      <w:lvlText w:val=""/>
      <w:lvlJc w:val="left"/>
    </w:lvl>
    <w:lvl w:ilvl="5" w:tplc="7E7E4B78">
      <w:numFmt w:val="decimal"/>
      <w:lvlText w:val=""/>
      <w:lvlJc w:val="left"/>
    </w:lvl>
    <w:lvl w:ilvl="6" w:tplc="C2C46F86">
      <w:numFmt w:val="decimal"/>
      <w:lvlText w:val=""/>
      <w:lvlJc w:val="left"/>
    </w:lvl>
    <w:lvl w:ilvl="7" w:tplc="FD18335C">
      <w:numFmt w:val="decimal"/>
      <w:lvlText w:val=""/>
      <w:lvlJc w:val="left"/>
    </w:lvl>
    <w:lvl w:ilvl="8" w:tplc="C51C5C54">
      <w:numFmt w:val="decimal"/>
      <w:lvlText w:val=""/>
      <w:lvlJc w:val="left"/>
    </w:lvl>
  </w:abstractNum>
  <w:abstractNum w:abstractNumId="1" w15:restartNumberingAfterBreak="0">
    <w:nsid w:val="18AB1914"/>
    <w:multiLevelType w:val="hybridMultilevel"/>
    <w:tmpl w:val="77E4C138"/>
    <w:lvl w:ilvl="0" w:tplc="F1724292">
      <w:start w:val="1"/>
      <w:numFmt w:val="decimal"/>
      <w:lvlText w:val="%1."/>
      <w:lvlJc w:val="left"/>
      <w:pPr>
        <w:tabs>
          <w:tab w:val="num" w:pos="900"/>
        </w:tabs>
        <w:ind w:left="540" w:hanging="360"/>
      </w:pPr>
    </w:lvl>
    <w:lvl w:ilvl="1" w:tplc="2924B4DC">
      <w:numFmt w:val="decimal"/>
      <w:lvlText w:val=""/>
      <w:lvlJc w:val="left"/>
    </w:lvl>
    <w:lvl w:ilvl="2" w:tplc="122695E6">
      <w:numFmt w:val="decimal"/>
      <w:lvlText w:val=""/>
      <w:lvlJc w:val="left"/>
    </w:lvl>
    <w:lvl w:ilvl="3" w:tplc="06A8BCAC">
      <w:numFmt w:val="decimal"/>
      <w:lvlText w:val=""/>
      <w:lvlJc w:val="left"/>
    </w:lvl>
    <w:lvl w:ilvl="4" w:tplc="CAEA0F76">
      <w:numFmt w:val="decimal"/>
      <w:lvlText w:val=""/>
      <w:lvlJc w:val="left"/>
    </w:lvl>
    <w:lvl w:ilvl="5" w:tplc="5F5CDD30">
      <w:numFmt w:val="decimal"/>
      <w:lvlText w:val=""/>
      <w:lvlJc w:val="left"/>
    </w:lvl>
    <w:lvl w:ilvl="6" w:tplc="1C74FE82">
      <w:numFmt w:val="decimal"/>
      <w:lvlText w:val=""/>
      <w:lvlJc w:val="left"/>
    </w:lvl>
    <w:lvl w:ilvl="7" w:tplc="6AB0682E">
      <w:numFmt w:val="decimal"/>
      <w:lvlText w:val=""/>
      <w:lvlJc w:val="left"/>
    </w:lvl>
    <w:lvl w:ilvl="8" w:tplc="26FE5336">
      <w:numFmt w:val="decimal"/>
      <w:lvlText w:val=""/>
      <w:lvlJc w:val="left"/>
    </w:lvl>
  </w:abstractNum>
  <w:abstractNum w:abstractNumId="2" w15:restartNumberingAfterBreak="0">
    <w:nsid w:val="22D33199"/>
    <w:multiLevelType w:val="hybridMultilevel"/>
    <w:tmpl w:val="DCDED036"/>
    <w:lvl w:ilvl="0" w:tplc="3A705DCE">
      <w:start w:val="1"/>
      <w:numFmt w:val="bullet"/>
      <w:lvlText w:val=""/>
      <w:lvlJc w:val="left"/>
      <w:pPr>
        <w:tabs>
          <w:tab w:val="num" w:pos="900"/>
        </w:tabs>
        <w:ind w:left="540" w:hanging="360"/>
      </w:pPr>
      <w:rPr>
        <w:rFonts w:ascii="Symbol" w:hAnsi="Symbol" w:hint="default"/>
      </w:rPr>
    </w:lvl>
    <w:lvl w:ilvl="1" w:tplc="18D89D2E">
      <w:numFmt w:val="decimal"/>
      <w:lvlText w:val=""/>
      <w:lvlJc w:val="left"/>
    </w:lvl>
    <w:lvl w:ilvl="2" w:tplc="9A50986C">
      <w:numFmt w:val="decimal"/>
      <w:lvlText w:val=""/>
      <w:lvlJc w:val="left"/>
    </w:lvl>
    <w:lvl w:ilvl="3" w:tplc="CD22184A">
      <w:numFmt w:val="decimal"/>
      <w:lvlText w:val=""/>
      <w:lvlJc w:val="left"/>
    </w:lvl>
    <w:lvl w:ilvl="4" w:tplc="240EA968">
      <w:numFmt w:val="decimal"/>
      <w:lvlText w:val=""/>
      <w:lvlJc w:val="left"/>
    </w:lvl>
    <w:lvl w:ilvl="5" w:tplc="6A68836C">
      <w:numFmt w:val="decimal"/>
      <w:lvlText w:val=""/>
      <w:lvlJc w:val="left"/>
    </w:lvl>
    <w:lvl w:ilvl="6" w:tplc="2E9448CA">
      <w:numFmt w:val="decimal"/>
      <w:lvlText w:val=""/>
      <w:lvlJc w:val="left"/>
    </w:lvl>
    <w:lvl w:ilvl="7" w:tplc="FE1C1778">
      <w:numFmt w:val="decimal"/>
      <w:lvlText w:val=""/>
      <w:lvlJc w:val="left"/>
    </w:lvl>
    <w:lvl w:ilvl="8" w:tplc="D5A0F682">
      <w:numFmt w:val="decimal"/>
      <w:lvlText w:val=""/>
      <w:lvlJc w:val="left"/>
    </w:lvl>
  </w:abstractNum>
  <w:num w:numId="1" w16cid:durableId="1193297680">
    <w:abstractNumId w:val="1"/>
  </w:num>
  <w:num w:numId="2" w16cid:durableId="1680506070">
    <w:abstractNumId w:val="0"/>
  </w:num>
  <w:num w:numId="3" w16cid:durableId="14484248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85A"/>
    <w:rsid w:val="00050689"/>
    <w:rsid w:val="00124327"/>
    <w:rsid w:val="0020283B"/>
    <w:rsid w:val="00321F86"/>
    <w:rsid w:val="00453761"/>
    <w:rsid w:val="005271C3"/>
    <w:rsid w:val="006C49E4"/>
    <w:rsid w:val="00740AAA"/>
    <w:rsid w:val="00815428"/>
    <w:rsid w:val="008A2957"/>
    <w:rsid w:val="00933371"/>
    <w:rsid w:val="00AA5C84"/>
    <w:rsid w:val="00BF5300"/>
    <w:rsid w:val="00C5485A"/>
    <w:rsid w:val="00DB5CCE"/>
    <w:rsid w:val="00ED3C69"/>
    <w:rsid w:val="00F507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68C31"/>
  <w15:docId w15:val="{0C43E245-93D1-4FB6-A27C-4F704B4DB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styleId="Hyperlink">
    <w:name w:val="Hyperlink"/>
    <w:basedOn w:val="DefaultParagraphFont"/>
    <w:uiPriority w:val="99"/>
    <w:unhideWhenUsed/>
    <w:rsid w:val="00BF5300"/>
    <w:rPr>
      <w:color w:val="0563C1" w:themeColor="hyperlink"/>
      <w:u w:val="single"/>
    </w:rPr>
  </w:style>
  <w:style w:type="character" w:styleId="UnresolvedMention">
    <w:name w:val="Unresolved Mention"/>
    <w:basedOn w:val="DefaultParagraphFont"/>
    <w:uiPriority w:val="99"/>
    <w:semiHidden/>
    <w:unhideWhenUsed/>
    <w:rsid w:val="00BF5300"/>
    <w:rPr>
      <w:color w:val="605E5C"/>
      <w:shd w:val="clear" w:color="auto" w:fill="E1DFDD"/>
    </w:rPr>
  </w:style>
  <w:style w:type="paragraph" w:styleId="Header">
    <w:name w:val="header"/>
    <w:basedOn w:val="Normal"/>
    <w:link w:val="HeaderChar"/>
    <w:uiPriority w:val="99"/>
    <w:unhideWhenUsed/>
    <w:rsid w:val="00BF53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5300"/>
  </w:style>
  <w:style w:type="paragraph" w:styleId="Footer">
    <w:name w:val="footer"/>
    <w:basedOn w:val="Normal"/>
    <w:link w:val="FooterChar"/>
    <w:uiPriority w:val="99"/>
    <w:unhideWhenUsed/>
    <w:rsid w:val="00BF53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5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neurosync-680531753997.europe-west3.run.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4328</Words>
  <Characters>24673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MED MIDOU</cp:lastModifiedBy>
  <cp:revision>4</cp:revision>
  <dcterms:created xsi:type="dcterms:W3CDTF">2026-05-28T16:56:00Z</dcterms:created>
  <dcterms:modified xsi:type="dcterms:W3CDTF">2026-05-28T17:05:00Z</dcterms:modified>
</cp:coreProperties>
</file>