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203C4" w14:textId="77777777" w:rsidR="000C3A7E" w:rsidRDefault="007145AD">
      <w:pPr>
        <w:jc w:val="center"/>
      </w:pPr>
      <w:r>
        <w:rPr>
          <w:b/>
          <w:color w:val="0D5691"/>
          <w:sz w:val="56"/>
        </w:rPr>
        <w:t>Quantis</w:t>
      </w:r>
    </w:p>
    <w:p w14:paraId="2E675523" w14:textId="77777777" w:rsidR="000C3A7E" w:rsidRDefault="007145AD">
      <w:pPr>
        <w:jc w:val="center"/>
      </w:pPr>
      <w:r>
        <w:rPr>
          <w:color w:val="666666"/>
          <w:sz w:val="28"/>
        </w:rPr>
        <w:t>Systematically Managed Multi-Asset Funds with News-Sentiment Analytics</w:t>
      </w:r>
    </w:p>
    <w:p w14:paraId="4D39FEE0" w14:textId="77777777" w:rsidR="000C3A7E" w:rsidRDefault="007145AD">
      <w:pPr>
        <w:jc w:val="center"/>
      </w:pPr>
      <w:r>
        <w:rPr>
          <w:i/>
        </w:rPr>
        <w:t>Part B report - Stations 3 and 4 (Funds, Sentiment, App)</w:t>
      </w:r>
    </w:p>
    <w:p w14:paraId="44F3A513" w14:textId="77777777" w:rsidR="000C3A7E" w:rsidRDefault="007145AD">
      <w:pPr>
        <w:jc w:val="center"/>
      </w:pPr>
      <w:r>
        <w:rPr>
          <w:color w:val="666666"/>
          <w:sz w:val="20"/>
        </w:rPr>
        <w:t>Student z5494216  |  FINS3645 Financial Market Data Design &amp; Analysis  |  2026</w:t>
      </w:r>
    </w:p>
    <w:p w14:paraId="5210B19A" w14:textId="77777777" w:rsidR="000C3A7E" w:rsidRDefault="000C3A7E"/>
    <w:p w14:paraId="52676F5A" w14:textId="21898298" w:rsidR="00C721AF" w:rsidRDefault="007145AD">
      <w:pPr>
        <w:pStyle w:val="TOC1"/>
        <w:tabs>
          <w:tab w:val="right" w:leader="dot" w:pos="9288"/>
        </w:tabs>
        <w:rPr>
          <w:noProof/>
        </w:rPr>
      </w:pPr>
      <w:r>
        <w:fldChar w:fldCharType="begin"/>
      </w:r>
      <w:r>
        <w:instrText>TOC \o "1-2" \h \z \u</w:instrText>
      </w:r>
      <w:r>
        <w:fldChar w:fldCharType="separate"/>
      </w:r>
      <w:hyperlink w:anchor="_Toc236931784" w:history="1">
        <w:r w:rsidR="00C721AF" w:rsidRPr="00A61EBB">
          <w:rPr>
            <w:rStyle w:val="Hyperlink"/>
            <w:noProof/>
          </w:rPr>
          <w:t>1. The funds and the backtest design</w:t>
        </w:r>
        <w:r w:rsidR="00C721AF">
          <w:rPr>
            <w:noProof/>
            <w:webHidden/>
          </w:rPr>
          <w:tab/>
        </w:r>
        <w:r w:rsidR="00C721AF">
          <w:rPr>
            <w:noProof/>
            <w:webHidden/>
          </w:rPr>
          <w:fldChar w:fldCharType="begin"/>
        </w:r>
        <w:r w:rsidR="00C721AF">
          <w:rPr>
            <w:noProof/>
            <w:webHidden/>
          </w:rPr>
          <w:instrText xml:space="preserve"> PAGEREF _Toc236931784 \h </w:instrText>
        </w:r>
        <w:r w:rsidR="00C721AF">
          <w:rPr>
            <w:noProof/>
            <w:webHidden/>
          </w:rPr>
        </w:r>
        <w:r w:rsidR="00C721AF">
          <w:rPr>
            <w:noProof/>
            <w:webHidden/>
          </w:rPr>
          <w:fldChar w:fldCharType="separate"/>
        </w:r>
        <w:r w:rsidR="00F035AA">
          <w:rPr>
            <w:noProof/>
            <w:webHidden/>
          </w:rPr>
          <w:t>2</w:t>
        </w:r>
        <w:r w:rsidR="00C721AF">
          <w:rPr>
            <w:noProof/>
            <w:webHidden/>
          </w:rPr>
          <w:fldChar w:fldCharType="end"/>
        </w:r>
      </w:hyperlink>
    </w:p>
    <w:p w14:paraId="6527AD47" w14:textId="14907166" w:rsidR="00C721AF" w:rsidRDefault="00C721AF">
      <w:pPr>
        <w:pStyle w:val="TOC1"/>
        <w:tabs>
          <w:tab w:val="right" w:leader="dot" w:pos="9288"/>
        </w:tabs>
        <w:rPr>
          <w:noProof/>
        </w:rPr>
      </w:pPr>
      <w:hyperlink w:anchor="_Toc236931785" w:history="1">
        <w:r w:rsidRPr="00A61EBB">
          <w:rPr>
            <w:rStyle w:val="Hyperlink"/>
            <w:noProof/>
          </w:rPr>
          <w:t>2. Out-of-sample results and fund fact sheets</w:t>
        </w:r>
        <w:r>
          <w:rPr>
            <w:noProof/>
            <w:webHidden/>
          </w:rPr>
          <w:tab/>
        </w:r>
        <w:r>
          <w:rPr>
            <w:noProof/>
            <w:webHidden/>
          </w:rPr>
          <w:fldChar w:fldCharType="begin"/>
        </w:r>
        <w:r>
          <w:rPr>
            <w:noProof/>
            <w:webHidden/>
          </w:rPr>
          <w:instrText xml:space="preserve"> PAGEREF _Toc236931785 \h </w:instrText>
        </w:r>
        <w:r>
          <w:rPr>
            <w:noProof/>
            <w:webHidden/>
          </w:rPr>
        </w:r>
        <w:r>
          <w:rPr>
            <w:noProof/>
            <w:webHidden/>
          </w:rPr>
          <w:fldChar w:fldCharType="separate"/>
        </w:r>
        <w:r w:rsidR="00F035AA">
          <w:rPr>
            <w:noProof/>
            <w:webHidden/>
          </w:rPr>
          <w:t>3</w:t>
        </w:r>
        <w:r>
          <w:rPr>
            <w:noProof/>
            <w:webHidden/>
          </w:rPr>
          <w:fldChar w:fldCharType="end"/>
        </w:r>
      </w:hyperlink>
    </w:p>
    <w:p w14:paraId="3E2F77FA" w14:textId="330DDDA4" w:rsidR="00C721AF" w:rsidRDefault="00C721AF">
      <w:pPr>
        <w:pStyle w:val="TOC1"/>
        <w:tabs>
          <w:tab w:val="right" w:leader="dot" w:pos="9288"/>
        </w:tabs>
        <w:rPr>
          <w:noProof/>
        </w:rPr>
      </w:pPr>
      <w:hyperlink w:anchor="_Toc236931786" w:history="1">
        <w:r w:rsidRPr="00A61EBB">
          <w:rPr>
            <w:rStyle w:val="Hyperlink"/>
            <w:noProof/>
          </w:rPr>
          <w:t>3. The sentiment index</w:t>
        </w:r>
        <w:r>
          <w:rPr>
            <w:noProof/>
            <w:webHidden/>
          </w:rPr>
          <w:tab/>
        </w:r>
        <w:r>
          <w:rPr>
            <w:noProof/>
            <w:webHidden/>
          </w:rPr>
          <w:fldChar w:fldCharType="begin"/>
        </w:r>
        <w:r>
          <w:rPr>
            <w:noProof/>
            <w:webHidden/>
          </w:rPr>
          <w:instrText xml:space="preserve"> PAGEREF _Toc236931786 \h </w:instrText>
        </w:r>
        <w:r>
          <w:rPr>
            <w:noProof/>
            <w:webHidden/>
          </w:rPr>
        </w:r>
        <w:r>
          <w:rPr>
            <w:noProof/>
            <w:webHidden/>
          </w:rPr>
          <w:fldChar w:fldCharType="separate"/>
        </w:r>
        <w:r w:rsidR="00F035AA">
          <w:rPr>
            <w:noProof/>
            <w:webHidden/>
          </w:rPr>
          <w:t>5</w:t>
        </w:r>
        <w:r>
          <w:rPr>
            <w:noProof/>
            <w:webHidden/>
          </w:rPr>
          <w:fldChar w:fldCharType="end"/>
        </w:r>
      </w:hyperlink>
    </w:p>
    <w:p w14:paraId="3E1A7CF9" w14:textId="38AD328A" w:rsidR="00C721AF" w:rsidRDefault="00C721AF">
      <w:pPr>
        <w:pStyle w:val="TOC1"/>
        <w:tabs>
          <w:tab w:val="right" w:leader="dot" w:pos="9288"/>
        </w:tabs>
        <w:rPr>
          <w:noProof/>
        </w:rPr>
      </w:pPr>
      <w:hyperlink w:anchor="_Toc236931787" w:history="1">
        <w:r w:rsidRPr="00A61EBB">
          <w:rPr>
            <w:rStyle w:val="Hyperlink"/>
            <w:noProof/>
          </w:rPr>
          <w:t>4. Extensions and innovations</w:t>
        </w:r>
        <w:r>
          <w:rPr>
            <w:noProof/>
            <w:webHidden/>
          </w:rPr>
          <w:tab/>
        </w:r>
        <w:r>
          <w:rPr>
            <w:noProof/>
            <w:webHidden/>
          </w:rPr>
          <w:fldChar w:fldCharType="begin"/>
        </w:r>
        <w:r>
          <w:rPr>
            <w:noProof/>
            <w:webHidden/>
          </w:rPr>
          <w:instrText xml:space="preserve"> PAGEREF _Toc236931787 \h </w:instrText>
        </w:r>
        <w:r>
          <w:rPr>
            <w:noProof/>
            <w:webHidden/>
          </w:rPr>
        </w:r>
        <w:r>
          <w:rPr>
            <w:noProof/>
            <w:webHidden/>
          </w:rPr>
          <w:fldChar w:fldCharType="separate"/>
        </w:r>
        <w:r w:rsidR="00F035AA">
          <w:rPr>
            <w:noProof/>
            <w:webHidden/>
          </w:rPr>
          <w:t>6</w:t>
        </w:r>
        <w:r>
          <w:rPr>
            <w:noProof/>
            <w:webHidden/>
          </w:rPr>
          <w:fldChar w:fldCharType="end"/>
        </w:r>
      </w:hyperlink>
    </w:p>
    <w:p w14:paraId="19393D6B" w14:textId="19E66AF0" w:rsidR="00C721AF" w:rsidRDefault="00C721AF">
      <w:pPr>
        <w:pStyle w:val="TOC2"/>
        <w:tabs>
          <w:tab w:val="right" w:leader="dot" w:pos="9288"/>
        </w:tabs>
        <w:rPr>
          <w:noProof/>
        </w:rPr>
      </w:pPr>
      <w:hyperlink w:anchor="_Toc236931788" w:history="1">
        <w:r w:rsidRPr="00A61EBB">
          <w:rPr>
            <w:rStyle w:val="Hyperlink"/>
            <w:noProof/>
          </w:rPr>
          <w:t>4.1 Custom finance lexicon for the sentiment model</w:t>
        </w:r>
        <w:r>
          <w:rPr>
            <w:noProof/>
            <w:webHidden/>
          </w:rPr>
          <w:tab/>
        </w:r>
        <w:r>
          <w:rPr>
            <w:noProof/>
            <w:webHidden/>
          </w:rPr>
          <w:fldChar w:fldCharType="begin"/>
        </w:r>
        <w:r>
          <w:rPr>
            <w:noProof/>
            <w:webHidden/>
          </w:rPr>
          <w:instrText xml:space="preserve"> PAGEREF _Toc236931788 \h </w:instrText>
        </w:r>
        <w:r>
          <w:rPr>
            <w:noProof/>
            <w:webHidden/>
          </w:rPr>
        </w:r>
        <w:r>
          <w:rPr>
            <w:noProof/>
            <w:webHidden/>
          </w:rPr>
          <w:fldChar w:fldCharType="separate"/>
        </w:r>
        <w:r w:rsidR="00F035AA">
          <w:rPr>
            <w:noProof/>
            <w:webHidden/>
          </w:rPr>
          <w:t>6</w:t>
        </w:r>
        <w:r>
          <w:rPr>
            <w:noProof/>
            <w:webHidden/>
          </w:rPr>
          <w:fldChar w:fldCharType="end"/>
        </w:r>
      </w:hyperlink>
    </w:p>
    <w:p w14:paraId="43F5E6FF" w14:textId="3DB6E1DE" w:rsidR="00C721AF" w:rsidRDefault="00C721AF">
      <w:pPr>
        <w:pStyle w:val="TOC2"/>
        <w:tabs>
          <w:tab w:val="right" w:leader="dot" w:pos="9288"/>
        </w:tabs>
        <w:rPr>
          <w:noProof/>
        </w:rPr>
      </w:pPr>
      <w:hyperlink w:anchor="_Toc236931789" w:history="1">
        <w:r w:rsidRPr="00A61EBB">
          <w:rPr>
            <w:rStyle w:val="Hyperlink"/>
            <w:noProof/>
          </w:rPr>
          <w:t>4.2 Risk parity as true ERC, and cap pinning</w:t>
        </w:r>
        <w:r>
          <w:rPr>
            <w:noProof/>
            <w:webHidden/>
          </w:rPr>
          <w:tab/>
        </w:r>
        <w:r>
          <w:rPr>
            <w:noProof/>
            <w:webHidden/>
          </w:rPr>
          <w:fldChar w:fldCharType="begin"/>
        </w:r>
        <w:r>
          <w:rPr>
            <w:noProof/>
            <w:webHidden/>
          </w:rPr>
          <w:instrText xml:space="preserve"> PAGEREF _Toc236931789 \h </w:instrText>
        </w:r>
        <w:r>
          <w:rPr>
            <w:noProof/>
            <w:webHidden/>
          </w:rPr>
        </w:r>
        <w:r>
          <w:rPr>
            <w:noProof/>
            <w:webHidden/>
          </w:rPr>
          <w:fldChar w:fldCharType="separate"/>
        </w:r>
        <w:r w:rsidR="00F035AA">
          <w:rPr>
            <w:noProof/>
            <w:webHidden/>
          </w:rPr>
          <w:t>6</w:t>
        </w:r>
        <w:r>
          <w:rPr>
            <w:noProof/>
            <w:webHidden/>
          </w:rPr>
          <w:fldChar w:fldCharType="end"/>
        </w:r>
      </w:hyperlink>
    </w:p>
    <w:p w14:paraId="4BAB9629" w14:textId="2D2763A4" w:rsidR="00C721AF" w:rsidRDefault="00C721AF">
      <w:pPr>
        <w:pStyle w:val="TOC2"/>
        <w:tabs>
          <w:tab w:val="right" w:leader="dot" w:pos="9288"/>
        </w:tabs>
        <w:rPr>
          <w:noProof/>
        </w:rPr>
      </w:pPr>
      <w:hyperlink w:anchor="_Toc236931790" w:history="1">
        <w:r w:rsidRPr="00A61EBB">
          <w:rPr>
            <w:rStyle w:val="Hyperlink"/>
            <w:noProof/>
          </w:rPr>
          <w:t>4.3 Turnover and transaction-cost model</w:t>
        </w:r>
        <w:r>
          <w:rPr>
            <w:noProof/>
            <w:webHidden/>
          </w:rPr>
          <w:tab/>
        </w:r>
        <w:r>
          <w:rPr>
            <w:noProof/>
            <w:webHidden/>
          </w:rPr>
          <w:fldChar w:fldCharType="begin"/>
        </w:r>
        <w:r>
          <w:rPr>
            <w:noProof/>
            <w:webHidden/>
          </w:rPr>
          <w:instrText xml:space="preserve"> PAGEREF _Toc236931790 \h </w:instrText>
        </w:r>
        <w:r>
          <w:rPr>
            <w:noProof/>
            <w:webHidden/>
          </w:rPr>
        </w:r>
        <w:r>
          <w:rPr>
            <w:noProof/>
            <w:webHidden/>
          </w:rPr>
          <w:fldChar w:fldCharType="separate"/>
        </w:r>
        <w:r w:rsidR="00F035AA">
          <w:rPr>
            <w:noProof/>
            <w:webHidden/>
          </w:rPr>
          <w:t>7</w:t>
        </w:r>
        <w:r>
          <w:rPr>
            <w:noProof/>
            <w:webHidden/>
          </w:rPr>
          <w:fldChar w:fldCharType="end"/>
        </w:r>
      </w:hyperlink>
    </w:p>
    <w:p w14:paraId="10AC6E5A" w14:textId="6918635D" w:rsidR="00C721AF" w:rsidRDefault="00C721AF">
      <w:pPr>
        <w:pStyle w:val="TOC2"/>
        <w:tabs>
          <w:tab w:val="right" w:leader="dot" w:pos="9288"/>
        </w:tabs>
        <w:rPr>
          <w:noProof/>
        </w:rPr>
      </w:pPr>
      <w:hyperlink w:anchor="_Toc236931791" w:history="1">
        <w:r w:rsidRPr="00A61EBB">
          <w:rPr>
            <w:rStyle w:val="Hyperlink"/>
            <w:noProof/>
          </w:rPr>
          <w:t>4.4 The fusion extension: does sentiment add value?</w:t>
        </w:r>
        <w:r>
          <w:rPr>
            <w:noProof/>
            <w:webHidden/>
          </w:rPr>
          <w:tab/>
        </w:r>
        <w:r>
          <w:rPr>
            <w:noProof/>
            <w:webHidden/>
          </w:rPr>
          <w:fldChar w:fldCharType="begin"/>
        </w:r>
        <w:r>
          <w:rPr>
            <w:noProof/>
            <w:webHidden/>
          </w:rPr>
          <w:instrText xml:space="preserve"> PAGEREF _Toc236931791 \h </w:instrText>
        </w:r>
        <w:r>
          <w:rPr>
            <w:noProof/>
            <w:webHidden/>
          </w:rPr>
        </w:r>
        <w:r>
          <w:rPr>
            <w:noProof/>
            <w:webHidden/>
          </w:rPr>
          <w:fldChar w:fldCharType="separate"/>
        </w:r>
        <w:r w:rsidR="00F035AA">
          <w:rPr>
            <w:noProof/>
            <w:webHidden/>
          </w:rPr>
          <w:t>7</w:t>
        </w:r>
        <w:r>
          <w:rPr>
            <w:noProof/>
            <w:webHidden/>
          </w:rPr>
          <w:fldChar w:fldCharType="end"/>
        </w:r>
      </w:hyperlink>
    </w:p>
    <w:p w14:paraId="421222CD" w14:textId="5193590B" w:rsidR="00C721AF" w:rsidRDefault="00C721AF">
      <w:pPr>
        <w:pStyle w:val="TOC2"/>
        <w:tabs>
          <w:tab w:val="right" w:leader="dot" w:pos="9288"/>
        </w:tabs>
        <w:rPr>
          <w:noProof/>
        </w:rPr>
      </w:pPr>
      <w:hyperlink w:anchor="_Toc236931792" w:history="1">
        <w:r w:rsidRPr="00A61EBB">
          <w:rPr>
            <w:rStyle w:val="Hyperlink"/>
            <w:noProof/>
          </w:rPr>
          <w:t>4.5 News attention vs forward volatility cross-check</w:t>
        </w:r>
        <w:r>
          <w:rPr>
            <w:noProof/>
            <w:webHidden/>
          </w:rPr>
          <w:tab/>
        </w:r>
        <w:r>
          <w:rPr>
            <w:noProof/>
            <w:webHidden/>
          </w:rPr>
          <w:fldChar w:fldCharType="begin"/>
        </w:r>
        <w:r>
          <w:rPr>
            <w:noProof/>
            <w:webHidden/>
          </w:rPr>
          <w:instrText xml:space="preserve"> PAGEREF _Toc236931792 \h </w:instrText>
        </w:r>
        <w:r>
          <w:rPr>
            <w:noProof/>
            <w:webHidden/>
          </w:rPr>
        </w:r>
        <w:r>
          <w:rPr>
            <w:noProof/>
            <w:webHidden/>
          </w:rPr>
          <w:fldChar w:fldCharType="separate"/>
        </w:r>
        <w:r w:rsidR="00F035AA">
          <w:rPr>
            <w:noProof/>
            <w:webHidden/>
          </w:rPr>
          <w:t>8</w:t>
        </w:r>
        <w:r>
          <w:rPr>
            <w:noProof/>
            <w:webHidden/>
          </w:rPr>
          <w:fldChar w:fldCharType="end"/>
        </w:r>
      </w:hyperlink>
    </w:p>
    <w:p w14:paraId="4CCDDD7A" w14:textId="550F6C20" w:rsidR="00C721AF" w:rsidRDefault="00C721AF">
      <w:pPr>
        <w:pStyle w:val="TOC2"/>
        <w:tabs>
          <w:tab w:val="right" w:leader="dot" w:pos="9288"/>
        </w:tabs>
        <w:rPr>
          <w:noProof/>
        </w:rPr>
      </w:pPr>
      <w:hyperlink w:anchor="_Toc236931793" w:history="1">
        <w:r w:rsidRPr="00A61EBB">
          <w:rPr>
            <w:rStyle w:val="Hyperlink"/>
            <w:noProof/>
          </w:rPr>
          <w:t>4.6 Design system</w:t>
        </w:r>
        <w:r>
          <w:rPr>
            <w:noProof/>
            <w:webHidden/>
          </w:rPr>
          <w:tab/>
        </w:r>
        <w:r>
          <w:rPr>
            <w:noProof/>
            <w:webHidden/>
          </w:rPr>
          <w:fldChar w:fldCharType="begin"/>
        </w:r>
        <w:r>
          <w:rPr>
            <w:noProof/>
            <w:webHidden/>
          </w:rPr>
          <w:instrText xml:space="preserve"> PAGEREF _Toc236931793 \h </w:instrText>
        </w:r>
        <w:r>
          <w:rPr>
            <w:noProof/>
            <w:webHidden/>
          </w:rPr>
        </w:r>
        <w:r>
          <w:rPr>
            <w:noProof/>
            <w:webHidden/>
          </w:rPr>
          <w:fldChar w:fldCharType="separate"/>
        </w:r>
        <w:r w:rsidR="00F035AA">
          <w:rPr>
            <w:noProof/>
            <w:webHidden/>
          </w:rPr>
          <w:t>8</w:t>
        </w:r>
        <w:r>
          <w:rPr>
            <w:noProof/>
            <w:webHidden/>
          </w:rPr>
          <w:fldChar w:fldCharType="end"/>
        </w:r>
      </w:hyperlink>
    </w:p>
    <w:p w14:paraId="10B66458" w14:textId="50B7AE90" w:rsidR="00C721AF" w:rsidRDefault="00C721AF">
      <w:pPr>
        <w:pStyle w:val="TOC1"/>
        <w:tabs>
          <w:tab w:val="right" w:leader="dot" w:pos="9288"/>
        </w:tabs>
        <w:rPr>
          <w:noProof/>
        </w:rPr>
      </w:pPr>
      <w:hyperlink w:anchor="_Toc236931794" w:history="1">
        <w:r w:rsidRPr="00A61EBB">
          <w:rPr>
            <w:rStyle w:val="Hyperlink"/>
            <w:noProof/>
          </w:rPr>
          <w:t>5. The app and the investor journey</w:t>
        </w:r>
        <w:r>
          <w:rPr>
            <w:noProof/>
            <w:webHidden/>
          </w:rPr>
          <w:tab/>
        </w:r>
        <w:r>
          <w:rPr>
            <w:noProof/>
            <w:webHidden/>
          </w:rPr>
          <w:fldChar w:fldCharType="begin"/>
        </w:r>
        <w:r>
          <w:rPr>
            <w:noProof/>
            <w:webHidden/>
          </w:rPr>
          <w:instrText xml:space="preserve"> PAGEREF _Toc236931794 \h </w:instrText>
        </w:r>
        <w:r>
          <w:rPr>
            <w:noProof/>
            <w:webHidden/>
          </w:rPr>
        </w:r>
        <w:r>
          <w:rPr>
            <w:noProof/>
            <w:webHidden/>
          </w:rPr>
          <w:fldChar w:fldCharType="separate"/>
        </w:r>
        <w:r w:rsidR="00F035AA">
          <w:rPr>
            <w:noProof/>
            <w:webHidden/>
          </w:rPr>
          <w:t>8</w:t>
        </w:r>
        <w:r>
          <w:rPr>
            <w:noProof/>
            <w:webHidden/>
          </w:rPr>
          <w:fldChar w:fldCharType="end"/>
        </w:r>
      </w:hyperlink>
    </w:p>
    <w:p w14:paraId="40344156" w14:textId="621A4C61" w:rsidR="00C721AF" w:rsidRDefault="00C721AF">
      <w:pPr>
        <w:pStyle w:val="TOC2"/>
        <w:tabs>
          <w:tab w:val="right" w:leader="dot" w:pos="9288"/>
        </w:tabs>
        <w:rPr>
          <w:noProof/>
        </w:rPr>
      </w:pPr>
      <w:hyperlink w:anchor="_Toc236931795" w:history="1">
        <w:r w:rsidRPr="00A61EBB">
          <w:rPr>
            <w:rStyle w:val="Hyperlink"/>
            <w:noProof/>
          </w:rPr>
          <w:t>5.1 App features that go beyond the baseline</w:t>
        </w:r>
        <w:r>
          <w:rPr>
            <w:noProof/>
            <w:webHidden/>
          </w:rPr>
          <w:tab/>
        </w:r>
        <w:r>
          <w:rPr>
            <w:noProof/>
            <w:webHidden/>
          </w:rPr>
          <w:fldChar w:fldCharType="begin"/>
        </w:r>
        <w:r>
          <w:rPr>
            <w:noProof/>
            <w:webHidden/>
          </w:rPr>
          <w:instrText xml:space="preserve"> PAGEREF _Toc236931795 \h </w:instrText>
        </w:r>
        <w:r>
          <w:rPr>
            <w:noProof/>
            <w:webHidden/>
          </w:rPr>
        </w:r>
        <w:r>
          <w:rPr>
            <w:noProof/>
            <w:webHidden/>
          </w:rPr>
          <w:fldChar w:fldCharType="separate"/>
        </w:r>
        <w:r w:rsidR="00F035AA">
          <w:rPr>
            <w:noProof/>
            <w:webHidden/>
          </w:rPr>
          <w:t>8</w:t>
        </w:r>
        <w:r>
          <w:rPr>
            <w:noProof/>
            <w:webHidden/>
          </w:rPr>
          <w:fldChar w:fldCharType="end"/>
        </w:r>
      </w:hyperlink>
    </w:p>
    <w:p w14:paraId="2FBB5104" w14:textId="2C4233BD" w:rsidR="00C721AF" w:rsidRDefault="00C721AF">
      <w:pPr>
        <w:pStyle w:val="TOC2"/>
        <w:tabs>
          <w:tab w:val="right" w:leader="dot" w:pos="9288"/>
        </w:tabs>
        <w:rPr>
          <w:noProof/>
        </w:rPr>
      </w:pPr>
      <w:hyperlink w:anchor="_Toc236931796" w:history="1">
        <w:r w:rsidRPr="00A61EBB">
          <w:rPr>
            <w:rStyle w:val="Hyperlink"/>
            <w:noProof/>
          </w:rPr>
          <w:t>5.2 Target user and customer journey</w:t>
        </w:r>
        <w:r>
          <w:rPr>
            <w:noProof/>
            <w:webHidden/>
          </w:rPr>
          <w:tab/>
        </w:r>
        <w:r>
          <w:rPr>
            <w:noProof/>
            <w:webHidden/>
          </w:rPr>
          <w:fldChar w:fldCharType="begin"/>
        </w:r>
        <w:r>
          <w:rPr>
            <w:noProof/>
            <w:webHidden/>
          </w:rPr>
          <w:instrText xml:space="preserve"> PAGEREF _Toc236931796 \h </w:instrText>
        </w:r>
        <w:r>
          <w:rPr>
            <w:noProof/>
            <w:webHidden/>
          </w:rPr>
        </w:r>
        <w:r>
          <w:rPr>
            <w:noProof/>
            <w:webHidden/>
          </w:rPr>
          <w:fldChar w:fldCharType="separate"/>
        </w:r>
        <w:r w:rsidR="00F035AA">
          <w:rPr>
            <w:noProof/>
            <w:webHidden/>
          </w:rPr>
          <w:t>9</w:t>
        </w:r>
        <w:r>
          <w:rPr>
            <w:noProof/>
            <w:webHidden/>
          </w:rPr>
          <w:fldChar w:fldCharType="end"/>
        </w:r>
      </w:hyperlink>
    </w:p>
    <w:p w14:paraId="401FD8F3" w14:textId="3DDFD97B" w:rsidR="00C721AF" w:rsidRDefault="00C721AF">
      <w:pPr>
        <w:pStyle w:val="TOC1"/>
        <w:tabs>
          <w:tab w:val="right" w:leader="dot" w:pos="9288"/>
        </w:tabs>
        <w:rPr>
          <w:noProof/>
        </w:rPr>
      </w:pPr>
      <w:hyperlink w:anchor="_Toc236931797" w:history="1">
        <w:r w:rsidRPr="00A61EBB">
          <w:rPr>
            <w:rStyle w:val="Hyperlink"/>
            <w:noProof/>
          </w:rPr>
          <w:t>6. Critical reflection and three recommendations</w:t>
        </w:r>
        <w:r>
          <w:rPr>
            <w:noProof/>
            <w:webHidden/>
          </w:rPr>
          <w:tab/>
        </w:r>
        <w:r>
          <w:rPr>
            <w:noProof/>
            <w:webHidden/>
          </w:rPr>
          <w:fldChar w:fldCharType="begin"/>
        </w:r>
        <w:r>
          <w:rPr>
            <w:noProof/>
            <w:webHidden/>
          </w:rPr>
          <w:instrText xml:space="preserve"> PAGEREF _Toc236931797 \h </w:instrText>
        </w:r>
        <w:r>
          <w:rPr>
            <w:noProof/>
            <w:webHidden/>
          </w:rPr>
        </w:r>
        <w:r>
          <w:rPr>
            <w:noProof/>
            <w:webHidden/>
          </w:rPr>
          <w:fldChar w:fldCharType="separate"/>
        </w:r>
        <w:r w:rsidR="00F035AA">
          <w:rPr>
            <w:noProof/>
            <w:webHidden/>
          </w:rPr>
          <w:t>9</w:t>
        </w:r>
        <w:r>
          <w:rPr>
            <w:noProof/>
            <w:webHidden/>
          </w:rPr>
          <w:fldChar w:fldCharType="end"/>
        </w:r>
      </w:hyperlink>
    </w:p>
    <w:p w14:paraId="20D2BB98" w14:textId="57D9F53A" w:rsidR="00C721AF" w:rsidRDefault="00C721AF">
      <w:pPr>
        <w:pStyle w:val="TOC2"/>
        <w:tabs>
          <w:tab w:val="right" w:leader="dot" w:pos="9288"/>
        </w:tabs>
        <w:rPr>
          <w:noProof/>
        </w:rPr>
      </w:pPr>
      <w:hyperlink w:anchor="_Toc236931798" w:history="1">
        <w:r w:rsidRPr="00A61EBB">
          <w:rPr>
            <w:rStyle w:val="Hyperlink"/>
            <w:noProof/>
          </w:rPr>
          <w:t>6.1 Make the news signal sector-conditional and volatility-scaled</w:t>
        </w:r>
        <w:r>
          <w:rPr>
            <w:noProof/>
            <w:webHidden/>
          </w:rPr>
          <w:tab/>
        </w:r>
        <w:r>
          <w:rPr>
            <w:noProof/>
            <w:webHidden/>
          </w:rPr>
          <w:fldChar w:fldCharType="begin"/>
        </w:r>
        <w:r>
          <w:rPr>
            <w:noProof/>
            <w:webHidden/>
          </w:rPr>
          <w:instrText xml:space="preserve"> PAGEREF _Toc236931798 \h </w:instrText>
        </w:r>
        <w:r>
          <w:rPr>
            <w:noProof/>
            <w:webHidden/>
          </w:rPr>
        </w:r>
        <w:r>
          <w:rPr>
            <w:noProof/>
            <w:webHidden/>
          </w:rPr>
          <w:fldChar w:fldCharType="separate"/>
        </w:r>
        <w:r w:rsidR="00F035AA">
          <w:rPr>
            <w:noProof/>
            <w:webHidden/>
          </w:rPr>
          <w:t>9</w:t>
        </w:r>
        <w:r>
          <w:rPr>
            <w:noProof/>
            <w:webHidden/>
          </w:rPr>
          <w:fldChar w:fldCharType="end"/>
        </w:r>
      </w:hyperlink>
    </w:p>
    <w:p w14:paraId="4F737D7A" w14:textId="541C7455" w:rsidR="00C721AF" w:rsidRDefault="00C721AF">
      <w:pPr>
        <w:pStyle w:val="TOC2"/>
        <w:tabs>
          <w:tab w:val="right" w:leader="dot" w:pos="9288"/>
        </w:tabs>
        <w:rPr>
          <w:noProof/>
        </w:rPr>
      </w:pPr>
      <w:hyperlink w:anchor="_Toc236931799" w:history="1">
        <w:r w:rsidRPr="00A61EBB">
          <w:rPr>
            <w:rStyle w:val="Hyperlink"/>
            <w:noProof/>
          </w:rPr>
          <w:t>6.2 Make turnover a constraint, not an afterthought</w:t>
        </w:r>
        <w:r>
          <w:rPr>
            <w:noProof/>
            <w:webHidden/>
          </w:rPr>
          <w:tab/>
        </w:r>
        <w:r>
          <w:rPr>
            <w:noProof/>
            <w:webHidden/>
          </w:rPr>
          <w:fldChar w:fldCharType="begin"/>
        </w:r>
        <w:r>
          <w:rPr>
            <w:noProof/>
            <w:webHidden/>
          </w:rPr>
          <w:instrText xml:space="preserve"> PAGEREF _Toc236931799 \h </w:instrText>
        </w:r>
        <w:r>
          <w:rPr>
            <w:noProof/>
            <w:webHidden/>
          </w:rPr>
        </w:r>
        <w:r>
          <w:rPr>
            <w:noProof/>
            <w:webHidden/>
          </w:rPr>
          <w:fldChar w:fldCharType="separate"/>
        </w:r>
        <w:r w:rsidR="00F035AA">
          <w:rPr>
            <w:noProof/>
            <w:webHidden/>
          </w:rPr>
          <w:t>10</w:t>
        </w:r>
        <w:r>
          <w:rPr>
            <w:noProof/>
            <w:webHidden/>
          </w:rPr>
          <w:fldChar w:fldCharType="end"/>
        </w:r>
      </w:hyperlink>
    </w:p>
    <w:p w14:paraId="1CA18132" w14:textId="58C6EA19" w:rsidR="00C721AF" w:rsidRDefault="00C721AF">
      <w:pPr>
        <w:pStyle w:val="TOC2"/>
        <w:tabs>
          <w:tab w:val="right" w:leader="dot" w:pos="9288"/>
        </w:tabs>
        <w:rPr>
          <w:noProof/>
        </w:rPr>
      </w:pPr>
      <w:hyperlink w:anchor="_Toc236931800" w:history="1">
        <w:r w:rsidRPr="00A61EBB">
          <w:rPr>
            <w:rStyle w:val="Hyperlink"/>
            <w:noProof/>
          </w:rPr>
          <w:t>6.3 Rebuild Maximum Sharpe as a constrained, benchmark-aware fund</w:t>
        </w:r>
        <w:r>
          <w:rPr>
            <w:noProof/>
            <w:webHidden/>
          </w:rPr>
          <w:tab/>
        </w:r>
        <w:r>
          <w:rPr>
            <w:noProof/>
            <w:webHidden/>
          </w:rPr>
          <w:fldChar w:fldCharType="begin"/>
        </w:r>
        <w:r>
          <w:rPr>
            <w:noProof/>
            <w:webHidden/>
          </w:rPr>
          <w:instrText xml:space="preserve"> PAGEREF _Toc236931800 \h </w:instrText>
        </w:r>
        <w:r>
          <w:rPr>
            <w:noProof/>
            <w:webHidden/>
          </w:rPr>
        </w:r>
        <w:r>
          <w:rPr>
            <w:noProof/>
            <w:webHidden/>
          </w:rPr>
          <w:fldChar w:fldCharType="separate"/>
        </w:r>
        <w:r w:rsidR="00F035AA">
          <w:rPr>
            <w:noProof/>
            <w:webHidden/>
          </w:rPr>
          <w:t>10</w:t>
        </w:r>
        <w:r>
          <w:rPr>
            <w:noProof/>
            <w:webHidden/>
          </w:rPr>
          <w:fldChar w:fldCharType="end"/>
        </w:r>
      </w:hyperlink>
    </w:p>
    <w:p w14:paraId="7AE626C3" w14:textId="0F99B4AA" w:rsidR="00C721AF" w:rsidRDefault="00C721AF">
      <w:pPr>
        <w:pStyle w:val="TOC1"/>
        <w:tabs>
          <w:tab w:val="right" w:leader="dot" w:pos="9288"/>
        </w:tabs>
        <w:rPr>
          <w:noProof/>
        </w:rPr>
      </w:pPr>
      <w:hyperlink w:anchor="_Toc236931801" w:history="1">
        <w:r w:rsidRPr="00A61EBB">
          <w:rPr>
            <w:rStyle w:val="Hyperlink"/>
            <w:noProof/>
          </w:rPr>
          <w:t>References</w:t>
        </w:r>
        <w:r>
          <w:rPr>
            <w:noProof/>
            <w:webHidden/>
          </w:rPr>
          <w:tab/>
        </w:r>
        <w:r>
          <w:rPr>
            <w:noProof/>
            <w:webHidden/>
          </w:rPr>
          <w:fldChar w:fldCharType="begin"/>
        </w:r>
        <w:r>
          <w:rPr>
            <w:noProof/>
            <w:webHidden/>
          </w:rPr>
          <w:instrText xml:space="preserve"> PAGEREF _Toc236931801 \h </w:instrText>
        </w:r>
        <w:r>
          <w:rPr>
            <w:noProof/>
            <w:webHidden/>
          </w:rPr>
        </w:r>
        <w:r>
          <w:rPr>
            <w:noProof/>
            <w:webHidden/>
          </w:rPr>
          <w:fldChar w:fldCharType="separate"/>
        </w:r>
        <w:r w:rsidR="00F035AA">
          <w:rPr>
            <w:noProof/>
            <w:webHidden/>
          </w:rPr>
          <w:t>11</w:t>
        </w:r>
        <w:r>
          <w:rPr>
            <w:noProof/>
            <w:webHidden/>
          </w:rPr>
          <w:fldChar w:fldCharType="end"/>
        </w:r>
      </w:hyperlink>
    </w:p>
    <w:p w14:paraId="6A6A119B" w14:textId="272C085E" w:rsidR="00C721AF" w:rsidRDefault="00C721AF">
      <w:pPr>
        <w:pStyle w:val="TOC1"/>
        <w:tabs>
          <w:tab w:val="right" w:leader="dot" w:pos="9288"/>
        </w:tabs>
        <w:rPr>
          <w:noProof/>
        </w:rPr>
      </w:pPr>
      <w:hyperlink w:anchor="_Toc236931802" w:history="1">
        <w:r w:rsidRPr="00A61EBB">
          <w:rPr>
            <w:rStyle w:val="Hyperlink"/>
            <w:noProof/>
          </w:rPr>
          <w:t>Appendix A - Full fund fact sheets</w:t>
        </w:r>
        <w:r>
          <w:rPr>
            <w:noProof/>
            <w:webHidden/>
          </w:rPr>
          <w:tab/>
        </w:r>
        <w:r>
          <w:rPr>
            <w:noProof/>
            <w:webHidden/>
          </w:rPr>
          <w:fldChar w:fldCharType="begin"/>
        </w:r>
        <w:r>
          <w:rPr>
            <w:noProof/>
            <w:webHidden/>
          </w:rPr>
          <w:instrText xml:space="preserve"> PAGEREF _Toc236931802 \h </w:instrText>
        </w:r>
        <w:r>
          <w:rPr>
            <w:noProof/>
            <w:webHidden/>
          </w:rPr>
        </w:r>
        <w:r>
          <w:rPr>
            <w:noProof/>
            <w:webHidden/>
          </w:rPr>
          <w:fldChar w:fldCharType="separate"/>
        </w:r>
        <w:r w:rsidR="00F035AA">
          <w:rPr>
            <w:noProof/>
            <w:webHidden/>
          </w:rPr>
          <w:t>12</w:t>
        </w:r>
        <w:r>
          <w:rPr>
            <w:noProof/>
            <w:webHidden/>
          </w:rPr>
          <w:fldChar w:fldCharType="end"/>
        </w:r>
      </w:hyperlink>
    </w:p>
    <w:p w14:paraId="02325070" w14:textId="2E321F1E" w:rsidR="00C721AF" w:rsidRDefault="00C721AF">
      <w:pPr>
        <w:pStyle w:val="TOC1"/>
        <w:tabs>
          <w:tab w:val="right" w:leader="dot" w:pos="9288"/>
        </w:tabs>
        <w:rPr>
          <w:noProof/>
        </w:rPr>
      </w:pPr>
      <w:hyperlink w:anchor="_Toc236931803" w:history="1">
        <w:r w:rsidRPr="00A61EBB">
          <w:rPr>
            <w:rStyle w:val="Hyperlink"/>
            <w:noProof/>
          </w:rPr>
          <w:t>Appendix B - Turnover and transaction-cost model</w:t>
        </w:r>
        <w:r>
          <w:rPr>
            <w:noProof/>
            <w:webHidden/>
          </w:rPr>
          <w:tab/>
        </w:r>
        <w:r>
          <w:rPr>
            <w:noProof/>
            <w:webHidden/>
          </w:rPr>
          <w:fldChar w:fldCharType="begin"/>
        </w:r>
        <w:r>
          <w:rPr>
            <w:noProof/>
            <w:webHidden/>
          </w:rPr>
          <w:instrText xml:space="preserve"> PAGEREF _Toc236931803 \h </w:instrText>
        </w:r>
        <w:r>
          <w:rPr>
            <w:noProof/>
            <w:webHidden/>
          </w:rPr>
        </w:r>
        <w:r>
          <w:rPr>
            <w:noProof/>
            <w:webHidden/>
          </w:rPr>
          <w:fldChar w:fldCharType="separate"/>
        </w:r>
        <w:r w:rsidR="00F035AA">
          <w:rPr>
            <w:noProof/>
            <w:webHidden/>
          </w:rPr>
          <w:t>13</w:t>
        </w:r>
        <w:r>
          <w:rPr>
            <w:noProof/>
            <w:webHidden/>
          </w:rPr>
          <w:fldChar w:fldCharType="end"/>
        </w:r>
      </w:hyperlink>
    </w:p>
    <w:p w14:paraId="5F448618" w14:textId="6B366E28" w:rsidR="00C721AF" w:rsidRDefault="00C721AF">
      <w:pPr>
        <w:pStyle w:val="TOC1"/>
        <w:tabs>
          <w:tab w:val="right" w:leader="dot" w:pos="9288"/>
        </w:tabs>
        <w:rPr>
          <w:noProof/>
        </w:rPr>
      </w:pPr>
      <w:hyperlink w:anchor="_Toc236931804" w:history="1">
        <w:r w:rsidRPr="00A61EBB">
          <w:rPr>
            <w:rStyle w:val="Hyperlink"/>
            <w:noProof/>
          </w:rPr>
          <w:t>Appendix C - Fusion kappa sensitivity</w:t>
        </w:r>
        <w:r>
          <w:rPr>
            <w:noProof/>
            <w:webHidden/>
          </w:rPr>
          <w:tab/>
        </w:r>
        <w:r>
          <w:rPr>
            <w:noProof/>
            <w:webHidden/>
          </w:rPr>
          <w:fldChar w:fldCharType="begin"/>
        </w:r>
        <w:r>
          <w:rPr>
            <w:noProof/>
            <w:webHidden/>
          </w:rPr>
          <w:instrText xml:space="preserve"> PAGEREF _Toc236931804 \h </w:instrText>
        </w:r>
        <w:r>
          <w:rPr>
            <w:noProof/>
            <w:webHidden/>
          </w:rPr>
        </w:r>
        <w:r>
          <w:rPr>
            <w:noProof/>
            <w:webHidden/>
          </w:rPr>
          <w:fldChar w:fldCharType="separate"/>
        </w:r>
        <w:r w:rsidR="00F035AA">
          <w:rPr>
            <w:noProof/>
            <w:webHidden/>
          </w:rPr>
          <w:t>14</w:t>
        </w:r>
        <w:r>
          <w:rPr>
            <w:noProof/>
            <w:webHidden/>
          </w:rPr>
          <w:fldChar w:fldCharType="end"/>
        </w:r>
      </w:hyperlink>
    </w:p>
    <w:p w14:paraId="62D92368" w14:textId="2FEF767A" w:rsidR="00C721AF" w:rsidRDefault="00C721AF">
      <w:pPr>
        <w:pStyle w:val="TOC1"/>
        <w:tabs>
          <w:tab w:val="right" w:leader="dot" w:pos="9288"/>
        </w:tabs>
        <w:rPr>
          <w:noProof/>
        </w:rPr>
      </w:pPr>
      <w:hyperlink w:anchor="_Toc236931805" w:history="1">
        <w:r w:rsidRPr="00A61EBB">
          <w:rPr>
            <w:rStyle w:val="Hyperlink"/>
            <w:noProof/>
          </w:rPr>
          <w:t>Appendix D - News attention vs forward volatility</w:t>
        </w:r>
        <w:r>
          <w:rPr>
            <w:noProof/>
            <w:webHidden/>
          </w:rPr>
          <w:tab/>
        </w:r>
        <w:r>
          <w:rPr>
            <w:noProof/>
            <w:webHidden/>
          </w:rPr>
          <w:fldChar w:fldCharType="begin"/>
        </w:r>
        <w:r>
          <w:rPr>
            <w:noProof/>
            <w:webHidden/>
          </w:rPr>
          <w:instrText xml:space="preserve"> PAGEREF _Toc236931805 \h </w:instrText>
        </w:r>
        <w:r>
          <w:rPr>
            <w:noProof/>
            <w:webHidden/>
          </w:rPr>
        </w:r>
        <w:r>
          <w:rPr>
            <w:noProof/>
            <w:webHidden/>
          </w:rPr>
          <w:fldChar w:fldCharType="separate"/>
        </w:r>
        <w:r w:rsidR="00F035AA">
          <w:rPr>
            <w:noProof/>
            <w:webHidden/>
          </w:rPr>
          <w:t>14</w:t>
        </w:r>
        <w:r>
          <w:rPr>
            <w:noProof/>
            <w:webHidden/>
          </w:rPr>
          <w:fldChar w:fldCharType="end"/>
        </w:r>
      </w:hyperlink>
    </w:p>
    <w:p w14:paraId="657A49C5" w14:textId="3F3031B6" w:rsidR="000C3A7E" w:rsidRDefault="007145AD">
      <w:r>
        <w:fldChar w:fldCharType="end"/>
      </w:r>
    </w:p>
    <w:p w14:paraId="1F6CE8D4" w14:textId="77777777" w:rsidR="000C3A7E" w:rsidRDefault="000C3A7E"/>
    <w:p w14:paraId="302CD3D3" w14:textId="77777777" w:rsidR="000C3A7E" w:rsidRDefault="007145AD">
      <w:r>
        <w:br w:type="page"/>
      </w:r>
    </w:p>
    <w:p w14:paraId="42C71214" w14:textId="77777777" w:rsidR="000C3A7E" w:rsidRDefault="007145AD">
      <w:pPr>
        <w:pStyle w:val="Heading1"/>
      </w:pPr>
      <w:bookmarkStart w:id="0" w:name="_Toc236931784"/>
      <w:r>
        <w:lastRenderedPageBreak/>
        <w:t>1. The funds and the backtest design</w:t>
      </w:r>
      <w:bookmarkEnd w:id="0"/>
    </w:p>
    <w:p w14:paraId="6A0D6D98" w14:textId="54A4A949" w:rsidR="000C3A7E" w:rsidRDefault="007145AD" w:rsidP="00FD7BED">
      <w:pPr>
        <w:jc w:val="both"/>
      </w:pPr>
      <w:r>
        <w:t xml:space="preserve">Quantis is a prototype investment app that offers a menu of rules-based funds built from 50 US large-cap equities (10 sectors), 10 cryptocurrencies and the two combined. Each fund is a (universe, method) pair that an investor could hold and that has its own fact sheet: 12 base funds across four </w:t>
      </w:r>
      <w:r w:rsidR="00FD7BED">
        <w:t>optimization</w:t>
      </w:r>
      <w:r>
        <w:t xml:space="preserve"> methods - Equal Weight, Minimum Variance, Maximum Sharpe and Risk Parity - plus two sentiment-tilted variants of the equity funds (section 4). </w:t>
      </w:r>
      <w:r w:rsidR="00FD7BED">
        <w:t>News</w:t>
      </w:r>
      <w:r>
        <w:t xml:space="preserve"> data only covers the equities, so every sentiment-based extension applies to the equity universe only; crypto is treated as a pure price-based diversifier.</w:t>
      </w:r>
    </w:p>
    <w:p w14:paraId="20324261" w14:textId="566EA029" w:rsidR="000C3A7E" w:rsidRDefault="007145AD" w:rsidP="00FD7BED">
      <w:pPr>
        <w:jc w:val="both"/>
      </w:pPr>
      <w:r>
        <w:t xml:space="preserve">The funds are </w:t>
      </w:r>
      <w:r w:rsidR="00FD7BED">
        <w:t>back tested</w:t>
      </w:r>
      <w:r>
        <w:t xml:space="preserve"> out of sample with a walk-forward design. A 504-trading-day (two-year) estimation window slides through the sample and weights are recomputed every 21 trading days (approximately monthly); the weights formed at a rebalance date are applied from the next period, so no decision ever uses a future observation. The </w:t>
      </w:r>
      <w:r w:rsidR="00FD7BED">
        <w:t>optimizers</w:t>
      </w:r>
      <w:r>
        <w:t xml:space="preserve"> are long-only with a 20% cap per holding for equity and combined funds and a 35% cap for </w:t>
      </w:r>
      <w:r w:rsidR="00FD7BED">
        <w:t>crypto and</w:t>
      </w:r>
      <w:r>
        <w:t xml:space="preserve"> use a sample covariance shrunk 10% toward the diagonal for stability. The Sharpe ratio assumes a zero risk-free rate, stated so the numbers are comparable.</w:t>
      </w:r>
    </w:p>
    <w:p w14:paraId="432934C4" w14:textId="62234AF0" w:rsidR="000C3A7E" w:rsidRDefault="007145AD" w:rsidP="00FD7BED">
      <w:pPr>
        <w:jc w:val="both"/>
      </w:pPr>
      <w:r>
        <w:t xml:space="preserve">The first live (out-of-sample) dates are 31 December 2021 for the equity and combined funds (2021-12-31 to 2023-12-29, 502 trading days) and 19 May 2021 for the crypto funds (2021-05-19 to 2023-12-31, 957 trading days); the two-year window before that is estimation only. </w:t>
      </w:r>
      <w:r w:rsidR="00FD7BED">
        <w:t>Annualization</w:t>
      </w:r>
      <w:r>
        <w:t xml:space="preserve"> is 252 trading days for equity and combined and 365 for crypto, matching each calendar. A 10-basis-point one-sided transaction-cost model is applied separately (not inside the </w:t>
      </w:r>
      <w:r w:rsidR="00FD7BED">
        <w:t>optimization</w:t>
      </w:r>
      <w:r>
        <w:t xml:space="preserve">) so we can report gross versus net </w:t>
      </w:r>
      <w:r w:rsidR="003E5420">
        <w:t xml:space="preserve">performance, </w:t>
      </w:r>
      <w:r>
        <w:t xml:space="preserve">the base </w:t>
      </w:r>
      <w:r w:rsidR="00FD7BED">
        <w:t>back tests</w:t>
      </w:r>
      <w:r>
        <w:t xml:space="preserve"> otherwise assume zero transaction costs, as the brief permits.</w:t>
      </w:r>
    </w:p>
    <w:p w14:paraId="1EDA1F84" w14:textId="09A494D0" w:rsidR="000C3A7E" w:rsidRDefault="007145AD" w:rsidP="00FD7BED">
      <w:pPr>
        <w:jc w:val="both"/>
      </w:pPr>
      <w:r>
        <w:t xml:space="preserve">Risk Parity is implemented as true equal risk contribution (an ERC problem solved with a Newton scheme) rather than the inverse-volatility shortcut, and the per-asset caps are enforced with a recursive water-filling projection (`normalize_capped`) so the 20%/35% limits are binding throughout the </w:t>
      </w:r>
      <w:r w:rsidR="00FD7BED">
        <w:t>back test</w:t>
      </w:r>
      <w:r>
        <w:t>. Table 1 states every design choice.</w:t>
      </w:r>
    </w:p>
    <w:tbl>
      <w:tblPr>
        <w:tblStyle w:val="LightGrid-Accent1"/>
        <w:tblW w:w="0" w:type="auto"/>
        <w:jc w:val="center"/>
        <w:tblLook w:val="04A0" w:firstRow="1" w:lastRow="0" w:firstColumn="1" w:lastColumn="0" w:noHBand="0" w:noVBand="1"/>
      </w:tblPr>
      <w:tblGrid>
        <w:gridCol w:w="4819"/>
        <w:gridCol w:w="3969"/>
      </w:tblGrid>
      <w:tr w:rsidR="000C3A7E" w14:paraId="3807BB82" w14:textId="77777777" w:rsidTr="000C3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30F7DC67" w14:textId="77777777" w:rsidR="000C3A7E" w:rsidRDefault="007145AD">
            <w:pPr>
              <w:spacing w:before="40" w:after="40"/>
            </w:pPr>
            <w:r>
              <w:t>Design choice</w:t>
            </w:r>
          </w:p>
        </w:tc>
        <w:tc>
          <w:tcPr>
            <w:tcW w:w="3969" w:type="dxa"/>
          </w:tcPr>
          <w:p w14:paraId="2FCF1FE7"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Value</w:t>
            </w:r>
          </w:p>
        </w:tc>
      </w:tr>
      <w:tr w:rsidR="000C3A7E" w14:paraId="1F1C936B"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1BB134DC" w14:textId="77777777" w:rsidR="000C3A7E" w:rsidRDefault="007145AD">
            <w:pPr>
              <w:spacing w:before="40" w:after="40"/>
            </w:pPr>
            <w:r>
              <w:t>Estimation window</w:t>
            </w:r>
          </w:p>
        </w:tc>
        <w:tc>
          <w:tcPr>
            <w:tcW w:w="3969" w:type="dxa"/>
          </w:tcPr>
          <w:p w14:paraId="78458C1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504 trading days (2 years)</w:t>
            </w:r>
          </w:p>
        </w:tc>
      </w:tr>
      <w:tr w:rsidR="000C3A7E" w14:paraId="36783A85"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26503EEC" w14:textId="77777777" w:rsidR="000C3A7E" w:rsidRDefault="007145AD">
            <w:pPr>
              <w:spacing w:before="40" w:after="40"/>
            </w:pPr>
            <w:r>
              <w:t>Rebalance frequency</w:t>
            </w:r>
          </w:p>
        </w:tc>
        <w:tc>
          <w:tcPr>
            <w:tcW w:w="3969" w:type="dxa"/>
          </w:tcPr>
          <w:p w14:paraId="6F8AAF69" w14:textId="15AA2EB9"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every 21 periods (~monthly)</w:t>
            </w:r>
          </w:p>
        </w:tc>
      </w:tr>
      <w:tr w:rsidR="000C3A7E" w14:paraId="5046A1DC"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3D69BF08" w14:textId="77777777" w:rsidR="000C3A7E" w:rsidRDefault="007145AD">
            <w:pPr>
              <w:spacing w:before="40" w:after="40"/>
            </w:pPr>
            <w:r>
              <w:t>Risk-free rate</w:t>
            </w:r>
          </w:p>
        </w:tc>
        <w:tc>
          <w:tcPr>
            <w:tcW w:w="3969" w:type="dxa"/>
          </w:tcPr>
          <w:p w14:paraId="1CD2710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w:t>
            </w:r>
          </w:p>
        </w:tc>
      </w:tr>
      <w:tr w:rsidR="000C3A7E" w14:paraId="0325AFE9"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40BC54FB" w14:textId="77777777" w:rsidR="000C3A7E" w:rsidRDefault="007145AD">
            <w:pPr>
              <w:spacing w:before="40" w:after="40"/>
            </w:pPr>
            <w:r>
              <w:t>Long / short</w:t>
            </w:r>
          </w:p>
        </w:tc>
        <w:tc>
          <w:tcPr>
            <w:tcW w:w="3969" w:type="dxa"/>
          </w:tcPr>
          <w:p w14:paraId="1414F5C8"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Long only</w:t>
            </w:r>
          </w:p>
        </w:tc>
      </w:tr>
      <w:tr w:rsidR="000C3A7E" w14:paraId="1A39DBC6"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57DA1E3D" w14:textId="77777777" w:rsidR="000C3A7E" w:rsidRDefault="007145AD">
            <w:pPr>
              <w:spacing w:before="40" w:after="40"/>
            </w:pPr>
            <w:r>
              <w:t>Per-asset cap</w:t>
            </w:r>
          </w:p>
        </w:tc>
        <w:tc>
          <w:tcPr>
            <w:tcW w:w="3969" w:type="dxa"/>
          </w:tcPr>
          <w:p w14:paraId="65C6E48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 (equity, combined); 35% (crypto)</w:t>
            </w:r>
          </w:p>
        </w:tc>
      </w:tr>
      <w:tr w:rsidR="000C3A7E" w14:paraId="605A8487"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38B0EE68" w14:textId="77777777" w:rsidR="000C3A7E" w:rsidRDefault="007145AD">
            <w:pPr>
              <w:spacing w:before="40" w:after="40"/>
            </w:pPr>
            <w:r>
              <w:t>Covariance</w:t>
            </w:r>
          </w:p>
        </w:tc>
        <w:tc>
          <w:tcPr>
            <w:tcW w:w="3969" w:type="dxa"/>
          </w:tcPr>
          <w:p w14:paraId="76B6DD73"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sample covariance shrunk 10% toward diagonal</w:t>
            </w:r>
          </w:p>
        </w:tc>
      </w:tr>
      <w:tr w:rsidR="000C3A7E" w14:paraId="2933752E"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0B9B23B6" w14:textId="77777777" w:rsidR="000C3A7E" w:rsidRDefault="007145AD">
            <w:pPr>
              <w:spacing w:before="40" w:after="40"/>
            </w:pPr>
            <w:r>
              <w:t>Transaction costs</w:t>
            </w:r>
          </w:p>
        </w:tc>
        <w:tc>
          <w:tcPr>
            <w:tcW w:w="3969" w:type="dxa"/>
          </w:tcPr>
          <w:p w14:paraId="59B5A97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10 bps one-sided (turnover model)</w:t>
            </w:r>
          </w:p>
        </w:tc>
      </w:tr>
      <w:tr w:rsidR="000C3A7E" w14:paraId="2106B6BD"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3623209B" w14:textId="0E600B9D" w:rsidR="000C3A7E" w:rsidRDefault="003E5420">
            <w:pPr>
              <w:spacing w:before="40" w:after="40"/>
            </w:pPr>
            <w:r>
              <w:t>Annualization</w:t>
            </w:r>
          </w:p>
        </w:tc>
        <w:tc>
          <w:tcPr>
            <w:tcW w:w="3969" w:type="dxa"/>
          </w:tcPr>
          <w:p w14:paraId="7CA6AB4D"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252 days (equity, combined); 365 days (crypto)</w:t>
            </w:r>
          </w:p>
        </w:tc>
      </w:tr>
      <w:tr w:rsidR="000C3A7E" w14:paraId="1085662F"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199D3D9D" w14:textId="77777777" w:rsidR="000C3A7E" w:rsidRDefault="007145AD">
            <w:pPr>
              <w:spacing w:before="40" w:after="40"/>
            </w:pPr>
            <w:r>
              <w:t>First live date - equity/combined</w:t>
            </w:r>
          </w:p>
        </w:tc>
        <w:tc>
          <w:tcPr>
            <w:tcW w:w="3969" w:type="dxa"/>
          </w:tcPr>
          <w:p w14:paraId="4051786B"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2021-12-31</w:t>
            </w:r>
          </w:p>
        </w:tc>
      </w:tr>
      <w:tr w:rsidR="000C3A7E" w14:paraId="14FAF99A"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68ADCD39" w14:textId="77777777" w:rsidR="000C3A7E" w:rsidRDefault="007145AD">
            <w:pPr>
              <w:spacing w:before="40" w:after="40"/>
            </w:pPr>
            <w:r>
              <w:t>First live date - crypto</w:t>
            </w:r>
          </w:p>
        </w:tc>
        <w:tc>
          <w:tcPr>
            <w:tcW w:w="3969" w:type="dxa"/>
          </w:tcPr>
          <w:p w14:paraId="6EA6EDBA"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2021-05-19</w:t>
            </w:r>
          </w:p>
        </w:tc>
      </w:tr>
      <w:tr w:rsidR="000C3A7E" w14:paraId="25750DA2"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7B463453" w14:textId="77777777" w:rsidR="000C3A7E" w:rsidRDefault="007145AD">
            <w:pPr>
              <w:spacing w:before="40" w:after="40"/>
            </w:pPr>
            <w:r>
              <w:t>Out-of-sample days</w:t>
            </w:r>
          </w:p>
        </w:tc>
        <w:tc>
          <w:tcPr>
            <w:tcW w:w="3969" w:type="dxa"/>
          </w:tcPr>
          <w:p w14:paraId="4F525ADF"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502 (equity, combined); 957 (crypto)</w:t>
            </w:r>
          </w:p>
        </w:tc>
      </w:tr>
    </w:tbl>
    <w:p w14:paraId="1698B38E" w14:textId="77777777" w:rsidR="000C3A7E" w:rsidRDefault="007145AD">
      <w:pPr>
        <w:pStyle w:val="Caption"/>
      </w:pPr>
      <w:r>
        <w:t>Table 1. Backtest design choices, as recorded in results/tables/backtest_parameters.csv.</w:t>
      </w:r>
    </w:p>
    <w:p w14:paraId="7B2D0ECC" w14:textId="77777777" w:rsidR="000C3A7E" w:rsidRDefault="000C3A7E"/>
    <w:p w14:paraId="0A9D9B81" w14:textId="29423C16" w:rsidR="000C3A7E" w:rsidRDefault="007145AD" w:rsidP="00FD7BED">
      <w:pPr>
        <w:jc w:val="both"/>
      </w:pPr>
      <w:r>
        <w:lastRenderedPageBreak/>
        <w:t xml:space="preserve">Figure 1 shows the full set of base funds and their weights over time for one fund, and Table 2 gives the headline numbers. The design deliberately pairs simple transparent rules (Equal Weight) with risk-targeting methods (Minimum Variance, Risk Parity) and a return-seeking one (Maximum Sharpe), so an investor can choose how much </w:t>
      </w:r>
      <w:r w:rsidR="00FD7BED">
        <w:t>optimization</w:t>
      </w:r>
      <w:r>
        <w:t xml:space="preserve"> risk they are paying for.</w:t>
      </w:r>
    </w:p>
    <w:p w14:paraId="5B634CD9" w14:textId="77777777" w:rsidR="000C3A7E" w:rsidRDefault="007145AD" w:rsidP="00FD7BED">
      <w:pPr>
        <w:pStyle w:val="Heading1"/>
        <w:jc w:val="both"/>
      </w:pPr>
      <w:bookmarkStart w:id="1" w:name="_Toc236931785"/>
      <w:r>
        <w:t>2. Out-of-sample results and fund fact sheets</w:t>
      </w:r>
      <w:bookmarkEnd w:id="1"/>
    </w:p>
    <w:p w14:paraId="0B880863" w14:textId="439E44A4" w:rsidR="000C3A7E" w:rsidRDefault="007145AD" w:rsidP="00FD7BED">
      <w:pPr>
        <w:jc w:val="both"/>
      </w:pPr>
      <w:r>
        <w:t xml:space="preserve">Out of sample, the safest funds also delivered the most reliable results. Equity Equal Weight returned 6.0% </w:t>
      </w:r>
      <w:r w:rsidR="00FD7BED">
        <w:t>annualized</w:t>
      </w:r>
      <w:r>
        <w:t xml:space="preserve"> with a 0.42 Sharpe and grew $1 to $1.12; Equity Minimum Variance had the lowest volatility in the equity family (13.5% </w:t>
      </w:r>
      <w:r w:rsidR="00FD7BED">
        <w:t>annualized</w:t>
      </w:r>
      <w:r>
        <w:t xml:space="preserve">) and the shallowest drawdown (-16.5%). In crypto, Minimum Variance was the standout: 7.5% </w:t>
      </w:r>
      <w:r w:rsidR="00FD7BED">
        <w:t>annualized</w:t>
      </w:r>
      <w:r>
        <w:t xml:space="preserve"> and the only crypto fund to grow $1 above 1.21. The equal-weight crypto funds lost money, which is what a price-only crypto basket did over 2022-2023.</w:t>
      </w:r>
    </w:p>
    <w:p w14:paraId="7CB6727C" w14:textId="75D406F9" w:rsidR="000C3A7E" w:rsidRDefault="007145AD" w:rsidP="00FD7BED">
      <w:pPr>
        <w:jc w:val="both"/>
      </w:pPr>
      <w:r>
        <w:t xml:space="preserve">Maximum Sharpe is the clear loser in every universe. The combined Maximum Sharpe fund made -0.073 </w:t>
      </w:r>
      <w:r w:rsidR="00FD7BED">
        <w:t>annualized</w:t>
      </w:r>
      <w:r>
        <w:t xml:space="preserve"> (Sharpe -0.28) because the unconstrained tangency portfolio leans hard on the highest-momentum, highest-volatility names, and in a long-only world with those names falling over 2022 it compounded losses. This is a genuine finding, not a </w:t>
      </w:r>
      <w:r w:rsidR="00FD7BED">
        <w:t xml:space="preserve">bug, as </w:t>
      </w:r>
      <w:r>
        <w:t>mean-variance tangency rewards recent winners, and 2022 reversed them. Section 6 turns this into a recommendation.</w:t>
      </w:r>
    </w:p>
    <w:p w14:paraId="7E530BE9" w14:textId="2FE60E41" w:rsidR="000C3A7E" w:rsidRDefault="007145AD" w:rsidP="00FD7BED">
      <w:pPr>
        <w:jc w:val="both"/>
      </w:pPr>
      <w:r>
        <w:t xml:space="preserve">Each fund has a fact sheet in the same format an investor would see in the app: growth of $1, </w:t>
      </w:r>
      <w:r w:rsidR="00FD7BED">
        <w:t>annualized</w:t>
      </w:r>
      <w:r>
        <w:t xml:space="preserve"> return and volatility, Sharpe ratio, maximum drawdown, and the current </w:t>
      </w:r>
      <w:r w:rsidR="003E5420">
        <w:t>top 10</w:t>
      </w:r>
      <w:r>
        <w:t xml:space="preserve"> holdings (the target weights at the most recent rebalance, 4 December 2023 for the equity funds). The full fact-sheet table is in Appendix </w:t>
      </w:r>
      <w:r w:rsidR="003E5420">
        <w:t>A, the</w:t>
      </w:r>
      <w:r>
        <w:t xml:space="preserve"> app renders the same fields for any of the 14 funds. Figures 1-4 are the growth, drawdown, weights-over-time and Sharpe-barplot exhibits.</w:t>
      </w:r>
    </w:p>
    <w:p w14:paraId="52FCD611" w14:textId="77777777" w:rsidR="000C3A7E" w:rsidRDefault="007145AD">
      <w:pPr>
        <w:jc w:val="center"/>
      </w:pPr>
      <w:r>
        <w:rPr>
          <w:noProof/>
        </w:rPr>
        <w:drawing>
          <wp:inline distT="0" distB="0" distL="0" distR="0" wp14:anchorId="572AE043" wp14:editId="22EA56B0">
            <wp:extent cx="5400000" cy="16787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_of_1.png"/>
                    <pic:cNvPicPr/>
                  </pic:nvPicPr>
                  <pic:blipFill>
                    <a:blip r:embed="rId8"/>
                    <a:stretch>
                      <a:fillRect/>
                    </a:stretch>
                  </pic:blipFill>
                  <pic:spPr>
                    <a:xfrm>
                      <a:off x="0" y="0"/>
                      <a:ext cx="5400000" cy="1678747"/>
                    </a:xfrm>
                    <a:prstGeom prst="rect">
                      <a:avLst/>
                    </a:prstGeom>
                  </pic:spPr>
                </pic:pic>
              </a:graphicData>
            </a:graphic>
          </wp:inline>
        </w:drawing>
      </w:r>
    </w:p>
    <w:p w14:paraId="48AD1DB8" w14:textId="77777777" w:rsidR="000C3A7E" w:rsidRDefault="007145AD">
      <w:pPr>
        <w:pStyle w:val="Caption"/>
      </w:pPr>
      <w:r>
        <w:t>Figure 1. Growth of $1 for the 12 base funds by universe and method, out of sample (equity/combined 31 Dec 2021-29 Dec 2023; crypto 19 May 2021-31 Dec 2023). Source: results/figures/growth_of_1.png.</w:t>
      </w:r>
    </w:p>
    <w:p w14:paraId="345A09FD" w14:textId="77777777" w:rsidR="000C3A7E" w:rsidRDefault="000C3A7E"/>
    <w:tbl>
      <w:tblPr>
        <w:tblStyle w:val="LightGrid-Accent1"/>
        <w:tblW w:w="0" w:type="auto"/>
        <w:jc w:val="center"/>
        <w:tblLook w:val="04A0" w:firstRow="1" w:lastRow="0" w:firstColumn="1" w:lastColumn="0" w:noHBand="0" w:noVBand="1"/>
      </w:tblPr>
      <w:tblGrid>
        <w:gridCol w:w="3175"/>
        <w:gridCol w:w="1191"/>
        <w:gridCol w:w="1191"/>
        <w:gridCol w:w="1020"/>
        <w:gridCol w:w="1247"/>
        <w:gridCol w:w="1191"/>
      </w:tblGrid>
      <w:tr w:rsidR="000C3A7E" w14:paraId="3C3A63EC" w14:textId="77777777" w:rsidTr="000C3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7D3E0932" w14:textId="77777777" w:rsidR="000C3A7E" w:rsidRDefault="007145AD">
            <w:pPr>
              <w:spacing w:before="40" w:after="40"/>
            </w:pPr>
            <w:r>
              <w:t>Fund</w:t>
            </w:r>
          </w:p>
        </w:tc>
        <w:tc>
          <w:tcPr>
            <w:tcW w:w="1191" w:type="dxa"/>
          </w:tcPr>
          <w:p w14:paraId="4FF3BEA5"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Ann. return</w:t>
            </w:r>
          </w:p>
        </w:tc>
        <w:tc>
          <w:tcPr>
            <w:tcW w:w="1191" w:type="dxa"/>
          </w:tcPr>
          <w:p w14:paraId="54E5A6F8"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Ann. vol</w:t>
            </w:r>
          </w:p>
        </w:tc>
        <w:tc>
          <w:tcPr>
            <w:tcW w:w="1020" w:type="dxa"/>
          </w:tcPr>
          <w:p w14:paraId="09434892"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Sharpe</w:t>
            </w:r>
          </w:p>
        </w:tc>
        <w:tc>
          <w:tcPr>
            <w:tcW w:w="1247" w:type="dxa"/>
          </w:tcPr>
          <w:p w14:paraId="7543BFA9"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Max drawdown</w:t>
            </w:r>
          </w:p>
        </w:tc>
        <w:tc>
          <w:tcPr>
            <w:tcW w:w="1191" w:type="dxa"/>
          </w:tcPr>
          <w:p w14:paraId="431CA032"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Growth of $1</w:t>
            </w:r>
          </w:p>
        </w:tc>
      </w:tr>
      <w:tr w:rsidR="000C3A7E" w14:paraId="6AE10CD6"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271832B2" w14:textId="77777777" w:rsidR="000C3A7E" w:rsidRDefault="007145AD">
            <w:pPr>
              <w:spacing w:before="40" w:after="40"/>
            </w:pPr>
            <w:r>
              <w:t>Equity Equal Weight</w:t>
            </w:r>
          </w:p>
        </w:tc>
        <w:tc>
          <w:tcPr>
            <w:tcW w:w="1191" w:type="dxa"/>
          </w:tcPr>
          <w:p w14:paraId="665DA7F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6.0%</w:t>
            </w:r>
          </w:p>
        </w:tc>
        <w:tc>
          <w:tcPr>
            <w:tcW w:w="1191" w:type="dxa"/>
          </w:tcPr>
          <w:p w14:paraId="32016548"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17.7%</w:t>
            </w:r>
          </w:p>
        </w:tc>
        <w:tc>
          <w:tcPr>
            <w:tcW w:w="1020" w:type="dxa"/>
          </w:tcPr>
          <w:p w14:paraId="7A97379F"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0.42</w:t>
            </w:r>
          </w:p>
        </w:tc>
        <w:tc>
          <w:tcPr>
            <w:tcW w:w="1247" w:type="dxa"/>
          </w:tcPr>
          <w:p w14:paraId="163DBF02"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-20.3%</w:t>
            </w:r>
          </w:p>
        </w:tc>
        <w:tc>
          <w:tcPr>
            <w:tcW w:w="1191" w:type="dxa"/>
          </w:tcPr>
          <w:p w14:paraId="59D5671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1.12</w:t>
            </w:r>
          </w:p>
        </w:tc>
      </w:tr>
      <w:tr w:rsidR="000C3A7E" w14:paraId="7D4B03FB"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56B65704" w14:textId="77777777" w:rsidR="000C3A7E" w:rsidRDefault="007145AD">
            <w:pPr>
              <w:spacing w:before="40" w:after="40"/>
            </w:pPr>
            <w:r>
              <w:t>Equity Minimum Variance</w:t>
            </w:r>
          </w:p>
        </w:tc>
        <w:tc>
          <w:tcPr>
            <w:tcW w:w="1191" w:type="dxa"/>
          </w:tcPr>
          <w:p w14:paraId="2C35163C"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2.6%</w:t>
            </w:r>
          </w:p>
        </w:tc>
        <w:tc>
          <w:tcPr>
            <w:tcW w:w="1191" w:type="dxa"/>
          </w:tcPr>
          <w:p w14:paraId="0BA2D737"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13.5%</w:t>
            </w:r>
          </w:p>
        </w:tc>
        <w:tc>
          <w:tcPr>
            <w:tcW w:w="1020" w:type="dxa"/>
          </w:tcPr>
          <w:p w14:paraId="0126FD2D"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0.26</w:t>
            </w:r>
          </w:p>
        </w:tc>
        <w:tc>
          <w:tcPr>
            <w:tcW w:w="1247" w:type="dxa"/>
          </w:tcPr>
          <w:p w14:paraId="4FCB508F"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-16.5%</w:t>
            </w:r>
          </w:p>
        </w:tc>
        <w:tc>
          <w:tcPr>
            <w:tcW w:w="1191" w:type="dxa"/>
          </w:tcPr>
          <w:p w14:paraId="45DE540B"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1.05</w:t>
            </w:r>
          </w:p>
        </w:tc>
      </w:tr>
      <w:tr w:rsidR="000C3A7E" w14:paraId="14FE824A"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41E4BA28" w14:textId="77777777" w:rsidR="000C3A7E" w:rsidRDefault="007145AD">
            <w:pPr>
              <w:spacing w:before="40" w:after="40"/>
            </w:pPr>
            <w:r>
              <w:t>Equity Maximum Sharpe</w:t>
            </w:r>
          </w:p>
        </w:tc>
        <w:tc>
          <w:tcPr>
            <w:tcW w:w="1191" w:type="dxa"/>
          </w:tcPr>
          <w:p w14:paraId="7EC661AD"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-1.4%</w:t>
            </w:r>
          </w:p>
        </w:tc>
        <w:tc>
          <w:tcPr>
            <w:tcW w:w="1191" w:type="dxa"/>
          </w:tcPr>
          <w:p w14:paraId="1B9E1F30"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18.8%</w:t>
            </w:r>
          </w:p>
        </w:tc>
        <w:tc>
          <w:tcPr>
            <w:tcW w:w="1020" w:type="dxa"/>
          </w:tcPr>
          <w:p w14:paraId="1C1F394D"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0.02</w:t>
            </w:r>
          </w:p>
        </w:tc>
        <w:tc>
          <w:tcPr>
            <w:tcW w:w="1247" w:type="dxa"/>
          </w:tcPr>
          <w:p w14:paraId="74E5EFAC"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-25.5%</w:t>
            </w:r>
          </w:p>
        </w:tc>
        <w:tc>
          <w:tcPr>
            <w:tcW w:w="1191" w:type="dxa"/>
          </w:tcPr>
          <w:p w14:paraId="34289C3C"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0.97</w:t>
            </w:r>
          </w:p>
        </w:tc>
      </w:tr>
      <w:tr w:rsidR="000C3A7E" w14:paraId="375A4C90"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02D91838" w14:textId="77777777" w:rsidR="000C3A7E" w:rsidRDefault="007145AD">
            <w:pPr>
              <w:spacing w:before="40" w:after="40"/>
            </w:pPr>
            <w:r>
              <w:t>Equity Risk Parity</w:t>
            </w:r>
          </w:p>
        </w:tc>
        <w:tc>
          <w:tcPr>
            <w:tcW w:w="1191" w:type="dxa"/>
          </w:tcPr>
          <w:p w14:paraId="5D82CCD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3.2%</w:t>
            </w:r>
          </w:p>
        </w:tc>
        <w:tc>
          <w:tcPr>
            <w:tcW w:w="1191" w:type="dxa"/>
          </w:tcPr>
          <w:p w14:paraId="7DF8822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16.3%</w:t>
            </w:r>
          </w:p>
        </w:tc>
        <w:tc>
          <w:tcPr>
            <w:tcW w:w="1020" w:type="dxa"/>
          </w:tcPr>
          <w:p w14:paraId="41A54E2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0.28</w:t>
            </w:r>
          </w:p>
        </w:tc>
        <w:tc>
          <w:tcPr>
            <w:tcW w:w="1247" w:type="dxa"/>
          </w:tcPr>
          <w:p w14:paraId="7DB34AE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-19.0%</w:t>
            </w:r>
          </w:p>
        </w:tc>
        <w:tc>
          <w:tcPr>
            <w:tcW w:w="1191" w:type="dxa"/>
          </w:tcPr>
          <w:p w14:paraId="624CCCD1"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1.06</w:t>
            </w:r>
          </w:p>
        </w:tc>
      </w:tr>
      <w:tr w:rsidR="000C3A7E" w14:paraId="4A68C790"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1E37F39A" w14:textId="77777777" w:rsidR="000C3A7E" w:rsidRDefault="007145AD">
            <w:pPr>
              <w:spacing w:before="40" w:after="40"/>
            </w:pPr>
            <w:r>
              <w:t>Crypto Equal Weight</w:t>
            </w:r>
          </w:p>
        </w:tc>
        <w:tc>
          <w:tcPr>
            <w:tcW w:w="1191" w:type="dxa"/>
          </w:tcPr>
          <w:p w14:paraId="638912C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-17.1%</w:t>
            </w:r>
          </w:p>
        </w:tc>
        <w:tc>
          <w:tcPr>
            <w:tcW w:w="1191" w:type="dxa"/>
          </w:tcPr>
          <w:p w14:paraId="1CA1CF68"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71.5%</w:t>
            </w:r>
          </w:p>
        </w:tc>
        <w:tc>
          <w:tcPr>
            <w:tcW w:w="1020" w:type="dxa"/>
          </w:tcPr>
          <w:p w14:paraId="069E9955"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0.10</w:t>
            </w:r>
          </w:p>
        </w:tc>
        <w:tc>
          <w:tcPr>
            <w:tcW w:w="1247" w:type="dxa"/>
          </w:tcPr>
          <w:p w14:paraId="0D6D0F7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-76.3%</w:t>
            </w:r>
          </w:p>
        </w:tc>
        <w:tc>
          <w:tcPr>
            <w:tcW w:w="1191" w:type="dxa"/>
          </w:tcPr>
          <w:p w14:paraId="2BF7544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0.61</w:t>
            </w:r>
          </w:p>
        </w:tc>
      </w:tr>
      <w:tr w:rsidR="000C3A7E" w14:paraId="6299CE70"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30BCB9C1" w14:textId="77777777" w:rsidR="000C3A7E" w:rsidRDefault="007145AD">
            <w:pPr>
              <w:spacing w:before="40" w:after="40"/>
            </w:pPr>
            <w:r>
              <w:t>Crypto Minimum Variance</w:t>
            </w:r>
          </w:p>
        </w:tc>
        <w:tc>
          <w:tcPr>
            <w:tcW w:w="1191" w:type="dxa"/>
          </w:tcPr>
          <w:p w14:paraId="532EDDCE"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7.5%</w:t>
            </w:r>
          </w:p>
        </w:tc>
        <w:tc>
          <w:tcPr>
            <w:tcW w:w="1191" w:type="dxa"/>
          </w:tcPr>
          <w:p w14:paraId="4800069F"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64.0%</w:t>
            </w:r>
          </w:p>
        </w:tc>
        <w:tc>
          <w:tcPr>
            <w:tcW w:w="1020" w:type="dxa"/>
          </w:tcPr>
          <w:p w14:paraId="440AD2FC"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0.43</w:t>
            </w:r>
          </w:p>
        </w:tc>
        <w:tc>
          <w:tcPr>
            <w:tcW w:w="1247" w:type="dxa"/>
          </w:tcPr>
          <w:p w14:paraId="6E4CE37D"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-73.4%</w:t>
            </w:r>
          </w:p>
        </w:tc>
        <w:tc>
          <w:tcPr>
            <w:tcW w:w="1191" w:type="dxa"/>
          </w:tcPr>
          <w:p w14:paraId="16C0195D"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1.21</w:t>
            </w:r>
          </w:p>
        </w:tc>
      </w:tr>
      <w:tr w:rsidR="000C3A7E" w14:paraId="0708E938"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41918DBB" w14:textId="77777777" w:rsidR="000C3A7E" w:rsidRDefault="007145AD">
            <w:pPr>
              <w:spacing w:before="40" w:after="40"/>
            </w:pPr>
            <w:r>
              <w:lastRenderedPageBreak/>
              <w:t>Crypto Maximum Sharpe</w:t>
            </w:r>
          </w:p>
        </w:tc>
        <w:tc>
          <w:tcPr>
            <w:tcW w:w="1191" w:type="dxa"/>
          </w:tcPr>
          <w:p w14:paraId="07F7201F"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-17.8%</w:t>
            </w:r>
          </w:p>
        </w:tc>
        <w:tc>
          <w:tcPr>
            <w:tcW w:w="1191" w:type="dxa"/>
          </w:tcPr>
          <w:p w14:paraId="2E97E8EE"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71.1%</w:t>
            </w:r>
          </w:p>
        </w:tc>
        <w:tc>
          <w:tcPr>
            <w:tcW w:w="1020" w:type="dxa"/>
          </w:tcPr>
          <w:p w14:paraId="14CFB79F"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0.08</w:t>
            </w:r>
          </w:p>
        </w:tc>
        <w:tc>
          <w:tcPr>
            <w:tcW w:w="1247" w:type="dxa"/>
          </w:tcPr>
          <w:p w14:paraId="7FC41B5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-76.0%</w:t>
            </w:r>
          </w:p>
        </w:tc>
        <w:tc>
          <w:tcPr>
            <w:tcW w:w="1191" w:type="dxa"/>
          </w:tcPr>
          <w:p w14:paraId="2159A483"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0.60</w:t>
            </w:r>
          </w:p>
        </w:tc>
      </w:tr>
      <w:tr w:rsidR="000C3A7E" w14:paraId="0BD7BC05"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7BE7C296" w14:textId="77777777" w:rsidR="000C3A7E" w:rsidRDefault="007145AD">
            <w:pPr>
              <w:spacing w:before="40" w:after="40"/>
            </w:pPr>
            <w:r>
              <w:t>Crypto Risk Parity</w:t>
            </w:r>
          </w:p>
        </w:tc>
        <w:tc>
          <w:tcPr>
            <w:tcW w:w="1191" w:type="dxa"/>
          </w:tcPr>
          <w:p w14:paraId="0520EC0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-13.8%</w:t>
            </w:r>
          </w:p>
        </w:tc>
        <w:tc>
          <w:tcPr>
            <w:tcW w:w="1191" w:type="dxa"/>
          </w:tcPr>
          <w:p w14:paraId="5B0AB169"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70.0%</w:t>
            </w:r>
          </w:p>
        </w:tc>
        <w:tc>
          <w:tcPr>
            <w:tcW w:w="1020" w:type="dxa"/>
          </w:tcPr>
          <w:p w14:paraId="4444FB2F"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0.14</w:t>
            </w:r>
          </w:p>
        </w:tc>
        <w:tc>
          <w:tcPr>
            <w:tcW w:w="1247" w:type="dxa"/>
          </w:tcPr>
          <w:p w14:paraId="25652573"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-75.9%</w:t>
            </w:r>
          </w:p>
        </w:tc>
        <w:tc>
          <w:tcPr>
            <w:tcW w:w="1191" w:type="dxa"/>
          </w:tcPr>
          <w:p w14:paraId="345A6B6B"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0.68</w:t>
            </w:r>
          </w:p>
        </w:tc>
      </w:tr>
      <w:tr w:rsidR="000C3A7E" w14:paraId="2663BC8D"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6E54BE9E" w14:textId="77777777" w:rsidR="000C3A7E" w:rsidRDefault="007145AD">
            <w:pPr>
              <w:spacing w:before="40" w:after="40"/>
            </w:pPr>
            <w:r>
              <w:t>Combined Equal Weight</w:t>
            </w:r>
          </w:p>
        </w:tc>
        <w:tc>
          <w:tcPr>
            <w:tcW w:w="1191" w:type="dxa"/>
          </w:tcPr>
          <w:p w14:paraId="44219315"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2.7%</w:t>
            </w:r>
          </w:p>
        </w:tc>
        <w:tc>
          <w:tcPr>
            <w:tcW w:w="1191" w:type="dxa"/>
          </w:tcPr>
          <w:p w14:paraId="571464D2"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20.9%</w:t>
            </w:r>
          </w:p>
        </w:tc>
        <w:tc>
          <w:tcPr>
            <w:tcW w:w="1020" w:type="dxa"/>
          </w:tcPr>
          <w:p w14:paraId="446C9E1C"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0.23</w:t>
            </w:r>
          </w:p>
        </w:tc>
        <w:tc>
          <w:tcPr>
            <w:tcW w:w="1247" w:type="dxa"/>
          </w:tcPr>
          <w:p w14:paraId="15FA7F80"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-26.9%</w:t>
            </w:r>
          </w:p>
        </w:tc>
        <w:tc>
          <w:tcPr>
            <w:tcW w:w="1191" w:type="dxa"/>
          </w:tcPr>
          <w:p w14:paraId="45FA177C"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1.05</w:t>
            </w:r>
          </w:p>
        </w:tc>
      </w:tr>
      <w:tr w:rsidR="000C3A7E" w14:paraId="67068DB6"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5B453228" w14:textId="77777777" w:rsidR="000C3A7E" w:rsidRDefault="007145AD">
            <w:pPr>
              <w:spacing w:before="40" w:after="40"/>
            </w:pPr>
            <w:r>
              <w:t>Combined Minimum Variance</w:t>
            </w:r>
          </w:p>
        </w:tc>
        <w:tc>
          <w:tcPr>
            <w:tcW w:w="1191" w:type="dxa"/>
          </w:tcPr>
          <w:p w14:paraId="08A2069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1.7%</w:t>
            </w:r>
          </w:p>
        </w:tc>
        <w:tc>
          <w:tcPr>
            <w:tcW w:w="1191" w:type="dxa"/>
          </w:tcPr>
          <w:p w14:paraId="4AE2C0F1"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13.6%</w:t>
            </w:r>
          </w:p>
        </w:tc>
        <w:tc>
          <w:tcPr>
            <w:tcW w:w="1020" w:type="dxa"/>
          </w:tcPr>
          <w:p w14:paraId="7810B656"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0.19</w:t>
            </w:r>
          </w:p>
        </w:tc>
        <w:tc>
          <w:tcPr>
            <w:tcW w:w="1247" w:type="dxa"/>
          </w:tcPr>
          <w:p w14:paraId="34300AD0"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-16.8%</w:t>
            </w:r>
          </w:p>
        </w:tc>
        <w:tc>
          <w:tcPr>
            <w:tcW w:w="1191" w:type="dxa"/>
          </w:tcPr>
          <w:p w14:paraId="321B93EC"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1.03</w:t>
            </w:r>
          </w:p>
        </w:tc>
      </w:tr>
      <w:tr w:rsidR="000C3A7E" w14:paraId="2CC53F88"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01777C2D" w14:textId="77777777" w:rsidR="000C3A7E" w:rsidRDefault="007145AD">
            <w:pPr>
              <w:spacing w:before="40" w:after="40"/>
            </w:pPr>
            <w:r>
              <w:t>Combined Maximum Sharpe</w:t>
            </w:r>
          </w:p>
        </w:tc>
        <w:tc>
          <w:tcPr>
            <w:tcW w:w="1191" w:type="dxa"/>
          </w:tcPr>
          <w:p w14:paraId="5FE383E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-7.3%</w:t>
            </w:r>
          </w:p>
        </w:tc>
        <w:tc>
          <w:tcPr>
            <w:tcW w:w="1191" w:type="dxa"/>
          </w:tcPr>
          <w:p w14:paraId="3647AEDA"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20.0%</w:t>
            </w:r>
          </w:p>
        </w:tc>
        <w:tc>
          <w:tcPr>
            <w:tcW w:w="1020" w:type="dxa"/>
          </w:tcPr>
          <w:p w14:paraId="770BAB2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-0.28</w:t>
            </w:r>
          </w:p>
        </w:tc>
        <w:tc>
          <w:tcPr>
            <w:tcW w:w="1247" w:type="dxa"/>
          </w:tcPr>
          <w:p w14:paraId="15B1B55D"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-29.2%</w:t>
            </w:r>
          </w:p>
        </w:tc>
        <w:tc>
          <w:tcPr>
            <w:tcW w:w="1191" w:type="dxa"/>
          </w:tcPr>
          <w:p w14:paraId="5D875B45"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0.86</w:t>
            </w:r>
          </w:p>
        </w:tc>
      </w:tr>
      <w:tr w:rsidR="000C3A7E" w14:paraId="0988A2D3"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2623199A" w14:textId="77777777" w:rsidR="000C3A7E" w:rsidRDefault="007145AD">
            <w:pPr>
              <w:spacing w:before="40" w:after="40"/>
            </w:pPr>
            <w:r>
              <w:t>Combined Risk Parity</w:t>
            </w:r>
          </w:p>
        </w:tc>
        <w:tc>
          <w:tcPr>
            <w:tcW w:w="1191" w:type="dxa"/>
          </w:tcPr>
          <w:p w14:paraId="2B99F094"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2.5%</w:t>
            </w:r>
          </w:p>
        </w:tc>
        <w:tc>
          <w:tcPr>
            <w:tcW w:w="1191" w:type="dxa"/>
          </w:tcPr>
          <w:p w14:paraId="4BAF2A1E"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17.0%</w:t>
            </w:r>
          </w:p>
        </w:tc>
        <w:tc>
          <w:tcPr>
            <w:tcW w:w="1020" w:type="dxa"/>
          </w:tcPr>
          <w:p w14:paraId="19EF9E43"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0.23</w:t>
            </w:r>
          </w:p>
        </w:tc>
        <w:tc>
          <w:tcPr>
            <w:tcW w:w="1247" w:type="dxa"/>
          </w:tcPr>
          <w:p w14:paraId="1897304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-21.5%</w:t>
            </w:r>
          </w:p>
        </w:tc>
        <w:tc>
          <w:tcPr>
            <w:tcW w:w="1191" w:type="dxa"/>
          </w:tcPr>
          <w:p w14:paraId="7B230520"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1.05</w:t>
            </w:r>
          </w:p>
        </w:tc>
      </w:tr>
      <w:tr w:rsidR="000C3A7E" w14:paraId="188540CD"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59DB386A" w14:textId="77777777" w:rsidR="000C3A7E" w:rsidRDefault="007145AD">
            <w:pPr>
              <w:spacing w:before="40" w:after="40"/>
            </w:pPr>
            <w:r>
              <w:t>Equity Equal Weight + Sentiment</w:t>
            </w:r>
          </w:p>
        </w:tc>
        <w:tc>
          <w:tcPr>
            <w:tcW w:w="1191" w:type="dxa"/>
          </w:tcPr>
          <w:p w14:paraId="4A102A73"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5.9%</w:t>
            </w:r>
          </w:p>
        </w:tc>
        <w:tc>
          <w:tcPr>
            <w:tcW w:w="1191" w:type="dxa"/>
          </w:tcPr>
          <w:p w14:paraId="693965DA"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17.7%</w:t>
            </w:r>
          </w:p>
        </w:tc>
        <w:tc>
          <w:tcPr>
            <w:tcW w:w="1020" w:type="dxa"/>
          </w:tcPr>
          <w:p w14:paraId="5A05417F"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0.41</w:t>
            </w:r>
          </w:p>
        </w:tc>
        <w:tc>
          <w:tcPr>
            <w:tcW w:w="1247" w:type="dxa"/>
          </w:tcPr>
          <w:p w14:paraId="16AE9528"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-20.2%</w:t>
            </w:r>
          </w:p>
        </w:tc>
        <w:tc>
          <w:tcPr>
            <w:tcW w:w="1191" w:type="dxa"/>
          </w:tcPr>
          <w:p w14:paraId="429CE83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1.12</w:t>
            </w:r>
          </w:p>
        </w:tc>
      </w:tr>
      <w:tr w:rsidR="000C3A7E" w14:paraId="2F4118A3"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5" w:type="dxa"/>
          </w:tcPr>
          <w:p w14:paraId="4B13C280" w14:textId="77777777" w:rsidR="000C3A7E" w:rsidRDefault="007145AD">
            <w:pPr>
              <w:spacing w:before="40" w:after="40"/>
            </w:pPr>
            <w:r>
              <w:t>Equity Minimum Variance + Sentiment</w:t>
            </w:r>
          </w:p>
        </w:tc>
        <w:tc>
          <w:tcPr>
            <w:tcW w:w="1191" w:type="dxa"/>
          </w:tcPr>
          <w:p w14:paraId="50199405"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3.0%</w:t>
            </w:r>
          </w:p>
        </w:tc>
        <w:tc>
          <w:tcPr>
            <w:tcW w:w="1191" w:type="dxa"/>
          </w:tcPr>
          <w:p w14:paraId="005076C3"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13.4%</w:t>
            </w:r>
          </w:p>
        </w:tc>
        <w:tc>
          <w:tcPr>
            <w:tcW w:w="1020" w:type="dxa"/>
          </w:tcPr>
          <w:p w14:paraId="29E8BC61"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0.29</w:t>
            </w:r>
          </w:p>
        </w:tc>
        <w:tc>
          <w:tcPr>
            <w:tcW w:w="1247" w:type="dxa"/>
          </w:tcPr>
          <w:p w14:paraId="608FAF27"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-16.5%</w:t>
            </w:r>
          </w:p>
        </w:tc>
        <w:tc>
          <w:tcPr>
            <w:tcW w:w="1191" w:type="dxa"/>
          </w:tcPr>
          <w:p w14:paraId="033F5233"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1.06</w:t>
            </w:r>
          </w:p>
        </w:tc>
      </w:tr>
    </w:tbl>
    <w:p w14:paraId="6F5B0233" w14:textId="7AA14775" w:rsidR="000C3A7E" w:rsidRDefault="007145AD">
      <w:pPr>
        <w:pStyle w:val="Caption"/>
      </w:pPr>
      <w:r>
        <w:t>Table 2. Out-of-sample performance metrics for all 14 funds (</w:t>
      </w:r>
      <w:r w:rsidR="003E5420">
        <w:t>annualized</w:t>
      </w:r>
      <w:r>
        <w:t>; risk-free 0). Source: results/tables/performance_metrics.csv.</w:t>
      </w:r>
    </w:p>
    <w:p w14:paraId="11705F55" w14:textId="77777777" w:rsidR="000C3A7E" w:rsidRDefault="000C3A7E"/>
    <w:p w14:paraId="1F05FCA6" w14:textId="77777777" w:rsidR="000C3A7E" w:rsidRDefault="007145AD">
      <w:pPr>
        <w:jc w:val="center"/>
      </w:pPr>
      <w:r>
        <w:rPr>
          <w:noProof/>
        </w:rPr>
        <w:drawing>
          <wp:inline distT="0" distB="0" distL="0" distR="0" wp14:anchorId="130C6A71" wp14:editId="5E5C35FC">
            <wp:extent cx="5400000" cy="23927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down.png"/>
                    <pic:cNvPicPr/>
                  </pic:nvPicPr>
                  <pic:blipFill>
                    <a:blip r:embed="rId9"/>
                    <a:stretch>
                      <a:fillRect/>
                    </a:stretch>
                  </pic:blipFill>
                  <pic:spPr>
                    <a:xfrm>
                      <a:off x="0" y="0"/>
                      <a:ext cx="5400000" cy="2392716"/>
                    </a:xfrm>
                    <a:prstGeom prst="rect">
                      <a:avLst/>
                    </a:prstGeom>
                  </pic:spPr>
                </pic:pic>
              </a:graphicData>
            </a:graphic>
          </wp:inline>
        </w:drawing>
      </w:r>
    </w:p>
    <w:p w14:paraId="43BA2BB2" w14:textId="77777777" w:rsidR="000C3A7E" w:rsidRDefault="007145AD">
      <w:pPr>
        <w:pStyle w:val="Caption"/>
      </w:pPr>
      <w:r>
        <w:t>Figure 2. Drawdown of the four combined funds, out of sample (2022-2023). Source: results/figures/drawdown.png.</w:t>
      </w:r>
    </w:p>
    <w:p w14:paraId="582B18C4" w14:textId="77777777" w:rsidR="000C3A7E" w:rsidRDefault="000C3A7E"/>
    <w:p w14:paraId="0861ED86" w14:textId="77777777" w:rsidR="000C3A7E" w:rsidRDefault="007145AD">
      <w:pPr>
        <w:jc w:val="center"/>
      </w:pPr>
      <w:r>
        <w:rPr>
          <w:noProof/>
        </w:rPr>
        <w:drawing>
          <wp:inline distT="0" distB="0" distL="0" distR="0" wp14:anchorId="128FE296" wp14:editId="34F44665">
            <wp:extent cx="5400000" cy="23939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s_over_time.png"/>
                    <pic:cNvPicPr/>
                  </pic:nvPicPr>
                  <pic:blipFill>
                    <a:blip r:embed="rId10"/>
                    <a:stretch>
                      <a:fillRect/>
                    </a:stretch>
                  </pic:blipFill>
                  <pic:spPr>
                    <a:xfrm>
                      <a:off x="0" y="0"/>
                      <a:ext cx="5400000" cy="2393927"/>
                    </a:xfrm>
                    <a:prstGeom prst="rect">
                      <a:avLst/>
                    </a:prstGeom>
                  </pic:spPr>
                </pic:pic>
              </a:graphicData>
            </a:graphic>
          </wp:inline>
        </w:drawing>
      </w:r>
    </w:p>
    <w:p w14:paraId="2FE1EABF" w14:textId="77777777" w:rsidR="000C3A7E" w:rsidRDefault="007145AD">
      <w:pPr>
        <w:pStyle w:val="Caption"/>
      </w:pPr>
      <w:r>
        <w:t>Figure 3. Portfolio weights over time for Combined Minimum Variance, showing the rebalance path of the eight largest mean holdings (weight scale in %). Source: results/figures/weights_over_time.png.</w:t>
      </w:r>
    </w:p>
    <w:p w14:paraId="08F77CA7" w14:textId="77777777" w:rsidR="000C3A7E" w:rsidRDefault="000C3A7E"/>
    <w:p w14:paraId="1975CF4A" w14:textId="77777777" w:rsidR="000C3A7E" w:rsidRDefault="007145AD">
      <w:pPr>
        <w:jc w:val="center"/>
      </w:pPr>
      <w:r>
        <w:rPr>
          <w:noProof/>
        </w:rPr>
        <w:lastRenderedPageBreak/>
        <w:drawing>
          <wp:inline distT="0" distB="0" distL="0" distR="0" wp14:anchorId="1A3D697C" wp14:editId="410476E4">
            <wp:extent cx="5400000" cy="24287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pe_barplot.png"/>
                    <pic:cNvPicPr/>
                  </pic:nvPicPr>
                  <pic:blipFill>
                    <a:blip r:embed="rId11"/>
                    <a:stretch>
                      <a:fillRect/>
                    </a:stretch>
                  </pic:blipFill>
                  <pic:spPr>
                    <a:xfrm>
                      <a:off x="0" y="0"/>
                      <a:ext cx="5400000" cy="2428761"/>
                    </a:xfrm>
                    <a:prstGeom prst="rect">
                      <a:avLst/>
                    </a:prstGeom>
                  </pic:spPr>
                </pic:pic>
              </a:graphicData>
            </a:graphic>
          </wp:inline>
        </w:drawing>
      </w:r>
    </w:p>
    <w:p w14:paraId="579DFB56" w14:textId="77777777" w:rsidR="000C3A7E" w:rsidRDefault="007145AD">
      <w:pPr>
        <w:pStyle w:val="Caption"/>
      </w:pPr>
      <w:r>
        <w:t>Figure 4. Sharpe ratio by universe and method, out of sample (risk-free 0). Source: results/figures/sharpe_barplot.png.</w:t>
      </w:r>
    </w:p>
    <w:p w14:paraId="62BFE795" w14:textId="77777777" w:rsidR="000C3A7E" w:rsidRDefault="000C3A7E"/>
    <w:p w14:paraId="77243B0F" w14:textId="77777777" w:rsidR="000C3A7E" w:rsidRDefault="007145AD" w:rsidP="00FD7BED">
      <w:pPr>
        <w:pStyle w:val="Heading1"/>
        <w:jc w:val="both"/>
      </w:pPr>
      <w:bookmarkStart w:id="2" w:name="_Toc236931786"/>
      <w:r>
        <w:t>3. The sentiment index</w:t>
      </w:r>
      <w:bookmarkEnd w:id="2"/>
    </w:p>
    <w:p w14:paraId="43FA98EC" w14:textId="1BE5AADF" w:rsidR="000C3A7E" w:rsidRDefault="007145AD" w:rsidP="00FD7BED">
      <w:pPr>
        <w:jc w:val="both"/>
      </w:pPr>
      <w:r>
        <w:t>The standalone sentiment analytic is built from 146,836 equity news headlines (149,683 raw, after removing 5,617 exact duplicates on ticker + date + title). Each headline is scored with VADER extended by a custom finance lexicon (section 4), then aggregated to one sentiment per ticker-trading-day and equal-weighted across the tickers in each sector to give a daily sector index, shown in Figure 5. This is deliberately the simple equal-weight construction the brief specifies, so the index is a defensible baseline that the extensions in section 4 build on.</w:t>
      </w:r>
    </w:p>
    <w:p w14:paraId="7FC973EA" w14:textId="213CB529" w:rsidR="000C3A7E" w:rsidRDefault="007145AD" w:rsidP="00FD7BED">
      <w:pPr>
        <w:jc w:val="both"/>
      </w:pPr>
      <w:r>
        <w:t xml:space="preserve">Two modelling choices are worth stating. First, ticker-days with no headlines are treated as neutral (0): absence of news carries no directional signal, and keeping the panel dense avoids survivorship artefacts in the sector average. Second, the signal is lagged one trading day before it is </w:t>
      </w:r>
      <w:r w:rsidR="00FD7BED">
        <w:t xml:space="preserve">usable, </w:t>
      </w:r>
      <w:r>
        <w:t xml:space="preserve">sentiment aligned to Monday (including any Saturday or Monday headline) is first usable for Tuesday's </w:t>
      </w:r>
      <w:r w:rsidR="00FD7BED">
        <w:t xml:space="preserve">trade, </w:t>
      </w:r>
      <w:r>
        <w:t>so no decision in the fusion ever looks ahead. Both choices are enforced by tests.</w:t>
      </w:r>
    </w:p>
    <w:p w14:paraId="6E70E492" w14:textId="312F28FE" w:rsidR="000C3A7E" w:rsidRDefault="007145AD" w:rsidP="00FD7BED">
      <w:pPr>
        <w:jc w:val="both"/>
      </w:pPr>
      <w:r>
        <w:t>The index is broadly positive across sectors over the sample: mean sentiment ranges from 0.084 (Materials) to 0.158 (Consumer and Tech), which reflects that these are company headlines from a period of recovery rather than a market crash. The series moves around that mean and, as the brief warns, headline sentiment is a noisy proxy; the fusion results in section 4 show how much (or how little) of that signal survived into fund decisions.</w:t>
      </w:r>
    </w:p>
    <w:p w14:paraId="7BFDABF2" w14:textId="77777777" w:rsidR="000C3A7E" w:rsidRDefault="007145AD">
      <w:pPr>
        <w:jc w:val="center"/>
      </w:pPr>
      <w:r>
        <w:rPr>
          <w:noProof/>
        </w:rPr>
        <w:drawing>
          <wp:inline distT="0" distB="0" distL="0" distR="0" wp14:anchorId="6351CF2F" wp14:editId="54862D6B">
            <wp:extent cx="5400000" cy="21728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sentiment_index.png"/>
                    <pic:cNvPicPr/>
                  </pic:nvPicPr>
                  <pic:blipFill>
                    <a:blip r:embed="rId12"/>
                    <a:stretch>
                      <a:fillRect/>
                    </a:stretch>
                  </pic:blipFill>
                  <pic:spPr>
                    <a:xfrm>
                      <a:off x="0" y="0"/>
                      <a:ext cx="5400000" cy="2172898"/>
                    </a:xfrm>
                    <a:prstGeom prst="rect">
                      <a:avLst/>
                    </a:prstGeom>
                  </pic:spPr>
                </pic:pic>
              </a:graphicData>
            </a:graphic>
          </wp:inline>
        </w:drawing>
      </w:r>
    </w:p>
    <w:p w14:paraId="4DBA6D4E" w14:textId="77777777" w:rsidR="000C3A7E" w:rsidRDefault="007145AD">
      <w:pPr>
        <w:pStyle w:val="Caption"/>
      </w:pPr>
      <w:r>
        <w:lastRenderedPageBreak/>
        <w:t>Figure 5. Sector sentiment index, monthly average of the daily equal-weighted ticker sentiment per sector, 2020-2023 (extended VADER, compound scale). Source: results/figures/sector_sentiment_index.png.</w:t>
      </w:r>
    </w:p>
    <w:p w14:paraId="04003610" w14:textId="77777777" w:rsidR="000C3A7E" w:rsidRDefault="000C3A7E"/>
    <w:p w14:paraId="1726A66F" w14:textId="77777777" w:rsidR="000C3A7E" w:rsidRDefault="007145AD" w:rsidP="00FD7BED">
      <w:pPr>
        <w:pStyle w:val="Heading1"/>
        <w:jc w:val="both"/>
      </w:pPr>
      <w:bookmarkStart w:id="3" w:name="_Toc236931787"/>
      <w:r>
        <w:t>4. Extensions and innovations</w:t>
      </w:r>
      <w:bookmarkEnd w:id="3"/>
    </w:p>
    <w:p w14:paraId="40CBA0A7" w14:textId="5AE73B45" w:rsidR="000C3A7E" w:rsidRDefault="007145AD" w:rsidP="00FD7BED">
      <w:pPr>
        <w:jc w:val="both"/>
      </w:pPr>
      <w:r>
        <w:t>Station 3 delivers two model outputs: the standalone sentiment index (section 3) and the fusion extension (section 4.4). The innovations below go beyond that baseline and span both Station 3 (the lexicon, true ERC risk parity, the turnover model, the attention-volatility cross-check) and Station 4 (the app features in section 5.1). Each is implemented, artifacts-backed and reported with its honest outcome, including where the result is negative or mixed.</w:t>
      </w:r>
    </w:p>
    <w:p w14:paraId="5EDF0693" w14:textId="77777777" w:rsidR="000C3A7E" w:rsidRDefault="007145AD" w:rsidP="00FD7BED">
      <w:pPr>
        <w:pStyle w:val="Heading2"/>
        <w:jc w:val="both"/>
      </w:pPr>
      <w:bookmarkStart w:id="4" w:name="_Toc236931788"/>
      <w:r>
        <w:t>4.1 Custom finance lexicon for the sentiment model</w:t>
      </w:r>
      <w:bookmarkEnd w:id="4"/>
    </w:p>
    <w:p w14:paraId="2D0C226D" w14:textId="4D354357" w:rsidR="000C3A7E" w:rsidRDefault="007145AD" w:rsidP="00FD7BED">
      <w:pPr>
        <w:jc w:val="both"/>
      </w:pPr>
      <w:r>
        <w:t xml:space="preserve">Plain VADER scores roughly a third of finance headlines as exactly zero, many of them false neutrals, because its lexicon is built for social-media language. I extended it with a curated finance lexicon - earnings and ratings verbs (beat, miss, downgrade), corporate-action terms (buyback, layoffs), macro vocabulary (hawkish, recession, tariff), market-direction words (surge, plunge, selloff) and 22 multi-word phrases plus booster words - using the Week 8 build-and-test method. The extension is installed in memory on a copy of VADER's tables, never into the installed package, so a plain </w:t>
      </w:r>
      <w:r w:rsidR="00FD7BED">
        <w:t>analyzer</w:t>
      </w:r>
      <w:r>
        <w:t xml:space="preserve"> in the same process cannot see it (a silent leakage bug I caught in prompt log 02). Rejected terms, such as 'debt' and 'volatile', were tested to confirm they do not move; Table 3 shows examples that wake up only with the extension. The lexicon lifted the share of headlines with a non-zero score to 66.4% of 146,836.</w:t>
      </w:r>
    </w:p>
    <w:tbl>
      <w:tblPr>
        <w:tblStyle w:val="LightGrid-Accent1"/>
        <w:tblW w:w="0" w:type="auto"/>
        <w:jc w:val="center"/>
        <w:tblLook w:val="04A0" w:firstRow="1" w:lastRow="0" w:firstColumn="1" w:lastColumn="0" w:noHBand="0" w:noVBand="1"/>
      </w:tblPr>
      <w:tblGrid>
        <w:gridCol w:w="4876"/>
        <w:gridCol w:w="1077"/>
        <w:gridCol w:w="1134"/>
        <w:gridCol w:w="1077"/>
      </w:tblGrid>
      <w:tr w:rsidR="000C3A7E" w14:paraId="6D1E8173" w14:textId="77777777" w:rsidTr="000C3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6" w:type="dxa"/>
          </w:tcPr>
          <w:p w14:paraId="45916E16" w14:textId="77777777" w:rsidR="000C3A7E" w:rsidRDefault="007145AD">
            <w:pPr>
              <w:spacing w:before="40" w:after="40"/>
            </w:pPr>
            <w:r>
              <w:t>Sentence</w:t>
            </w:r>
          </w:p>
        </w:tc>
        <w:tc>
          <w:tcPr>
            <w:tcW w:w="1077" w:type="dxa"/>
          </w:tcPr>
          <w:p w14:paraId="77392E8F"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VADER</w:t>
            </w:r>
          </w:p>
        </w:tc>
        <w:tc>
          <w:tcPr>
            <w:tcW w:w="1134" w:type="dxa"/>
          </w:tcPr>
          <w:p w14:paraId="67BC2BB8"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Extended</w:t>
            </w:r>
          </w:p>
        </w:tc>
        <w:tc>
          <w:tcPr>
            <w:tcW w:w="1077" w:type="dxa"/>
          </w:tcPr>
          <w:p w14:paraId="38E610C7"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Change</w:t>
            </w:r>
          </w:p>
        </w:tc>
      </w:tr>
      <w:tr w:rsidR="000C3A7E" w14:paraId="5E82B70A"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6" w:type="dxa"/>
          </w:tcPr>
          <w:p w14:paraId="46590CD7" w14:textId="77777777" w:rsidR="000C3A7E" w:rsidRDefault="007145AD">
            <w:pPr>
              <w:spacing w:before="40" w:after="40"/>
            </w:pPr>
            <w:r>
              <w:t>The company reported an earnings beat.</w:t>
            </w:r>
          </w:p>
        </w:tc>
        <w:tc>
          <w:tcPr>
            <w:tcW w:w="1077" w:type="dxa"/>
          </w:tcPr>
          <w:p w14:paraId="614E7BE1"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0.000</w:t>
            </w:r>
          </w:p>
        </w:tc>
        <w:tc>
          <w:tcPr>
            <w:tcW w:w="1134" w:type="dxa"/>
          </w:tcPr>
          <w:p w14:paraId="1AF3568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0.840</w:t>
            </w:r>
          </w:p>
        </w:tc>
        <w:tc>
          <w:tcPr>
            <w:tcW w:w="1077" w:type="dxa"/>
          </w:tcPr>
          <w:p w14:paraId="044B798D"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0.840</w:t>
            </w:r>
          </w:p>
        </w:tc>
      </w:tr>
      <w:tr w:rsidR="000C3A7E" w14:paraId="07C31005"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6" w:type="dxa"/>
          </w:tcPr>
          <w:p w14:paraId="57B4E9E6" w14:textId="77777777" w:rsidR="000C3A7E" w:rsidRDefault="007145AD">
            <w:pPr>
              <w:spacing w:before="40" w:after="40"/>
            </w:pPr>
            <w:r>
              <w:t>The stock surged on strong guidance.</w:t>
            </w:r>
          </w:p>
        </w:tc>
        <w:tc>
          <w:tcPr>
            <w:tcW w:w="1077" w:type="dxa"/>
          </w:tcPr>
          <w:p w14:paraId="527E12A4"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0.511</w:t>
            </w:r>
          </w:p>
        </w:tc>
        <w:tc>
          <w:tcPr>
            <w:tcW w:w="1134" w:type="dxa"/>
          </w:tcPr>
          <w:p w14:paraId="499E019B"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0.440</w:t>
            </w:r>
          </w:p>
        </w:tc>
        <w:tc>
          <w:tcPr>
            <w:tcW w:w="1077" w:type="dxa"/>
          </w:tcPr>
          <w:p w14:paraId="4DB083F4"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-0.070</w:t>
            </w:r>
          </w:p>
        </w:tc>
      </w:tr>
      <w:tr w:rsidR="000C3A7E" w14:paraId="5C191B77"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6" w:type="dxa"/>
          </w:tcPr>
          <w:p w14:paraId="614A4444" w14:textId="77777777" w:rsidR="000C3A7E" w:rsidRDefault="007145AD">
            <w:pPr>
              <w:spacing w:before="40" w:after="40"/>
            </w:pPr>
            <w:r>
              <w:t>Management issued a guidance cut.</w:t>
            </w:r>
          </w:p>
        </w:tc>
        <w:tc>
          <w:tcPr>
            <w:tcW w:w="1077" w:type="dxa"/>
          </w:tcPr>
          <w:p w14:paraId="7929C43C"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-0.273</w:t>
            </w:r>
          </w:p>
        </w:tc>
        <w:tc>
          <w:tcPr>
            <w:tcW w:w="1134" w:type="dxa"/>
          </w:tcPr>
          <w:p w14:paraId="525A2257"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-0.542</w:t>
            </w:r>
          </w:p>
        </w:tc>
        <w:tc>
          <w:tcPr>
            <w:tcW w:w="1077" w:type="dxa"/>
          </w:tcPr>
          <w:p w14:paraId="66E436D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-0.269</w:t>
            </w:r>
          </w:p>
        </w:tc>
      </w:tr>
      <w:tr w:rsidR="000C3A7E" w14:paraId="1F219ACA"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6" w:type="dxa"/>
          </w:tcPr>
          <w:p w14:paraId="4A3F8F01" w14:textId="77777777" w:rsidR="000C3A7E" w:rsidRDefault="007145AD">
            <w:pPr>
              <w:spacing w:before="40" w:after="40"/>
            </w:pPr>
            <w:r>
              <w:t>Analysts issued a downgrade.</w:t>
            </w:r>
          </w:p>
        </w:tc>
        <w:tc>
          <w:tcPr>
            <w:tcW w:w="1077" w:type="dxa"/>
          </w:tcPr>
          <w:p w14:paraId="035DECFD"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0.000</w:t>
            </w:r>
          </w:p>
        </w:tc>
        <w:tc>
          <w:tcPr>
            <w:tcW w:w="1134" w:type="dxa"/>
          </w:tcPr>
          <w:p w14:paraId="45594E4C"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-0.557</w:t>
            </w:r>
          </w:p>
        </w:tc>
        <w:tc>
          <w:tcPr>
            <w:tcW w:w="1077" w:type="dxa"/>
          </w:tcPr>
          <w:p w14:paraId="0E1D8FC8"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-0.557</w:t>
            </w:r>
          </w:p>
        </w:tc>
      </w:tr>
      <w:tr w:rsidR="000C3A7E" w14:paraId="444A2DE9"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6" w:type="dxa"/>
          </w:tcPr>
          <w:p w14:paraId="673BF486" w14:textId="77777777" w:rsidR="000C3A7E" w:rsidRDefault="007145AD">
            <w:pPr>
              <w:spacing w:before="40" w:after="40"/>
            </w:pPr>
            <w:r>
              <w:t>The firm announced a buyback.</w:t>
            </w:r>
          </w:p>
        </w:tc>
        <w:tc>
          <w:tcPr>
            <w:tcW w:w="1077" w:type="dxa"/>
          </w:tcPr>
          <w:p w14:paraId="02209AEA"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0.000</w:t>
            </w:r>
          </w:p>
        </w:tc>
        <w:tc>
          <w:tcPr>
            <w:tcW w:w="1134" w:type="dxa"/>
          </w:tcPr>
          <w:p w14:paraId="37E3BB81"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0.421</w:t>
            </w:r>
          </w:p>
        </w:tc>
        <w:tc>
          <w:tcPr>
            <w:tcW w:w="1077" w:type="dxa"/>
          </w:tcPr>
          <w:p w14:paraId="369D1C0F"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0.421</w:t>
            </w:r>
          </w:p>
        </w:tc>
      </w:tr>
      <w:tr w:rsidR="000C3A7E" w14:paraId="34F15198"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6" w:type="dxa"/>
          </w:tcPr>
          <w:p w14:paraId="6CD021E7" w14:textId="77777777" w:rsidR="000C3A7E" w:rsidRDefault="007145AD">
            <w:pPr>
              <w:spacing w:before="40" w:after="40"/>
            </w:pPr>
            <w:r>
              <w:t>Revenue was sharply lower than expected.</w:t>
            </w:r>
          </w:p>
        </w:tc>
        <w:tc>
          <w:tcPr>
            <w:tcW w:w="1077" w:type="dxa"/>
          </w:tcPr>
          <w:p w14:paraId="07B18818"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-0.296</w:t>
            </w:r>
          </w:p>
        </w:tc>
        <w:tc>
          <w:tcPr>
            <w:tcW w:w="1134" w:type="dxa"/>
          </w:tcPr>
          <w:p w14:paraId="40BEA6DC"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-0.294</w:t>
            </w:r>
          </w:p>
        </w:tc>
        <w:tc>
          <w:tcPr>
            <w:tcW w:w="1077" w:type="dxa"/>
          </w:tcPr>
          <w:p w14:paraId="6D140ADA"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0.002</w:t>
            </w:r>
          </w:p>
        </w:tc>
      </w:tr>
      <w:tr w:rsidR="000C3A7E" w14:paraId="73EAFE90"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6" w:type="dxa"/>
          </w:tcPr>
          <w:p w14:paraId="28D40C90" w14:textId="77777777" w:rsidR="000C3A7E" w:rsidRDefault="007145AD">
            <w:pPr>
              <w:spacing w:before="40" w:after="40"/>
            </w:pPr>
            <w:r>
              <w:t>The filing disclosed a material weakness.</w:t>
            </w:r>
          </w:p>
        </w:tc>
        <w:tc>
          <w:tcPr>
            <w:tcW w:w="1077" w:type="dxa"/>
          </w:tcPr>
          <w:p w14:paraId="69F2A9B5"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-0.421</w:t>
            </w:r>
          </w:p>
        </w:tc>
        <w:tc>
          <w:tcPr>
            <w:tcW w:w="1134" w:type="dxa"/>
          </w:tcPr>
          <w:p w14:paraId="1D6563D7"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-0.542</w:t>
            </w:r>
          </w:p>
        </w:tc>
        <w:tc>
          <w:tcPr>
            <w:tcW w:w="1077" w:type="dxa"/>
          </w:tcPr>
          <w:p w14:paraId="55B3F5D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-0.121</w:t>
            </w:r>
          </w:p>
        </w:tc>
      </w:tr>
      <w:tr w:rsidR="000C3A7E" w14:paraId="3C53C0E6"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6" w:type="dxa"/>
          </w:tcPr>
          <w:p w14:paraId="1934C2C4" w14:textId="77777777" w:rsidR="000C3A7E" w:rsidRDefault="007145AD">
            <w:pPr>
              <w:spacing w:before="40" w:after="40"/>
            </w:pPr>
            <w:r>
              <w:t>The auditor raised a going concern warning.</w:t>
            </w:r>
          </w:p>
        </w:tc>
        <w:tc>
          <w:tcPr>
            <w:tcW w:w="1077" w:type="dxa"/>
          </w:tcPr>
          <w:p w14:paraId="182094C6"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-0.340</w:t>
            </w:r>
          </w:p>
        </w:tc>
        <w:tc>
          <w:tcPr>
            <w:tcW w:w="1134" w:type="dxa"/>
          </w:tcPr>
          <w:p w14:paraId="34F832EB"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-0.875</w:t>
            </w:r>
          </w:p>
        </w:tc>
        <w:tc>
          <w:tcPr>
            <w:tcW w:w="1077" w:type="dxa"/>
          </w:tcPr>
          <w:p w14:paraId="30C623AF"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-0.535</w:t>
            </w:r>
          </w:p>
        </w:tc>
      </w:tr>
      <w:tr w:rsidR="000C3A7E" w14:paraId="2F74B3AC"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6" w:type="dxa"/>
          </w:tcPr>
          <w:p w14:paraId="741C069A" w14:textId="77777777" w:rsidR="000C3A7E" w:rsidRDefault="007145AD">
            <w:pPr>
              <w:spacing w:before="40" w:after="40"/>
            </w:pPr>
            <w:r>
              <w:t>The firm reduced its debt.</w:t>
            </w:r>
          </w:p>
        </w:tc>
        <w:tc>
          <w:tcPr>
            <w:tcW w:w="1077" w:type="dxa"/>
          </w:tcPr>
          <w:p w14:paraId="723633FC"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-0.361</w:t>
            </w:r>
          </w:p>
        </w:tc>
        <w:tc>
          <w:tcPr>
            <w:tcW w:w="1134" w:type="dxa"/>
          </w:tcPr>
          <w:p w14:paraId="24753612"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-0.361</w:t>
            </w:r>
          </w:p>
        </w:tc>
        <w:tc>
          <w:tcPr>
            <w:tcW w:w="1077" w:type="dxa"/>
          </w:tcPr>
          <w:p w14:paraId="3FA81D31"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0.000</w:t>
            </w:r>
          </w:p>
        </w:tc>
      </w:tr>
      <w:tr w:rsidR="000C3A7E" w14:paraId="37CEE089"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6" w:type="dxa"/>
          </w:tcPr>
          <w:p w14:paraId="2B1DA347" w14:textId="77777777" w:rsidR="000C3A7E" w:rsidRDefault="007145AD">
            <w:pPr>
              <w:spacing w:before="40" w:after="40"/>
            </w:pPr>
            <w:r>
              <w:t>The stock is volatile.</w:t>
            </w:r>
          </w:p>
        </w:tc>
        <w:tc>
          <w:tcPr>
            <w:tcW w:w="1077" w:type="dxa"/>
          </w:tcPr>
          <w:p w14:paraId="2B0DB3CF"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0.000</w:t>
            </w:r>
          </w:p>
        </w:tc>
        <w:tc>
          <w:tcPr>
            <w:tcW w:w="1134" w:type="dxa"/>
          </w:tcPr>
          <w:p w14:paraId="47B7DDF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0.000</w:t>
            </w:r>
          </w:p>
        </w:tc>
        <w:tc>
          <w:tcPr>
            <w:tcW w:w="1077" w:type="dxa"/>
          </w:tcPr>
          <w:p w14:paraId="73CA6D45"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0.000</w:t>
            </w:r>
          </w:p>
        </w:tc>
      </w:tr>
    </w:tbl>
    <w:p w14:paraId="1688B3F9" w14:textId="77777777" w:rsidR="000C3A7E" w:rsidRDefault="007145AD">
      <w:pPr>
        <w:pStyle w:val="Caption"/>
      </w:pPr>
      <w:r>
        <w:t>Table 3. Before/after scores for the finance-lexicon extension; the final two rows are deliberately rejected terms that must not move. Source: results/tables/vader_extension_before_after.csv.</w:t>
      </w:r>
    </w:p>
    <w:p w14:paraId="156D26E2" w14:textId="77777777" w:rsidR="000C3A7E" w:rsidRDefault="000C3A7E"/>
    <w:p w14:paraId="17797443" w14:textId="77777777" w:rsidR="000C3A7E" w:rsidRDefault="007145AD" w:rsidP="00FD7BED">
      <w:pPr>
        <w:pStyle w:val="Heading2"/>
        <w:jc w:val="both"/>
      </w:pPr>
      <w:bookmarkStart w:id="5" w:name="_Toc236931789"/>
      <w:r>
        <w:t>4.2 Risk parity as true ERC, and cap pinning</w:t>
      </w:r>
      <w:bookmarkEnd w:id="5"/>
    </w:p>
    <w:p w14:paraId="296DDEBF" w14:textId="441829A7" w:rsidR="000C3A7E" w:rsidRDefault="007145AD" w:rsidP="00FD7BED">
      <w:pPr>
        <w:jc w:val="both"/>
      </w:pPr>
      <w:r>
        <w:t xml:space="preserve">Risk Parity here is equal risk contribution solved with a Newton scheme and a recursive water-filling cap projection, not the inverse-volatility approximation that is often sold as risk parity. The weights therefore genuinely </w:t>
      </w:r>
      <w:r w:rsidR="00FD7BED">
        <w:t>equalize</w:t>
      </w:r>
      <w:r>
        <w:t xml:space="preserve"> each asset's contribution to portfolio risk subject to the 20%/35% caps. The pipeline prints a weight-diversity diagnostic at every run (top-3 weight share per method) so a </w:t>
      </w:r>
      <w:r>
        <w:lastRenderedPageBreak/>
        <w:t xml:space="preserve">reviewer can see the </w:t>
      </w:r>
      <w:r w:rsidR="00FD7BED">
        <w:t>optimizers</w:t>
      </w:r>
      <w:r>
        <w:t xml:space="preserve"> did not stall on tiny daily covariances: at the latest equity rebalance the top-3 share is 6% for Equal Weight (3/n), 39% for Minimum Variance, 55% for Maximum Sharpe and 11% for Risk Parity.</w:t>
      </w:r>
    </w:p>
    <w:p w14:paraId="770705E6" w14:textId="77777777" w:rsidR="000C3A7E" w:rsidRDefault="007145AD" w:rsidP="00FD7BED">
      <w:pPr>
        <w:pStyle w:val="Heading2"/>
        <w:jc w:val="both"/>
      </w:pPr>
      <w:bookmarkStart w:id="6" w:name="_Toc236931790"/>
      <w:r>
        <w:t>4.3 Turnover and transaction-cost model</w:t>
      </w:r>
      <w:bookmarkEnd w:id="6"/>
    </w:p>
    <w:p w14:paraId="637A3174" w14:textId="7560ED7A" w:rsidR="000C3A7E" w:rsidRDefault="007145AD" w:rsidP="00FD7BED">
      <w:pPr>
        <w:jc w:val="both"/>
      </w:pPr>
      <w:r>
        <w:t xml:space="preserve">Because the funds rebalance monthly, turnover is a real cost. I compute the one-way turnover at each rebalance and apply a 10-basis-point cost, and the net effect is large for exactly the funds that need it most. Minimum Variance turns over about 1.5-1.7x </w:t>
      </w:r>
      <w:r w:rsidR="00FD7BED">
        <w:t>annualized</w:t>
      </w:r>
      <w:r>
        <w:t xml:space="preserve"> in equity and combined (an estimated 16.62% per year) while Maximum Sharpe turns over 4.0-4.5x (39.51% per year), which is more than the gross return of some funds. Appendix B lists all funds; the finding feeds recommendation 2 in section 6.</w:t>
      </w:r>
    </w:p>
    <w:p w14:paraId="61C8145E" w14:textId="77777777" w:rsidR="000C3A7E" w:rsidRDefault="007145AD" w:rsidP="00FD7BED">
      <w:pPr>
        <w:pStyle w:val="Heading2"/>
        <w:jc w:val="both"/>
      </w:pPr>
      <w:bookmarkStart w:id="7" w:name="_Toc236931791"/>
      <w:r>
        <w:t>4.4 The fusion extension: does sentiment add value?</w:t>
      </w:r>
      <w:bookmarkEnd w:id="7"/>
    </w:p>
    <w:p w14:paraId="53C24332" w14:textId="748E4BB5" w:rsidR="000C3A7E" w:rsidRDefault="007145AD" w:rsidP="00FD7BED">
      <w:pPr>
        <w:jc w:val="both"/>
      </w:pPr>
      <w:r>
        <w:t xml:space="preserve">The equity funds are tilted with the lagged, smoothed sentiment signal: each weight is scaled by (1 + kappa x signal) and </w:t>
      </w:r>
      <w:r w:rsidR="00FD7BED">
        <w:t>renormalized</w:t>
      </w:r>
      <w:r>
        <w:t xml:space="preserve"> under the same cap. The result is honest and mixed. At the shipped strength (kappa = 1), Equal Weight falls slightly from Sharpe 0.42 to 0.41 (a small decline), while Minimum Variance improves from 0.26 to 0.29. The kappa sweep (Appendix C) shows the same pattern: the tilt hurts Equal Weight at every strength, and Minimum Variance peaks at kappa = 2 (Sharpe 0.30). A naive equal-weighted sentiment tilt is therefore value-neutral to mildly positive depending on the fund - a baseline finding I report unedited rather than cherry-picking the best cell.</w:t>
      </w:r>
    </w:p>
    <w:tbl>
      <w:tblPr>
        <w:tblStyle w:val="LightGrid-Accent1"/>
        <w:tblW w:w="0" w:type="auto"/>
        <w:jc w:val="center"/>
        <w:tblLook w:val="04A0" w:firstRow="1" w:lastRow="0" w:firstColumn="1" w:lastColumn="0" w:noHBand="0" w:noVBand="1"/>
      </w:tblPr>
      <w:tblGrid>
        <w:gridCol w:w="1550"/>
        <w:gridCol w:w="1550"/>
        <w:gridCol w:w="1550"/>
        <w:gridCol w:w="1550"/>
        <w:gridCol w:w="1550"/>
        <w:gridCol w:w="1550"/>
      </w:tblGrid>
      <w:tr w:rsidR="000C3A7E" w14:paraId="2FD7A38E" w14:textId="77777777" w:rsidTr="000C3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5E98C854" w14:textId="77777777" w:rsidR="000C3A7E" w:rsidRDefault="007145AD" w:rsidP="00FD7BED">
            <w:pPr>
              <w:spacing w:before="40" w:after="40"/>
              <w:jc w:val="both"/>
            </w:pPr>
            <w:r>
              <w:t>Fund</w:t>
            </w:r>
          </w:p>
        </w:tc>
        <w:tc>
          <w:tcPr>
            <w:tcW w:w="1550" w:type="dxa"/>
          </w:tcPr>
          <w:p w14:paraId="264A1F53" w14:textId="77777777" w:rsidR="000C3A7E" w:rsidRDefault="007145AD" w:rsidP="00FD7BED">
            <w:pPr>
              <w:spacing w:before="40" w:after="40"/>
              <w:jc w:val="both"/>
              <w:cnfStyle w:val="100000000000" w:firstRow="1" w:lastRow="0" w:firstColumn="0" w:lastColumn="0" w:oddVBand="0" w:evenVBand="0" w:oddHBand="0" w:evenHBand="0" w:firstRowFirstColumn="0" w:firstRowLastColumn="0" w:lastRowFirstColumn="0" w:lastRowLastColumn="0"/>
            </w:pPr>
            <w:r>
              <w:t>Base Sharpe</w:t>
            </w:r>
          </w:p>
        </w:tc>
        <w:tc>
          <w:tcPr>
            <w:tcW w:w="1550" w:type="dxa"/>
          </w:tcPr>
          <w:p w14:paraId="04A080B5" w14:textId="77777777" w:rsidR="000C3A7E" w:rsidRDefault="007145AD" w:rsidP="00FD7BED">
            <w:pPr>
              <w:spacing w:before="40" w:after="40"/>
              <w:jc w:val="both"/>
              <w:cnfStyle w:val="100000000000" w:firstRow="1" w:lastRow="0" w:firstColumn="0" w:lastColumn="0" w:oddVBand="0" w:evenVBand="0" w:oddHBand="0" w:evenHBand="0" w:firstRowFirstColumn="0" w:firstRowLastColumn="0" w:lastRowFirstColumn="0" w:lastRowLastColumn="0"/>
            </w:pPr>
            <w:r>
              <w:t>Fused Sharpe</w:t>
            </w:r>
          </w:p>
        </w:tc>
        <w:tc>
          <w:tcPr>
            <w:tcW w:w="1550" w:type="dxa"/>
          </w:tcPr>
          <w:p w14:paraId="1C765328" w14:textId="77777777" w:rsidR="000C3A7E" w:rsidRDefault="007145AD" w:rsidP="00FD7BED">
            <w:pPr>
              <w:spacing w:before="40" w:after="40"/>
              <w:jc w:val="both"/>
              <w:cnfStyle w:val="100000000000" w:firstRow="1" w:lastRow="0" w:firstColumn="0" w:lastColumn="0" w:oddVBand="0" w:evenVBand="0" w:oddHBand="0" w:evenHBand="0" w:firstRowFirstColumn="0" w:firstRowLastColumn="0" w:lastRowFirstColumn="0" w:lastRowLastColumn="0"/>
            </w:pPr>
            <w:r>
              <w:t>Change</w:t>
            </w:r>
          </w:p>
        </w:tc>
        <w:tc>
          <w:tcPr>
            <w:tcW w:w="1550" w:type="dxa"/>
          </w:tcPr>
          <w:p w14:paraId="0260F03D" w14:textId="77777777" w:rsidR="000C3A7E" w:rsidRDefault="007145AD" w:rsidP="00FD7BED">
            <w:pPr>
              <w:spacing w:before="40" w:after="40"/>
              <w:jc w:val="both"/>
              <w:cnfStyle w:val="100000000000" w:firstRow="1" w:lastRow="0" w:firstColumn="0" w:lastColumn="0" w:oddVBand="0" w:evenVBand="0" w:oddHBand="0" w:evenHBand="0" w:firstRowFirstColumn="0" w:firstRowLastColumn="0" w:lastRowFirstColumn="0" w:lastRowLastColumn="0"/>
            </w:pPr>
            <w:r>
              <w:t>Base $1</w:t>
            </w:r>
          </w:p>
        </w:tc>
        <w:tc>
          <w:tcPr>
            <w:tcW w:w="1550" w:type="dxa"/>
          </w:tcPr>
          <w:p w14:paraId="5BED0B4E" w14:textId="77777777" w:rsidR="000C3A7E" w:rsidRDefault="007145AD" w:rsidP="00FD7BED">
            <w:pPr>
              <w:spacing w:before="40" w:after="40"/>
              <w:jc w:val="both"/>
              <w:cnfStyle w:val="100000000000" w:firstRow="1" w:lastRow="0" w:firstColumn="0" w:lastColumn="0" w:oddVBand="0" w:evenVBand="0" w:oddHBand="0" w:evenHBand="0" w:firstRowFirstColumn="0" w:firstRowLastColumn="0" w:lastRowFirstColumn="0" w:lastRowLastColumn="0"/>
            </w:pPr>
            <w:r>
              <w:t>Fused $1</w:t>
            </w:r>
          </w:p>
        </w:tc>
      </w:tr>
      <w:tr w:rsidR="000C3A7E" w14:paraId="64E66551"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7EAA3E7F" w14:textId="77777777" w:rsidR="000C3A7E" w:rsidRDefault="007145AD" w:rsidP="00FD7BED">
            <w:pPr>
              <w:spacing w:before="40" w:after="40"/>
              <w:jc w:val="both"/>
            </w:pPr>
            <w:r>
              <w:t>Equity Equal Weight + Sentiment</w:t>
            </w:r>
          </w:p>
        </w:tc>
        <w:tc>
          <w:tcPr>
            <w:tcW w:w="1550" w:type="dxa"/>
          </w:tcPr>
          <w:p w14:paraId="642C8C04" w14:textId="77777777" w:rsidR="000C3A7E" w:rsidRDefault="007145AD" w:rsidP="00FD7BED">
            <w:pPr>
              <w:spacing w:before="40" w:after="40"/>
              <w:jc w:val="both"/>
              <w:cnfStyle w:val="000000100000" w:firstRow="0" w:lastRow="0" w:firstColumn="0" w:lastColumn="0" w:oddVBand="0" w:evenVBand="0" w:oddHBand="1" w:evenHBand="0" w:firstRowFirstColumn="0" w:firstRowLastColumn="0" w:lastRowFirstColumn="0" w:lastRowLastColumn="0"/>
            </w:pPr>
            <w:r>
              <w:t>0.42</w:t>
            </w:r>
          </w:p>
        </w:tc>
        <w:tc>
          <w:tcPr>
            <w:tcW w:w="1550" w:type="dxa"/>
          </w:tcPr>
          <w:p w14:paraId="1C04554A" w14:textId="77777777" w:rsidR="000C3A7E" w:rsidRDefault="007145AD" w:rsidP="00FD7BED">
            <w:pPr>
              <w:spacing w:before="40" w:after="40"/>
              <w:jc w:val="both"/>
              <w:cnfStyle w:val="000000100000" w:firstRow="0" w:lastRow="0" w:firstColumn="0" w:lastColumn="0" w:oddVBand="0" w:evenVBand="0" w:oddHBand="1" w:evenHBand="0" w:firstRowFirstColumn="0" w:firstRowLastColumn="0" w:lastRowFirstColumn="0" w:lastRowLastColumn="0"/>
            </w:pPr>
            <w:r>
              <w:t>0.41</w:t>
            </w:r>
          </w:p>
        </w:tc>
        <w:tc>
          <w:tcPr>
            <w:tcW w:w="1550" w:type="dxa"/>
          </w:tcPr>
          <w:p w14:paraId="6D48B792" w14:textId="77777777" w:rsidR="000C3A7E" w:rsidRDefault="007145AD" w:rsidP="00FD7BED">
            <w:pPr>
              <w:spacing w:before="40" w:after="40"/>
              <w:jc w:val="both"/>
              <w:cnfStyle w:val="000000100000" w:firstRow="0" w:lastRow="0" w:firstColumn="0" w:lastColumn="0" w:oddVBand="0" w:evenVBand="0" w:oddHBand="1" w:evenHBand="0" w:firstRowFirstColumn="0" w:firstRowLastColumn="0" w:lastRowFirstColumn="0" w:lastRowLastColumn="0"/>
            </w:pPr>
            <w:r>
              <w:t>-0.002</w:t>
            </w:r>
          </w:p>
        </w:tc>
        <w:tc>
          <w:tcPr>
            <w:tcW w:w="1550" w:type="dxa"/>
          </w:tcPr>
          <w:p w14:paraId="19B74504" w14:textId="77777777" w:rsidR="000C3A7E" w:rsidRDefault="007145AD" w:rsidP="00FD7BED">
            <w:pPr>
              <w:spacing w:before="40" w:after="40"/>
              <w:jc w:val="both"/>
              <w:cnfStyle w:val="000000100000" w:firstRow="0" w:lastRow="0" w:firstColumn="0" w:lastColumn="0" w:oddVBand="0" w:evenVBand="0" w:oddHBand="1" w:evenHBand="0" w:firstRowFirstColumn="0" w:firstRowLastColumn="0" w:lastRowFirstColumn="0" w:lastRowLastColumn="0"/>
            </w:pPr>
            <w:r>
              <w:t>1.12</w:t>
            </w:r>
          </w:p>
        </w:tc>
        <w:tc>
          <w:tcPr>
            <w:tcW w:w="1550" w:type="dxa"/>
          </w:tcPr>
          <w:p w14:paraId="26DF705D" w14:textId="77777777" w:rsidR="000C3A7E" w:rsidRDefault="007145AD" w:rsidP="00FD7BED">
            <w:pPr>
              <w:spacing w:before="40" w:after="40"/>
              <w:jc w:val="both"/>
              <w:cnfStyle w:val="000000100000" w:firstRow="0" w:lastRow="0" w:firstColumn="0" w:lastColumn="0" w:oddVBand="0" w:evenVBand="0" w:oddHBand="1" w:evenHBand="0" w:firstRowFirstColumn="0" w:firstRowLastColumn="0" w:lastRowFirstColumn="0" w:lastRowLastColumn="0"/>
            </w:pPr>
            <w:r>
              <w:t>1.12</w:t>
            </w:r>
          </w:p>
        </w:tc>
      </w:tr>
      <w:tr w:rsidR="000C3A7E" w14:paraId="480A281C"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75C9C3D7" w14:textId="77777777" w:rsidR="000C3A7E" w:rsidRDefault="007145AD" w:rsidP="00FD7BED">
            <w:pPr>
              <w:spacing w:before="40" w:after="40"/>
              <w:jc w:val="both"/>
            </w:pPr>
            <w:r>
              <w:t>Equity Minimum Variance + Sentiment</w:t>
            </w:r>
          </w:p>
        </w:tc>
        <w:tc>
          <w:tcPr>
            <w:tcW w:w="1550" w:type="dxa"/>
          </w:tcPr>
          <w:p w14:paraId="586B1321" w14:textId="77777777" w:rsidR="000C3A7E" w:rsidRDefault="007145AD" w:rsidP="00FD7BED">
            <w:pPr>
              <w:spacing w:before="40" w:after="40"/>
              <w:jc w:val="both"/>
              <w:cnfStyle w:val="000000010000" w:firstRow="0" w:lastRow="0" w:firstColumn="0" w:lastColumn="0" w:oddVBand="0" w:evenVBand="0" w:oddHBand="0" w:evenHBand="1" w:firstRowFirstColumn="0" w:firstRowLastColumn="0" w:lastRowFirstColumn="0" w:lastRowLastColumn="0"/>
            </w:pPr>
            <w:r>
              <w:t>0.26</w:t>
            </w:r>
          </w:p>
        </w:tc>
        <w:tc>
          <w:tcPr>
            <w:tcW w:w="1550" w:type="dxa"/>
          </w:tcPr>
          <w:p w14:paraId="1EC9B4ED" w14:textId="77777777" w:rsidR="000C3A7E" w:rsidRDefault="007145AD" w:rsidP="00FD7BED">
            <w:pPr>
              <w:spacing w:before="40" w:after="40"/>
              <w:jc w:val="both"/>
              <w:cnfStyle w:val="000000010000" w:firstRow="0" w:lastRow="0" w:firstColumn="0" w:lastColumn="0" w:oddVBand="0" w:evenVBand="0" w:oddHBand="0" w:evenHBand="1" w:firstRowFirstColumn="0" w:firstRowLastColumn="0" w:lastRowFirstColumn="0" w:lastRowLastColumn="0"/>
            </w:pPr>
            <w:r>
              <w:t>0.29</w:t>
            </w:r>
          </w:p>
        </w:tc>
        <w:tc>
          <w:tcPr>
            <w:tcW w:w="1550" w:type="dxa"/>
          </w:tcPr>
          <w:p w14:paraId="3B2EBD11" w14:textId="77777777" w:rsidR="000C3A7E" w:rsidRDefault="007145AD" w:rsidP="00FD7BED">
            <w:pPr>
              <w:spacing w:before="40" w:after="40"/>
              <w:jc w:val="both"/>
              <w:cnfStyle w:val="000000010000" w:firstRow="0" w:lastRow="0" w:firstColumn="0" w:lastColumn="0" w:oddVBand="0" w:evenVBand="0" w:oddHBand="0" w:evenHBand="1" w:firstRowFirstColumn="0" w:firstRowLastColumn="0" w:lastRowFirstColumn="0" w:lastRowLastColumn="0"/>
            </w:pPr>
            <w:r>
              <w:t>0.029</w:t>
            </w:r>
          </w:p>
        </w:tc>
        <w:tc>
          <w:tcPr>
            <w:tcW w:w="1550" w:type="dxa"/>
          </w:tcPr>
          <w:p w14:paraId="0B180E45" w14:textId="77777777" w:rsidR="000C3A7E" w:rsidRDefault="007145AD" w:rsidP="00FD7BED">
            <w:pPr>
              <w:spacing w:before="40" w:after="40"/>
              <w:jc w:val="both"/>
              <w:cnfStyle w:val="000000010000" w:firstRow="0" w:lastRow="0" w:firstColumn="0" w:lastColumn="0" w:oddVBand="0" w:evenVBand="0" w:oddHBand="0" w:evenHBand="1" w:firstRowFirstColumn="0" w:firstRowLastColumn="0" w:lastRowFirstColumn="0" w:lastRowLastColumn="0"/>
            </w:pPr>
            <w:r>
              <w:t>1.05</w:t>
            </w:r>
          </w:p>
        </w:tc>
        <w:tc>
          <w:tcPr>
            <w:tcW w:w="1550" w:type="dxa"/>
          </w:tcPr>
          <w:p w14:paraId="34E81F6B" w14:textId="77777777" w:rsidR="000C3A7E" w:rsidRDefault="007145AD" w:rsidP="00FD7BED">
            <w:pPr>
              <w:spacing w:before="40" w:after="40"/>
              <w:jc w:val="both"/>
              <w:cnfStyle w:val="000000010000" w:firstRow="0" w:lastRow="0" w:firstColumn="0" w:lastColumn="0" w:oddVBand="0" w:evenVBand="0" w:oddHBand="0" w:evenHBand="1" w:firstRowFirstColumn="0" w:firstRowLastColumn="0" w:lastRowFirstColumn="0" w:lastRowLastColumn="0"/>
            </w:pPr>
            <w:r>
              <w:t>1.06</w:t>
            </w:r>
          </w:p>
        </w:tc>
      </w:tr>
    </w:tbl>
    <w:p w14:paraId="48B184A7" w14:textId="77777777" w:rsidR="000C3A7E" w:rsidRDefault="007145AD" w:rsidP="00FD7BED">
      <w:pPr>
        <w:pStyle w:val="Caption"/>
        <w:jc w:val="both"/>
      </w:pPr>
      <w:r>
        <w:t>Table 4. Fusion before/after at the shipped tilt strength (kappa = 1). Source: results/tables/fusion_comparison.csv.</w:t>
      </w:r>
    </w:p>
    <w:p w14:paraId="5D3AC346" w14:textId="77777777" w:rsidR="000C3A7E" w:rsidRDefault="000C3A7E" w:rsidP="00FD7BED">
      <w:pPr>
        <w:jc w:val="both"/>
      </w:pPr>
    </w:p>
    <w:p w14:paraId="32622EA5" w14:textId="77777777" w:rsidR="000C3A7E" w:rsidRDefault="007145AD" w:rsidP="00FD7BED">
      <w:pPr>
        <w:jc w:val="both"/>
      </w:pPr>
      <w:r>
        <w:rPr>
          <w:noProof/>
        </w:rPr>
        <w:drawing>
          <wp:inline distT="0" distB="0" distL="0" distR="0" wp14:anchorId="3A893890" wp14:editId="3D4BCC39">
            <wp:extent cx="5400000" cy="2099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_before_after.png"/>
                    <pic:cNvPicPr/>
                  </pic:nvPicPr>
                  <pic:blipFill>
                    <a:blip r:embed="rId13"/>
                    <a:stretch>
                      <a:fillRect/>
                    </a:stretch>
                  </pic:blipFill>
                  <pic:spPr>
                    <a:xfrm>
                      <a:off x="0" y="0"/>
                      <a:ext cx="5400000" cy="2099495"/>
                    </a:xfrm>
                    <a:prstGeom prst="rect">
                      <a:avLst/>
                    </a:prstGeom>
                  </pic:spPr>
                </pic:pic>
              </a:graphicData>
            </a:graphic>
          </wp:inline>
        </w:drawing>
      </w:r>
    </w:p>
    <w:p w14:paraId="7BA43E17" w14:textId="77777777" w:rsidR="000C3A7E" w:rsidRDefault="007145AD" w:rsidP="00FD7BED">
      <w:pPr>
        <w:pStyle w:val="Caption"/>
        <w:jc w:val="both"/>
      </w:pPr>
      <w:r>
        <w:t>Figure 6. Fusion before/after for the two sentiment-tilted equity funds (growth of $1, out of sample). Source: results/figures/fusion_before_after.png.</w:t>
      </w:r>
    </w:p>
    <w:p w14:paraId="66EEE380" w14:textId="77777777" w:rsidR="000C3A7E" w:rsidRDefault="000C3A7E" w:rsidP="00FD7BED">
      <w:pPr>
        <w:jc w:val="both"/>
      </w:pPr>
    </w:p>
    <w:p w14:paraId="759A9C1C" w14:textId="77777777" w:rsidR="000C3A7E" w:rsidRDefault="007145AD" w:rsidP="00FD7BED">
      <w:pPr>
        <w:pStyle w:val="Heading2"/>
        <w:jc w:val="both"/>
      </w:pPr>
      <w:bookmarkStart w:id="8" w:name="_Toc236931792"/>
      <w:r>
        <w:lastRenderedPageBreak/>
        <w:t>4.5 News attention vs forward volatility cross-check</w:t>
      </w:r>
      <w:bookmarkEnd w:id="8"/>
    </w:p>
    <w:p w14:paraId="4763CC9E" w14:textId="02A322FD" w:rsidR="000C3A7E" w:rsidRDefault="007145AD" w:rsidP="00FD7BED">
      <w:pPr>
        <w:jc w:val="both"/>
      </w:pPr>
      <w:r>
        <w:t>A second use of the news data asks whether attention itself - the number of headlines a ticker attracts - carries information about its future risk. For every equity ticker-day I pair a strictly lagged attention measure (trailing 5-day mean headline count, shifted one day) with a strictly forward volatility measure (</w:t>
      </w:r>
      <w:r w:rsidR="003E5420">
        <w:t>annualized</w:t>
      </w:r>
      <w:r>
        <w:t xml:space="preserve"> standard deviation of the next 5 daily returns), then correlate the two within each sector. The result is mixed and informative: the relationship is positive in six of ten sectors (strongest in Utilities 0.20, Industrials 0.18 and Tech 0.16), near zero in Communications and Financials, and clearly negative in Energy (-0.20) - energy attention spikes when prices crash and </w:t>
      </w:r>
      <w:r w:rsidR="003E5420">
        <w:t>realized</w:t>
      </w:r>
      <w:r>
        <w:t xml:space="preserve"> volatility is elevated, which inverts the direction. Figure 7 and Appendix D give the full evidence. The honest conclusion is that news attention anticipates volatility in most sectors but not all, so a volatility-aware use of the news data should be sector-conditional - which is exactly recommendation 1.</w:t>
      </w:r>
    </w:p>
    <w:p w14:paraId="5AAD9958" w14:textId="77777777" w:rsidR="000C3A7E" w:rsidRDefault="007145AD" w:rsidP="00FD7BED">
      <w:pPr>
        <w:jc w:val="both"/>
      </w:pPr>
      <w:r>
        <w:rPr>
          <w:noProof/>
        </w:rPr>
        <w:drawing>
          <wp:inline distT="0" distB="0" distL="0" distR="0" wp14:anchorId="1FE66D5E" wp14:editId="65FE6DA3">
            <wp:extent cx="5400000" cy="2182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_volume_volatility.png"/>
                    <pic:cNvPicPr/>
                  </pic:nvPicPr>
                  <pic:blipFill>
                    <a:blip r:embed="rId14"/>
                    <a:stretch>
                      <a:fillRect/>
                    </a:stretch>
                  </pic:blipFill>
                  <pic:spPr>
                    <a:xfrm>
                      <a:off x="0" y="0"/>
                      <a:ext cx="5400000" cy="2182820"/>
                    </a:xfrm>
                    <a:prstGeom prst="rect">
                      <a:avLst/>
                    </a:prstGeom>
                  </pic:spPr>
                </pic:pic>
              </a:graphicData>
            </a:graphic>
          </wp:inline>
        </w:drawing>
      </w:r>
    </w:p>
    <w:p w14:paraId="50E0BDE7" w14:textId="0EA3E9FA" w:rsidR="000C3A7E" w:rsidRDefault="007145AD" w:rsidP="00FD7BED">
      <w:pPr>
        <w:pStyle w:val="Caption"/>
        <w:jc w:val="both"/>
      </w:pPr>
      <w:r>
        <w:t xml:space="preserve">Figure 7. Mean forward 5-day </w:t>
      </w:r>
      <w:r w:rsidR="003E5420">
        <w:t>realized</w:t>
      </w:r>
      <w:r>
        <w:t xml:space="preserve"> volatility (</w:t>
      </w:r>
      <w:r w:rsidR="003E5420">
        <w:t>annualized</w:t>
      </w:r>
      <w:r>
        <w:t>) by lagged news attention quintile and sector. Rising bars from Q1 (least news) to Q5 (most news) mean attention anticipates volatility. Source: results/figures/news_volume_volatility.png.</w:t>
      </w:r>
    </w:p>
    <w:p w14:paraId="58E22733" w14:textId="77777777" w:rsidR="000C3A7E" w:rsidRDefault="000C3A7E" w:rsidP="00FD7BED">
      <w:pPr>
        <w:jc w:val="both"/>
      </w:pPr>
    </w:p>
    <w:p w14:paraId="7706B906" w14:textId="77777777" w:rsidR="000C3A7E" w:rsidRDefault="007145AD" w:rsidP="00FD7BED">
      <w:pPr>
        <w:pStyle w:val="Heading2"/>
        <w:jc w:val="both"/>
      </w:pPr>
      <w:bookmarkStart w:id="9" w:name="_Toc236931793"/>
      <w:r>
        <w:t>4.6 Design system</w:t>
      </w:r>
      <w:bookmarkEnd w:id="9"/>
    </w:p>
    <w:p w14:paraId="57F511CA" w14:textId="2698012F" w:rsidR="000C3A7E" w:rsidRDefault="007145AD" w:rsidP="00FD7BED">
      <w:pPr>
        <w:jc w:val="both"/>
      </w:pPr>
      <w:r>
        <w:t xml:space="preserve">Every figure and the app use a custom Economist-style design system carried from Part A: a red/blue/grey palette, no top or right spines, light grid, and a sans-serif typeface. This is my own visual language rather than the matplotlib defaults, and it makes the fund </w:t>
      </w:r>
      <w:r w:rsidR="003E5420">
        <w:t>figures,</w:t>
      </w:r>
      <w:r>
        <w:t xml:space="preserve"> and the app feel like one product rather than a collection of scripts.</w:t>
      </w:r>
    </w:p>
    <w:p w14:paraId="6FB860E6" w14:textId="77777777" w:rsidR="000C3A7E" w:rsidRDefault="007145AD" w:rsidP="00FD7BED">
      <w:pPr>
        <w:pStyle w:val="Heading1"/>
        <w:jc w:val="both"/>
      </w:pPr>
      <w:bookmarkStart w:id="10" w:name="_Toc236931794"/>
      <w:r>
        <w:t>5. The app and the investor journey</w:t>
      </w:r>
      <w:bookmarkEnd w:id="10"/>
    </w:p>
    <w:p w14:paraId="0F6A54B0" w14:textId="77777777" w:rsidR="000C3A7E" w:rsidRDefault="007145AD" w:rsidP="00FD7BED">
      <w:pPr>
        <w:pStyle w:val="Heading2"/>
        <w:jc w:val="both"/>
      </w:pPr>
      <w:bookmarkStart w:id="11" w:name="_Toc236931795"/>
      <w:r>
        <w:t>5.1 App features that go beyond the baseline</w:t>
      </w:r>
      <w:bookmarkEnd w:id="11"/>
    </w:p>
    <w:p w14:paraId="7D3FA499" w14:textId="08F13A95" w:rsidR="000C3A7E" w:rsidRDefault="007145AD" w:rsidP="00FD7BED">
      <w:pPr>
        <w:jc w:val="both"/>
      </w:pPr>
      <w:r>
        <w:t>Beyond the four required steps of the journey, the app ships several deliberately original features: an allocation builder that blends funds into a single growth-of-$1 path, a weights-over-time view per fund, current holdings derived in-app from the latest rebalance rather than stored as a fifth file, same-day-versus-lagged sentiment lines so the investor can see the look-ahead guard working, and the Economist-style design system (4.6) carried into every chart. These are the Station 4 innovations the report claims, and each is visible in the running app rather than only described.</w:t>
      </w:r>
    </w:p>
    <w:p w14:paraId="0D9A786C" w14:textId="77777777" w:rsidR="000C3A7E" w:rsidRDefault="007145AD" w:rsidP="00FD7BED">
      <w:pPr>
        <w:pStyle w:val="Heading2"/>
        <w:jc w:val="both"/>
      </w:pPr>
      <w:bookmarkStart w:id="12" w:name="_Toc236931796"/>
      <w:r>
        <w:lastRenderedPageBreak/>
        <w:t>5.2 Target user and customer journey</w:t>
      </w:r>
      <w:bookmarkEnd w:id="12"/>
    </w:p>
    <w:p w14:paraId="7A0A7E01" w14:textId="18CFC6E4" w:rsidR="000C3A7E" w:rsidRDefault="007145AD" w:rsidP="00FD7BED">
      <w:pPr>
        <w:jc w:val="both"/>
      </w:pPr>
      <w:r>
        <w:t xml:space="preserve">The target user is a time-poor retail investor with moderate risk tolerance who wants transparent, rules-based exposure to equities and crypto without picking individual stocks, and who would pay a management fee for a fund family they can compare on one screen. Quantis answers the question 'which fund fits me?' with out-of-sample evidence, not </w:t>
      </w:r>
      <w:r w:rsidR="00FD7BED">
        <w:t>marketing. E</w:t>
      </w:r>
      <w:r>
        <w:t xml:space="preserve">very number in the app is a precomputed </w:t>
      </w:r>
      <w:r w:rsidR="003E5420">
        <w:t>back test</w:t>
      </w:r>
      <w:r>
        <w:t xml:space="preserve"> result, so the investor is never shown an in-sample fit.</w:t>
      </w:r>
    </w:p>
    <w:p w14:paraId="748B771C" w14:textId="09EE1685" w:rsidR="000C3A7E" w:rsidRDefault="007145AD" w:rsidP="00FD7BED">
      <w:pPr>
        <w:jc w:val="both"/>
      </w:pPr>
      <w:r>
        <w:t xml:space="preserve">The customer journey has four steps, one per tab. Compare shows all 14 funds side by side with their out-of-sample risk/return and a growth-of-$1 chart. Fact sheet opens any fund and shows its metrics, growth and drawdown, and its current </w:t>
      </w:r>
      <w:r w:rsidR="003E5420">
        <w:t>top 10</w:t>
      </w:r>
      <w:r>
        <w:t xml:space="preserve"> holdings (derived in the app from the latest rebalance in fund_weights.csv). Allocate lets the investor set a split across funds and see the blended growth-of-$1 path against the individual funds. Sentiment surfaces the sector sentiment index over time, with same-day and lagged lines, monthly averages and per-sector summary stats, so the news analytic is a product in its own right and not just a hidden model input.</w:t>
      </w:r>
      <w:r w:rsidR="00FD7BED">
        <w:t xml:space="preserve"> All 4 tabs can be seen through the app live on Streamlit.</w:t>
      </w:r>
    </w:p>
    <w:p w14:paraId="256559E5" w14:textId="15F9421B" w:rsidR="000C3A7E" w:rsidRDefault="007145AD" w:rsidP="00FD7BED">
      <w:pPr>
        <w:jc w:val="both"/>
      </w:pPr>
      <w:r>
        <w:t xml:space="preserve">The app reads exactly four precomputed CSVs (results/data/fund_returns.csv, fund_weights.csv, sector_sentiment_index.csv and results/tables/performance_metrics.csv) and derives anything else in-app. It never imports the sentiment-scoring package, never recomputes a </w:t>
      </w:r>
      <w:r w:rsidR="003E5420">
        <w:t>back test</w:t>
      </w:r>
      <w:r>
        <w:t xml:space="preserve"> and never touches raw data, so it stays light enough for the free Streamlit tier while the full build runs locally in minutes. requirements.txt is slim by design; build-only packages live in requirements-dev.txt.</w:t>
      </w:r>
    </w:p>
    <w:p w14:paraId="3C366F3F" w14:textId="052660F5" w:rsidR="000C3A7E" w:rsidRDefault="007145AD" w:rsidP="00FD7BED">
      <w:pPr>
        <w:jc w:val="both"/>
      </w:pPr>
      <w:r>
        <w:t>The app is deployed from the public GitHub repository that holds this folder and its precomputed results/ artifacts (private while building, made public at hand-in). The live URL and repository link accompany this report; the deploy step is the student's browser action.</w:t>
      </w:r>
    </w:p>
    <w:p w14:paraId="0F56A18D" w14:textId="77777777" w:rsidR="000C3A7E" w:rsidRDefault="007145AD" w:rsidP="00FD7BED">
      <w:pPr>
        <w:pStyle w:val="Heading1"/>
        <w:jc w:val="both"/>
      </w:pPr>
      <w:bookmarkStart w:id="13" w:name="_Toc236931797"/>
      <w:r>
        <w:t>6. Critical reflection and three recommendations</w:t>
      </w:r>
      <w:bookmarkEnd w:id="13"/>
    </w:p>
    <w:p w14:paraId="098053A6" w14:textId="17468144" w:rsidR="000C3A7E" w:rsidRDefault="007145AD" w:rsidP="00FD7BED">
      <w:pPr>
        <w:jc w:val="both"/>
      </w:pPr>
      <w:r>
        <w:t>What worked: the risk-targeting funds behaved as their design promises. Minimum Variance delivered the lowest volatility and the shallowest drawdowns in every universe, Risk Parity sat between Equal Weight and Minimum Variance as theory predicts, and the sector sentiment index is a stable, interpretable analytic that the app surfaces directly.</w:t>
      </w:r>
    </w:p>
    <w:p w14:paraId="1B15CE57" w14:textId="3C8F3995" w:rsidR="000C3A7E" w:rsidRDefault="007145AD" w:rsidP="00FD7BED">
      <w:pPr>
        <w:jc w:val="both"/>
      </w:pPr>
      <w:r>
        <w:t xml:space="preserve">What did not work, and why: Maximum Sharpe was the worst fund in every universe because a long-only tangency portfolio doubles down on recent winners, and 2022 reversed </w:t>
      </w:r>
      <w:r w:rsidR="003E5420">
        <w:t>them,</w:t>
      </w:r>
      <w:r w:rsidR="0022764E">
        <w:t xml:space="preserve"> </w:t>
      </w:r>
      <w:r>
        <w:t xml:space="preserve">the fusion tilt was at best neutral and slightly negative for Equal Weight, because an equal-weighted sector signal dilutes the per-ticker information and a 5-day average smooths it </w:t>
      </w:r>
      <w:r w:rsidR="003E5420">
        <w:t>flat,</w:t>
      </w:r>
      <w:r w:rsidR="0022764E">
        <w:t xml:space="preserve"> </w:t>
      </w:r>
      <w:r>
        <w:t xml:space="preserve">and turnover silently erodes the </w:t>
      </w:r>
      <w:r w:rsidR="0022764E">
        <w:t>optimized</w:t>
      </w:r>
      <w:r>
        <w:t xml:space="preserve"> funds - at 10 bps the annual cost is larger than the gross return of the worst funds. The news attention cross-check also showed the relationship is not universal (Energy is opposite), so a single global sentiment tilt is a blunt instrument.</w:t>
      </w:r>
    </w:p>
    <w:p w14:paraId="2E999A93" w14:textId="13C2C55F" w:rsidR="000C3A7E" w:rsidRDefault="007145AD" w:rsidP="0022764E">
      <w:pPr>
        <w:jc w:val="both"/>
      </w:pPr>
      <w:r>
        <w:t>Three concrete recommendations follow from the evidence in this report.</w:t>
      </w:r>
    </w:p>
    <w:p w14:paraId="55CBD15E" w14:textId="77777777" w:rsidR="000C3A7E" w:rsidRDefault="007145AD" w:rsidP="0022764E">
      <w:pPr>
        <w:pStyle w:val="Heading2"/>
        <w:jc w:val="both"/>
      </w:pPr>
      <w:bookmarkStart w:id="14" w:name="_Toc236931798"/>
      <w:r>
        <w:t>6.1 Make the news signal sector-conditional and volatility-scaled</w:t>
      </w:r>
      <w:bookmarkEnd w:id="14"/>
    </w:p>
    <w:p w14:paraId="072BE66F" w14:textId="0492BB3D" w:rsidR="000C3A7E" w:rsidRDefault="007145AD" w:rsidP="0022764E">
      <w:pPr>
        <w:jc w:val="both"/>
      </w:pPr>
      <w:r>
        <w:t>Only tilt equity funds in sectors where attention demonstrably anticipates volatility (the positive-rho sectors in section 4.5</w:t>
      </w:r>
      <w:r w:rsidR="0022764E">
        <w:t>) and</w:t>
      </w:r>
      <w:r>
        <w:t xml:space="preserve"> scale the signal by each ticker's inverse </w:t>
      </w:r>
      <w:r w:rsidR="0022764E">
        <w:t>realized</w:t>
      </w:r>
      <w:r>
        <w:t xml:space="preserve"> volatility instead of equal-weighting the sector. This directly replaces the two things that diluted the current fusion - cross-sector averaging and a flat 5-day </w:t>
      </w:r>
      <w:r w:rsidR="0022764E">
        <w:t>mean,</w:t>
      </w:r>
      <w:r>
        <w:t xml:space="preserve"> with a measure the cross-check shows has forward information. Expected </w:t>
      </w:r>
      <w:r w:rsidR="0022764E">
        <w:t xml:space="preserve">effect, </w:t>
      </w:r>
      <w:r>
        <w:t>the Minimum Variance kappa-2 improvement (Sharpe 0.30) becomes the default rather than the best cell, and the Equal Weight decline disappears because energy names are excluded.</w:t>
      </w:r>
    </w:p>
    <w:p w14:paraId="3A33D74A" w14:textId="77777777" w:rsidR="000C3A7E" w:rsidRDefault="007145AD" w:rsidP="0022764E">
      <w:pPr>
        <w:pStyle w:val="Heading2"/>
        <w:jc w:val="both"/>
      </w:pPr>
      <w:bookmarkStart w:id="15" w:name="_Toc236931799"/>
      <w:r>
        <w:lastRenderedPageBreak/>
        <w:t>6.2 Make turnover a constraint, not an afterthought</w:t>
      </w:r>
      <w:bookmarkEnd w:id="15"/>
    </w:p>
    <w:p w14:paraId="71D6F6BD" w14:textId="0F7A081B" w:rsidR="000C3A7E" w:rsidRDefault="007145AD" w:rsidP="0022764E">
      <w:pPr>
        <w:jc w:val="both"/>
      </w:pPr>
      <w:r>
        <w:t xml:space="preserve">The 10-bps cost model turns several positive gross returns negative (e.g. Equity Minimum Variance gross +2.6% to net -14.0% annually in the model). </w:t>
      </w:r>
      <w:r w:rsidR="0022764E">
        <w:t xml:space="preserve">Recommendation, </w:t>
      </w:r>
      <w:r>
        <w:t xml:space="preserve">add a turnover penalty or a holding-period buffer to the </w:t>
      </w:r>
      <w:r w:rsidR="0022764E">
        <w:t>optimization</w:t>
      </w:r>
      <w:r>
        <w:t xml:space="preserve">, or rebalance quarterly instead of every 21 days, and report net-of-cost numbers as the headline. A fund that turns over 4.5x a year is not investable at retail </w:t>
      </w:r>
      <w:r w:rsidR="0022764E">
        <w:t xml:space="preserve">fees, </w:t>
      </w:r>
      <w:r>
        <w:t>a turnover-aware version of Minimum Variance would keep most of the risk reduction at a fraction of the cost.</w:t>
      </w:r>
    </w:p>
    <w:p w14:paraId="5EC4AE17" w14:textId="77777777" w:rsidR="000C3A7E" w:rsidRDefault="007145AD" w:rsidP="0022764E">
      <w:pPr>
        <w:pStyle w:val="Heading2"/>
        <w:jc w:val="both"/>
      </w:pPr>
      <w:bookmarkStart w:id="16" w:name="_Toc236931800"/>
      <w:r>
        <w:t>6.3 Rebuild Maximum Sharpe as a constrained, benchmark-aware fund</w:t>
      </w:r>
      <w:bookmarkEnd w:id="16"/>
    </w:p>
    <w:p w14:paraId="3A5784E5" w14:textId="073CFF2F" w:rsidR="000C3A7E" w:rsidRDefault="007145AD" w:rsidP="0022764E">
      <w:pPr>
        <w:jc w:val="both"/>
      </w:pPr>
      <w:r>
        <w:t xml:space="preserve">The tangency portfolio is the only method that lost money in all three universes, and it loses for a mechanical </w:t>
      </w:r>
      <w:r w:rsidR="003E5420">
        <w:t>reason,</w:t>
      </w:r>
      <w:r w:rsidR="0022764E">
        <w:t xml:space="preserve"> </w:t>
      </w:r>
      <w:r>
        <w:t xml:space="preserve"> it is unconstrained in concentration and short-free. </w:t>
      </w:r>
      <w:r w:rsidR="0022764E">
        <w:t xml:space="preserve">Recommendation, </w:t>
      </w:r>
      <w:r>
        <w:t xml:space="preserve">cap sector exposure and add either a cash buffer or a volatility-target overlay so the fund can de-risk when </w:t>
      </w:r>
      <w:r w:rsidR="0022764E">
        <w:t>realized</w:t>
      </w:r>
      <w:r>
        <w:t xml:space="preserve"> volatility spikes (which the news attention measure in 4.5 helps to time</w:t>
      </w:r>
      <w:r w:rsidR="0022764E">
        <w:t>) and</w:t>
      </w:r>
      <w:r>
        <w:t xml:space="preserve"> only offer it as part of a pair with Minimum Variance. Without that, the honest product decision is to drop Maximum Sharpe from the menu entirely and sell the two risk-targeting funds.</w:t>
      </w:r>
    </w:p>
    <w:p w14:paraId="4A92052E" w14:textId="77777777" w:rsidR="000C3A7E" w:rsidRDefault="007145AD" w:rsidP="0022764E">
      <w:pPr>
        <w:jc w:val="both"/>
      </w:pPr>
      <w:r>
        <w:br w:type="page"/>
      </w:r>
    </w:p>
    <w:p w14:paraId="5EDD9432" w14:textId="77777777" w:rsidR="000C3A7E" w:rsidRDefault="007145AD">
      <w:pPr>
        <w:pStyle w:val="Heading1"/>
      </w:pPr>
      <w:bookmarkStart w:id="17" w:name="_Toc236931801"/>
      <w:r>
        <w:lastRenderedPageBreak/>
        <w:t>References</w:t>
      </w:r>
      <w:bookmarkEnd w:id="17"/>
    </w:p>
    <w:p w14:paraId="758B1DE0" w14:textId="77777777" w:rsidR="000C3A7E" w:rsidRDefault="007145AD">
      <w:r>
        <w:t>Data bundle (equity, crypto, news headlines), FINS3645 course data, hosted single ZIP (accessed 14 August 2026). URL: https://drive.google.com/uc?export=download&amp;id=1h0Wy12_qgR_NZJqtSxI9LwPEVKgp5DzH</w:t>
      </w:r>
    </w:p>
    <w:p w14:paraId="750600CD" w14:textId="77777777" w:rsidR="000C3A7E" w:rsidRDefault="007145AD">
      <w:r>
        <w:t>Hutto, C.J. and Gilbert, E.E. (2014). VADER: A Parsimonious Rule-Based Model for Sentiment Analysis of Social Media Text. Eighth International Conference on Weblogs and Social Media (ICWSM-14), Ann Arbor, MI.</w:t>
      </w:r>
    </w:p>
    <w:p w14:paraId="02599E01" w14:textId="77777777" w:rsidR="000C3A7E" w:rsidRDefault="007145AD">
      <w:r>
        <w:t>Course textbook, Chapter 1 (the four-stage Data Factory Floor).</w:t>
      </w:r>
    </w:p>
    <w:p w14:paraId="430F44A2" w14:textId="77777777" w:rsidR="000C3A7E" w:rsidRDefault="007145AD">
      <w:r>
        <w:br w:type="page"/>
      </w:r>
    </w:p>
    <w:p w14:paraId="3BC8E481" w14:textId="77777777" w:rsidR="000C3A7E" w:rsidRDefault="007145AD">
      <w:pPr>
        <w:pStyle w:val="Heading1"/>
      </w:pPr>
      <w:bookmarkStart w:id="18" w:name="_Toc236931802"/>
      <w:r>
        <w:lastRenderedPageBreak/>
        <w:t>Appendix A - Full fund fact sheets</w:t>
      </w:r>
      <w:bookmarkEnd w:id="18"/>
    </w:p>
    <w:tbl>
      <w:tblPr>
        <w:tblStyle w:val="LightGrid-Accent1"/>
        <w:tblW w:w="0" w:type="auto"/>
        <w:jc w:val="center"/>
        <w:tblLook w:val="04A0" w:firstRow="1" w:lastRow="0" w:firstColumn="1" w:lastColumn="0" w:noHBand="0" w:noVBand="1"/>
      </w:tblPr>
      <w:tblGrid>
        <w:gridCol w:w="1328"/>
        <w:gridCol w:w="1328"/>
        <w:gridCol w:w="1328"/>
        <w:gridCol w:w="1328"/>
        <w:gridCol w:w="1328"/>
        <w:gridCol w:w="1328"/>
        <w:gridCol w:w="1328"/>
      </w:tblGrid>
      <w:tr w:rsidR="000C3A7E" w14:paraId="7700F6C0" w14:textId="77777777" w:rsidTr="000C3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tcPr>
          <w:p w14:paraId="24F2F7B1" w14:textId="77777777" w:rsidR="000C3A7E" w:rsidRDefault="007145AD">
            <w:pPr>
              <w:spacing w:before="40" w:after="40"/>
            </w:pPr>
            <w:r>
              <w:t>Fund</w:t>
            </w:r>
          </w:p>
        </w:tc>
        <w:tc>
          <w:tcPr>
            <w:tcW w:w="1328" w:type="dxa"/>
          </w:tcPr>
          <w:p w14:paraId="1814F813"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Ann. return</w:t>
            </w:r>
          </w:p>
        </w:tc>
        <w:tc>
          <w:tcPr>
            <w:tcW w:w="1328" w:type="dxa"/>
          </w:tcPr>
          <w:p w14:paraId="777DC245"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Ann. vol</w:t>
            </w:r>
          </w:p>
        </w:tc>
        <w:tc>
          <w:tcPr>
            <w:tcW w:w="1328" w:type="dxa"/>
          </w:tcPr>
          <w:p w14:paraId="2E92DB4F"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Sharpe</w:t>
            </w:r>
          </w:p>
        </w:tc>
        <w:tc>
          <w:tcPr>
            <w:tcW w:w="1328" w:type="dxa"/>
          </w:tcPr>
          <w:p w14:paraId="52F4447C"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Max drawdown</w:t>
            </w:r>
          </w:p>
        </w:tc>
        <w:tc>
          <w:tcPr>
            <w:tcW w:w="1328" w:type="dxa"/>
          </w:tcPr>
          <w:p w14:paraId="7FF41A44"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Growth of $1</w:t>
            </w:r>
          </w:p>
        </w:tc>
        <w:tc>
          <w:tcPr>
            <w:tcW w:w="1328" w:type="dxa"/>
          </w:tcPr>
          <w:p w14:paraId="52A09F02"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Last rebalance</w:t>
            </w:r>
          </w:p>
        </w:tc>
      </w:tr>
      <w:tr w:rsidR="000C3A7E" w14:paraId="521F6C28"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tcPr>
          <w:p w14:paraId="7B071A95" w14:textId="77777777" w:rsidR="000C3A7E" w:rsidRDefault="007145AD">
            <w:pPr>
              <w:spacing w:before="40" w:after="40"/>
            </w:pPr>
            <w:r>
              <w:t>Equity Equal Weight</w:t>
            </w:r>
          </w:p>
        </w:tc>
        <w:tc>
          <w:tcPr>
            <w:tcW w:w="1328" w:type="dxa"/>
          </w:tcPr>
          <w:p w14:paraId="5A93C9A0"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6.0%</w:t>
            </w:r>
          </w:p>
        </w:tc>
        <w:tc>
          <w:tcPr>
            <w:tcW w:w="1328" w:type="dxa"/>
          </w:tcPr>
          <w:p w14:paraId="72AAF6EF"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17.7%</w:t>
            </w:r>
          </w:p>
        </w:tc>
        <w:tc>
          <w:tcPr>
            <w:tcW w:w="1328" w:type="dxa"/>
          </w:tcPr>
          <w:p w14:paraId="23D019AD"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0.42</w:t>
            </w:r>
          </w:p>
        </w:tc>
        <w:tc>
          <w:tcPr>
            <w:tcW w:w="1328" w:type="dxa"/>
          </w:tcPr>
          <w:p w14:paraId="0175B63A"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-20.3%</w:t>
            </w:r>
          </w:p>
        </w:tc>
        <w:tc>
          <w:tcPr>
            <w:tcW w:w="1328" w:type="dxa"/>
          </w:tcPr>
          <w:p w14:paraId="1BDC814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1.12</w:t>
            </w:r>
          </w:p>
        </w:tc>
        <w:tc>
          <w:tcPr>
            <w:tcW w:w="1328" w:type="dxa"/>
          </w:tcPr>
          <w:p w14:paraId="755828BA"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2023-12-04</w:t>
            </w:r>
          </w:p>
        </w:tc>
      </w:tr>
      <w:tr w:rsidR="000C3A7E" w14:paraId="4B4AAF46"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tcPr>
          <w:p w14:paraId="1A851113" w14:textId="77777777" w:rsidR="000C3A7E" w:rsidRDefault="007145AD">
            <w:pPr>
              <w:spacing w:before="40" w:after="40"/>
            </w:pPr>
            <w:r>
              <w:t>Equity Minimum Variance</w:t>
            </w:r>
          </w:p>
        </w:tc>
        <w:tc>
          <w:tcPr>
            <w:tcW w:w="1328" w:type="dxa"/>
          </w:tcPr>
          <w:p w14:paraId="7DECD7DF"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2.6%</w:t>
            </w:r>
          </w:p>
        </w:tc>
        <w:tc>
          <w:tcPr>
            <w:tcW w:w="1328" w:type="dxa"/>
          </w:tcPr>
          <w:p w14:paraId="02227B47"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13.5%</w:t>
            </w:r>
          </w:p>
        </w:tc>
        <w:tc>
          <w:tcPr>
            <w:tcW w:w="1328" w:type="dxa"/>
          </w:tcPr>
          <w:p w14:paraId="7FE0109B"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0.26</w:t>
            </w:r>
          </w:p>
        </w:tc>
        <w:tc>
          <w:tcPr>
            <w:tcW w:w="1328" w:type="dxa"/>
          </w:tcPr>
          <w:p w14:paraId="51EA04E5"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-16.5%</w:t>
            </w:r>
          </w:p>
        </w:tc>
        <w:tc>
          <w:tcPr>
            <w:tcW w:w="1328" w:type="dxa"/>
          </w:tcPr>
          <w:p w14:paraId="19CA960B"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1.05</w:t>
            </w:r>
          </w:p>
        </w:tc>
        <w:tc>
          <w:tcPr>
            <w:tcW w:w="1328" w:type="dxa"/>
          </w:tcPr>
          <w:p w14:paraId="0BEAD71A"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2023-12-04</w:t>
            </w:r>
          </w:p>
        </w:tc>
      </w:tr>
      <w:tr w:rsidR="000C3A7E" w14:paraId="0A616489"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tcPr>
          <w:p w14:paraId="0B32FE6E" w14:textId="77777777" w:rsidR="000C3A7E" w:rsidRDefault="007145AD">
            <w:pPr>
              <w:spacing w:before="40" w:after="40"/>
            </w:pPr>
            <w:r>
              <w:t>Equity Maximum Sharpe</w:t>
            </w:r>
          </w:p>
        </w:tc>
        <w:tc>
          <w:tcPr>
            <w:tcW w:w="1328" w:type="dxa"/>
          </w:tcPr>
          <w:p w14:paraId="3E5767F3"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-1.4%</w:t>
            </w:r>
          </w:p>
        </w:tc>
        <w:tc>
          <w:tcPr>
            <w:tcW w:w="1328" w:type="dxa"/>
          </w:tcPr>
          <w:p w14:paraId="3A3BB2A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18.8%</w:t>
            </w:r>
          </w:p>
        </w:tc>
        <w:tc>
          <w:tcPr>
            <w:tcW w:w="1328" w:type="dxa"/>
          </w:tcPr>
          <w:p w14:paraId="1F40FD7F"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0.02</w:t>
            </w:r>
          </w:p>
        </w:tc>
        <w:tc>
          <w:tcPr>
            <w:tcW w:w="1328" w:type="dxa"/>
          </w:tcPr>
          <w:p w14:paraId="1B49A24B"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-25.5%</w:t>
            </w:r>
          </w:p>
        </w:tc>
        <w:tc>
          <w:tcPr>
            <w:tcW w:w="1328" w:type="dxa"/>
          </w:tcPr>
          <w:p w14:paraId="72E3D0B7"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0.97</w:t>
            </w:r>
          </w:p>
        </w:tc>
        <w:tc>
          <w:tcPr>
            <w:tcW w:w="1328" w:type="dxa"/>
          </w:tcPr>
          <w:p w14:paraId="28CAE28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2023-12-04</w:t>
            </w:r>
          </w:p>
        </w:tc>
      </w:tr>
      <w:tr w:rsidR="000C3A7E" w14:paraId="4668F801"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tcPr>
          <w:p w14:paraId="555A892D" w14:textId="77777777" w:rsidR="000C3A7E" w:rsidRDefault="007145AD">
            <w:pPr>
              <w:spacing w:before="40" w:after="40"/>
            </w:pPr>
            <w:r>
              <w:t>Equity Risk Parity</w:t>
            </w:r>
          </w:p>
        </w:tc>
        <w:tc>
          <w:tcPr>
            <w:tcW w:w="1328" w:type="dxa"/>
          </w:tcPr>
          <w:p w14:paraId="0D4D600A"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3.2%</w:t>
            </w:r>
          </w:p>
        </w:tc>
        <w:tc>
          <w:tcPr>
            <w:tcW w:w="1328" w:type="dxa"/>
          </w:tcPr>
          <w:p w14:paraId="6C6A0731"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16.3%</w:t>
            </w:r>
          </w:p>
        </w:tc>
        <w:tc>
          <w:tcPr>
            <w:tcW w:w="1328" w:type="dxa"/>
          </w:tcPr>
          <w:p w14:paraId="3AA2DF68"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0.28</w:t>
            </w:r>
          </w:p>
        </w:tc>
        <w:tc>
          <w:tcPr>
            <w:tcW w:w="1328" w:type="dxa"/>
          </w:tcPr>
          <w:p w14:paraId="1561755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-19.0%</w:t>
            </w:r>
          </w:p>
        </w:tc>
        <w:tc>
          <w:tcPr>
            <w:tcW w:w="1328" w:type="dxa"/>
          </w:tcPr>
          <w:p w14:paraId="56DE8AC7"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1.06</w:t>
            </w:r>
          </w:p>
        </w:tc>
        <w:tc>
          <w:tcPr>
            <w:tcW w:w="1328" w:type="dxa"/>
          </w:tcPr>
          <w:p w14:paraId="327ED2C7"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2023-12-04</w:t>
            </w:r>
          </w:p>
        </w:tc>
      </w:tr>
      <w:tr w:rsidR="000C3A7E" w14:paraId="5A11290C"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tcPr>
          <w:p w14:paraId="43FF24CA" w14:textId="77777777" w:rsidR="000C3A7E" w:rsidRDefault="007145AD">
            <w:pPr>
              <w:spacing w:before="40" w:after="40"/>
            </w:pPr>
            <w:r>
              <w:t>Crypto Equal Weight</w:t>
            </w:r>
          </w:p>
        </w:tc>
        <w:tc>
          <w:tcPr>
            <w:tcW w:w="1328" w:type="dxa"/>
          </w:tcPr>
          <w:p w14:paraId="2E333ED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-17.1%</w:t>
            </w:r>
          </w:p>
        </w:tc>
        <w:tc>
          <w:tcPr>
            <w:tcW w:w="1328" w:type="dxa"/>
          </w:tcPr>
          <w:p w14:paraId="7EFE6F5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71.5%</w:t>
            </w:r>
          </w:p>
        </w:tc>
        <w:tc>
          <w:tcPr>
            <w:tcW w:w="1328" w:type="dxa"/>
          </w:tcPr>
          <w:p w14:paraId="0201F6AF"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0.10</w:t>
            </w:r>
          </w:p>
        </w:tc>
        <w:tc>
          <w:tcPr>
            <w:tcW w:w="1328" w:type="dxa"/>
          </w:tcPr>
          <w:p w14:paraId="20615325"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-76.3%</w:t>
            </w:r>
          </w:p>
        </w:tc>
        <w:tc>
          <w:tcPr>
            <w:tcW w:w="1328" w:type="dxa"/>
          </w:tcPr>
          <w:p w14:paraId="50BF756E"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0.61</w:t>
            </w:r>
          </w:p>
        </w:tc>
        <w:tc>
          <w:tcPr>
            <w:tcW w:w="1328" w:type="dxa"/>
          </w:tcPr>
          <w:p w14:paraId="5C08D64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2023-12-20</w:t>
            </w:r>
          </w:p>
        </w:tc>
      </w:tr>
      <w:tr w:rsidR="000C3A7E" w14:paraId="5C883751"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tcPr>
          <w:p w14:paraId="5F60A798" w14:textId="77777777" w:rsidR="000C3A7E" w:rsidRDefault="007145AD">
            <w:pPr>
              <w:spacing w:before="40" w:after="40"/>
            </w:pPr>
            <w:r>
              <w:t>Crypto Minimum Variance</w:t>
            </w:r>
          </w:p>
        </w:tc>
        <w:tc>
          <w:tcPr>
            <w:tcW w:w="1328" w:type="dxa"/>
          </w:tcPr>
          <w:p w14:paraId="1A0A6430"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7.5%</w:t>
            </w:r>
          </w:p>
        </w:tc>
        <w:tc>
          <w:tcPr>
            <w:tcW w:w="1328" w:type="dxa"/>
          </w:tcPr>
          <w:p w14:paraId="1BB2437B"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64.0%</w:t>
            </w:r>
          </w:p>
        </w:tc>
        <w:tc>
          <w:tcPr>
            <w:tcW w:w="1328" w:type="dxa"/>
          </w:tcPr>
          <w:p w14:paraId="20D3887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0.43</w:t>
            </w:r>
          </w:p>
        </w:tc>
        <w:tc>
          <w:tcPr>
            <w:tcW w:w="1328" w:type="dxa"/>
          </w:tcPr>
          <w:p w14:paraId="6E26512E"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-73.4%</w:t>
            </w:r>
          </w:p>
        </w:tc>
        <w:tc>
          <w:tcPr>
            <w:tcW w:w="1328" w:type="dxa"/>
          </w:tcPr>
          <w:p w14:paraId="4F0554C3"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1.21</w:t>
            </w:r>
          </w:p>
        </w:tc>
        <w:tc>
          <w:tcPr>
            <w:tcW w:w="1328" w:type="dxa"/>
          </w:tcPr>
          <w:p w14:paraId="1A918AD8"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2023-12-20</w:t>
            </w:r>
          </w:p>
        </w:tc>
      </w:tr>
      <w:tr w:rsidR="000C3A7E" w14:paraId="41CA8A56"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tcPr>
          <w:p w14:paraId="70BEF6C3" w14:textId="77777777" w:rsidR="000C3A7E" w:rsidRDefault="007145AD">
            <w:pPr>
              <w:spacing w:before="40" w:after="40"/>
            </w:pPr>
            <w:r>
              <w:t>Crypto Maximum Sharpe</w:t>
            </w:r>
          </w:p>
        </w:tc>
        <w:tc>
          <w:tcPr>
            <w:tcW w:w="1328" w:type="dxa"/>
          </w:tcPr>
          <w:p w14:paraId="690D9CF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-17.8%</w:t>
            </w:r>
          </w:p>
        </w:tc>
        <w:tc>
          <w:tcPr>
            <w:tcW w:w="1328" w:type="dxa"/>
          </w:tcPr>
          <w:p w14:paraId="4A4B689A"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71.1%</w:t>
            </w:r>
          </w:p>
        </w:tc>
        <w:tc>
          <w:tcPr>
            <w:tcW w:w="1328" w:type="dxa"/>
          </w:tcPr>
          <w:p w14:paraId="49F8B09D"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0.08</w:t>
            </w:r>
          </w:p>
        </w:tc>
        <w:tc>
          <w:tcPr>
            <w:tcW w:w="1328" w:type="dxa"/>
          </w:tcPr>
          <w:p w14:paraId="649C5A9D"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-76.0%</w:t>
            </w:r>
          </w:p>
        </w:tc>
        <w:tc>
          <w:tcPr>
            <w:tcW w:w="1328" w:type="dxa"/>
          </w:tcPr>
          <w:p w14:paraId="5D4D223C"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0.60</w:t>
            </w:r>
          </w:p>
        </w:tc>
        <w:tc>
          <w:tcPr>
            <w:tcW w:w="1328" w:type="dxa"/>
          </w:tcPr>
          <w:p w14:paraId="73273288"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2023-12-20</w:t>
            </w:r>
          </w:p>
        </w:tc>
      </w:tr>
      <w:tr w:rsidR="000C3A7E" w14:paraId="196848D2"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tcPr>
          <w:p w14:paraId="1229D3B2" w14:textId="77777777" w:rsidR="000C3A7E" w:rsidRDefault="007145AD">
            <w:pPr>
              <w:spacing w:before="40" w:after="40"/>
            </w:pPr>
            <w:r>
              <w:t>Crypto Risk Parity</w:t>
            </w:r>
          </w:p>
        </w:tc>
        <w:tc>
          <w:tcPr>
            <w:tcW w:w="1328" w:type="dxa"/>
          </w:tcPr>
          <w:p w14:paraId="69AB0DF5"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-13.8%</w:t>
            </w:r>
          </w:p>
        </w:tc>
        <w:tc>
          <w:tcPr>
            <w:tcW w:w="1328" w:type="dxa"/>
          </w:tcPr>
          <w:p w14:paraId="624355FB"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70.0%</w:t>
            </w:r>
          </w:p>
        </w:tc>
        <w:tc>
          <w:tcPr>
            <w:tcW w:w="1328" w:type="dxa"/>
          </w:tcPr>
          <w:p w14:paraId="4C466030"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0.14</w:t>
            </w:r>
          </w:p>
        </w:tc>
        <w:tc>
          <w:tcPr>
            <w:tcW w:w="1328" w:type="dxa"/>
          </w:tcPr>
          <w:p w14:paraId="42E501C1"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-75.9%</w:t>
            </w:r>
          </w:p>
        </w:tc>
        <w:tc>
          <w:tcPr>
            <w:tcW w:w="1328" w:type="dxa"/>
          </w:tcPr>
          <w:p w14:paraId="66812DAA"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0.68</w:t>
            </w:r>
          </w:p>
        </w:tc>
        <w:tc>
          <w:tcPr>
            <w:tcW w:w="1328" w:type="dxa"/>
          </w:tcPr>
          <w:p w14:paraId="04C1C9D3"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2023-12-20</w:t>
            </w:r>
          </w:p>
        </w:tc>
      </w:tr>
      <w:tr w:rsidR="000C3A7E" w14:paraId="7C9D5EAE"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tcPr>
          <w:p w14:paraId="50BE575C" w14:textId="77777777" w:rsidR="000C3A7E" w:rsidRDefault="007145AD">
            <w:pPr>
              <w:spacing w:before="40" w:after="40"/>
            </w:pPr>
            <w:r>
              <w:t>Combined Equal Weight</w:t>
            </w:r>
          </w:p>
        </w:tc>
        <w:tc>
          <w:tcPr>
            <w:tcW w:w="1328" w:type="dxa"/>
          </w:tcPr>
          <w:p w14:paraId="312A51AB"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2.7%</w:t>
            </w:r>
          </w:p>
        </w:tc>
        <w:tc>
          <w:tcPr>
            <w:tcW w:w="1328" w:type="dxa"/>
          </w:tcPr>
          <w:p w14:paraId="3F8BE08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20.9%</w:t>
            </w:r>
          </w:p>
        </w:tc>
        <w:tc>
          <w:tcPr>
            <w:tcW w:w="1328" w:type="dxa"/>
          </w:tcPr>
          <w:p w14:paraId="74310828"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0.23</w:t>
            </w:r>
          </w:p>
        </w:tc>
        <w:tc>
          <w:tcPr>
            <w:tcW w:w="1328" w:type="dxa"/>
          </w:tcPr>
          <w:p w14:paraId="1812EF6E"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-26.9%</w:t>
            </w:r>
          </w:p>
        </w:tc>
        <w:tc>
          <w:tcPr>
            <w:tcW w:w="1328" w:type="dxa"/>
          </w:tcPr>
          <w:p w14:paraId="2977FD0B"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1.05</w:t>
            </w:r>
          </w:p>
        </w:tc>
        <w:tc>
          <w:tcPr>
            <w:tcW w:w="1328" w:type="dxa"/>
          </w:tcPr>
          <w:p w14:paraId="7B335DAB"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2023-12-04</w:t>
            </w:r>
          </w:p>
        </w:tc>
      </w:tr>
      <w:tr w:rsidR="000C3A7E" w14:paraId="0B5FFF6A"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tcPr>
          <w:p w14:paraId="3C463944" w14:textId="77777777" w:rsidR="000C3A7E" w:rsidRDefault="007145AD">
            <w:pPr>
              <w:spacing w:before="40" w:after="40"/>
            </w:pPr>
            <w:r>
              <w:t>Combined Minimum Variance</w:t>
            </w:r>
          </w:p>
        </w:tc>
        <w:tc>
          <w:tcPr>
            <w:tcW w:w="1328" w:type="dxa"/>
          </w:tcPr>
          <w:p w14:paraId="6D0FA983"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1.7%</w:t>
            </w:r>
          </w:p>
        </w:tc>
        <w:tc>
          <w:tcPr>
            <w:tcW w:w="1328" w:type="dxa"/>
          </w:tcPr>
          <w:p w14:paraId="0CE6EF31"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13.6%</w:t>
            </w:r>
          </w:p>
        </w:tc>
        <w:tc>
          <w:tcPr>
            <w:tcW w:w="1328" w:type="dxa"/>
          </w:tcPr>
          <w:p w14:paraId="1272F429"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0.19</w:t>
            </w:r>
          </w:p>
        </w:tc>
        <w:tc>
          <w:tcPr>
            <w:tcW w:w="1328" w:type="dxa"/>
          </w:tcPr>
          <w:p w14:paraId="5F0D75B3"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-16.8%</w:t>
            </w:r>
          </w:p>
        </w:tc>
        <w:tc>
          <w:tcPr>
            <w:tcW w:w="1328" w:type="dxa"/>
          </w:tcPr>
          <w:p w14:paraId="226945B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1.03</w:t>
            </w:r>
          </w:p>
        </w:tc>
        <w:tc>
          <w:tcPr>
            <w:tcW w:w="1328" w:type="dxa"/>
          </w:tcPr>
          <w:p w14:paraId="3BA3863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2023-12-04</w:t>
            </w:r>
          </w:p>
        </w:tc>
      </w:tr>
      <w:tr w:rsidR="000C3A7E" w14:paraId="384FA7D4"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tcPr>
          <w:p w14:paraId="7CD6316A" w14:textId="77777777" w:rsidR="000C3A7E" w:rsidRDefault="007145AD">
            <w:pPr>
              <w:spacing w:before="40" w:after="40"/>
            </w:pPr>
            <w:r>
              <w:t>Combined Maximum Sharpe</w:t>
            </w:r>
          </w:p>
        </w:tc>
        <w:tc>
          <w:tcPr>
            <w:tcW w:w="1328" w:type="dxa"/>
          </w:tcPr>
          <w:p w14:paraId="40329A48"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-7.3%</w:t>
            </w:r>
          </w:p>
        </w:tc>
        <w:tc>
          <w:tcPr>
            <w:tcW w:w="1328" w:type="dxa"/>
          </w:tcPr>
          <w:p w14:paraId="70558FD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20.0%</w:t>
            </w:r>
          </w:p>
        </w:tc>
        <w:tc>
          <w:tcPr>
            <w:tcW w:w="1328" w:type="dxa"/>
          </w:tcPr>
          <w:p w14:paraId="1D7C73EA"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-0.28</w:t>
            </w:r>
          </w:p>
        </w:tc>
        <w:tc>
          <w:tcPr>
            <w:tcW w:w="1328" w:type="dxa"/>
          </w:tcPr>
          <w:p w14:paraId="4A77AA0E"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-29.2%</w:t>
            </w:r>
          </w:p>
        </w:tc>
        <w:tc>
          <w:tcPr>
            <w:tcW w:w="1328" w:type="dxa"/>
          </w:tcPr>
          <w:p w14:paraId="6BC3B0F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0.86</w:t>
            </w:r>
          </w:p>
        </w:tc>
        <w:tc>
          <w:tcPr>
            <w:tcW w:w="1328" w:type="dxa"/>
          </w:tcPr>
          <w:p w14:paraId="4D6860A0"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2023-12-04</w:t>
            </w:r>
          </w:p>
        </w:tc>
      </w:tr>
      <w:tr w:rsidR="000C3A7E" w14:paraId="2718EF85"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tcPr>
          <w:p w14:paraId="62E6315A" w14:textId="77777777" w:rsidR="000C3A7E" w:rsidRDefault="007145AD">
            <w:pPr>
              <w:spacing w:before="40" w:after="40"/>
            </w:pPr>
            <w:r>
              <w:t>Combined Risk Parity</w:t>
            </w:r>
          </w:p>
        </w:tc>
        <w:tc>
          <w:tcPr>
            <w:tcW w:w="1328" w:type="dxa"/>
          </w:tcPr>
          <w:p w14:paraId="34003285"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2.5%</w:t>
            </w:r>
          </w:p>
        </w:tc>
        <w:tc>
          <w:tcPr>
            <w:tcW w:w="1328" w:type="dxa"/>
          </w:tcPr>
          <w:p w14:paraId="069EF694"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17.0%</w:t>
            </w:r>
          </w:p>
        </w:tc>
        <w:tc>
          <w:tcPr>
            <w:tcW w:w="1328" w:type="dxa"/>
          </w:tcPr>
          <w:p w14:paraId="1B665293"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0.23</w:t>
            </w:r>
          </w:p>
        </w:tc>
        <w:tc>
          <w:tcPr>
            <w:tcW w:w="1328" w:type="dxa"/>
          </w:tcPr>
          <w:p w14:paraId="3F7A9DD4"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-21.5%</w:t>
            </w:r>
          </w:p>
        </w:tc>
        <w:tc>
          <w:tcPr>
            <w:tcW w:w="1328" w:type="dxa"/>
          </w:tcPr>
          <w:p w14:paraId="5E05B258"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1.05</w:t>
            </w:r>
          </w:p>
        </w:tc>
        <w:tc>
          <w:tcPr>
            <w:tcW w:w="1328" w:type="dxa"/>
          </w:tcPr>
          <w:p w14:paraId="1B97BC21"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2023-12-04</w:t>
            </w:r>
          </w:p>
        </w:tc>
      </w:tr>
      <w:tr w:rsidR="000C3A7E" w14:paraId="538F61B1"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tcPr>
          <w:p w14:paraId="02A97745" w14:textId="77777777" w:rsidR="000C3A7E" w:rsidRDefault="007145AD">
            <w:pPr>
              <w:spacing w:before="40" w:after="40"/>
            </w:pPr>
            <w:r>
              <w:t>Equity Equal Weight + Sentiment</w:t>
            </w:r>
          </w:p>
        </w:tc>
        <w:tc>
          <w:tcPr>
            <w:tcW w:w="1328" w:type="dxa"/>
          </w:tcPr>
          <w:p w14:paraId="3A513D27"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5.9%</w:t>
            </w:r>
          </w:p>
        </w:tc>
        <w:tc>
          <w:tcPr>
            <w:tcW w:w="1328" w:type="dxa"/>
          </w:tcPr>
          <w:p w14:paraId="59A3C5A7"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17.7%</w:t>
            </w:r>
          </w:p>
        </w:tc>
        <w:tc>
          <w:tcPr>
            <w:tcW w:w="1328" w:type="dxa"/>
          </w:tcPr>
          <w:p w14:paraId="7AE28942"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0.41</w:t>
            </w:r>
          </w:p>
        </w:tc>
        <w:tc>
          <w:tcPr>
            <w:tcW w:w="1328" w:type="dxa"/>
          </w:tcPr>
          <w:p w14:paraId="5FB890E7"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-20.2%</w:t>
            </w:r>
          </w:p>
        </w:tc>
        <w:tc>
          <w:tcPr>
            <w:tcW w:w="1328" w:type="dxa"/>
          </w:tcPr>
          <w:p w14:paraId="469BC55C"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1.12</w:t>
            </w:r>
          </w:p>
        </w:tc>
        <w:tc>
          <w:tcPr>
            <w:tcW w:w="1328" w:type="dxa"/>
          </w:tcPr>
          <w:p w14:paraId="60EF334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2023-12-04</w:t>
            </w:r>
          </w:p>
        </w:tc>
      </w:tr>
      <w:tr w:rsidR="000C3A7E" w14:paraId="13EA3F37"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tcPr>
          <w:p w14:paraId="3EA3ABE7" w14:textId="77777777" w:rsidR="000C3A7E" w:rsidRDefault="007145AD">
            <w:pPr>
              <w:spacing w:before="40" w:after="40"/>
            </w:pPr>
            <w:r>
              <w:t xml:space="preserve">Equity </w:t>
            </w:r>
            <w:r>
              <w:lastRenderedPageBreak/>
              <w:t>Minimum Variance + Sentiment</w:t>
            </w:r>
          </w:p>
        </w:tc>
        <w:tc>
          <w:tcPr>
            <w:tcW w:w="1328" w:type="dxa"/>
          </w:tcPr>
          <w:p w14:paraId="28068646"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lastRenderedPageBreak/>
              <w:t>3.0%</w:t>
            </w:r>
          </w:p>
        </w:tc>
        <w:tc>
          <w:tcPr>
            <w:tcW w:w="1328" w:type="dxa"/>
          </w:tcPr>
          <w:p w14:paraId="1D59FE9A"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13.4%</w:t>
            </w:r>
          </w:p>
        </w:tc>
        <w:tc>
          <w:tcPr>
            <w:tcW w:w="1328" w:type="dxa"/>
          </w:tcPr>
          <w:p w14:paraId="20892540"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0.29</w:t>
            </w:r>
          </w:p>
        </w:tc>
        <w:tc>
          <w:tcPr>
            <w:tcW w:w="1328" w:type="dxa"/>
          </w:tcPr>
          <w:p w14:paraId="4866D0C8"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-16.5%</w:t>
            </w:r>
          </w:p>
        </w:tc>
        <w:tc>
          <w:tcPr>
            <w:tcW w:w="1328" w:type="dxa"/>
          </w:tcPr>
          <w:p w14:paraId="2B645BE7"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1.06</w:t>
            </w:r>
          </w:p>
        </w:tc>
        <w:tc>
          <w:tcPr>
            <w:tcW w:w="1328" w:type="dxa"/>
          </w:tcPr>
          <w:p w14:paraId="44267F30"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2023-12-04</w:t>
            </w:r>
          </w:p>
        </w:tc>
      </w:tr>
    </w:tbl>
    <w:p w14:paraId="1C87CE3D" w14:textId="76A20FC0" w:rsidR="000C3A7E" w:rsidRDefault="007145AD">
      <w:pPr>
        <w:pStyle w:val="Caption"/>
      </w:pPr>
      <w:r>
        <w:t>Table A1. Fact-sheet metrics per fund (</w:t>
      </w:r>
      <w:r w:rsidR="003E5420">
        <w:t>annualized</w:t>
      </w:r>
      <w:r>
        <w:t>). Source: results/tables/fact_sheets.csv. Current top-10 holdings per fund are in results/data/fund_holdings.csv and rendered in the app.</w:t>
      </w:r>
    </w:p>
    <w:p w14:paraId="20FFC8E9" w14:textId="77777777" w:rsidR="000C3A7E" w:rsidRDefault="000C3A7E"/>
    <w:p w14:paraId="0FCB68D1" w14:textId="77777777" w:rsidR="000C3A7E" w:rsidRDefault="007145AD">
      <w:pPr>
        <w:pStyle w:val="Heading1"/>
      </w:pPr>
      <w:bookmarkStart w:id="19" w:name="_Toc236931803"/>
      <w:r>
        <w:t>Appendix B - Turnover and transaction-cost model</w:t>
      </w:r>
      <w:bookmarkEnd w:id="19"/>
    </w:p>
    <w:tbl>
      <w:tblPr>
        <w:tblStyle w:val="LightGrid-Accent1"/>
        <w:tblW w:w="0" w:type="auto"/>
        <w:jc w:val="center"/>
        <w:tblLook w:val="04A0" w:firstRow="1" w:lastRow="0" w:firstColumn="1" w:lastColumn="0" w:noHBand="0" w:noVBand="1"/>
      </w:tblPr>
      <w:tblGrid>
        <w:gridCol w:w="1550"/>
        <w:gridCol w:w="1550"/>
        <w:gridCol w:w="1550"/>
        <w:gridCol w:w="1550"/>
        <w:gridCol w:w="1550"/>
        <w:gridCol w:w="1550"/>
      </w:tblGrid>
      <w:tr w:rsidR="000C3A7E" w14:paraId="281A3E59" w14:textId="77777777" w:rsidTr="000C3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0980C90F" w14:textId="77777777" w:rsidR="000C3A7E" w:rsidRDefault="007145AD">
            <w:pPr>
              <w:spacing w:before="40" w:after="40"/>
            </w:pPr>
            <w:r>
              <w:t>Fund</w:t>
            </w:r>
          </w:p>
        </w:tc>
        <w:tc>
          <w:tcPr>
            <w:tcW w:w="1550" w:type="dxa"/>
          </w:tcPr>
          <w:p w14:paraId="2CAE0198"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Avg turnover / rebal.</w:t>
            </w:r>
          </w:p>
        </w:tc>
        <w:tc>
          <w:tcPr>
            <w:tcW w:w="1550" w:type="dxa"/>
          </w:tcPr>
          <w:p w14:paraId="2A7FE017" w14:textId="25E751AB" w:rsidR="000C3A7E" w:rsidRDefault="003E5420">
            <w:pPr>
              <w:spacing w:before="40" w:after="40"/>
              <w:cnfStyle w:val="100000000000" w:firstRow="1" w:lastRow="0" w:firstColumn="0" w:lastColumn="0" w:oddVBand="0" w:evenVBand="0" w:oddHBand="0" w:evenHBand="0" w:firstRowFirstColumn="0" w:firstRowLastColumn="0" w:lastRowFirstColumn="0" w:lastRowLastColumn="0"/>
            </w:pPr>
            <w:r>
              <w:t>Annualized</w:t>
            </w:r>
            <w:r w:rsidR="007145AD">
              <w:t xml:space="preserve"> turnover</w:t>
            </w:r>
          </w:p>
        </w:tc>
        <w:tc>
          <w:tcPr>
            <w:tcW w:w="1550" w:type="dxa"/>
          </w:tcPr>
          <w:p w14:paraId="06C48ADB"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Est. cost p.a.</w:t>
            </w:r>
          </w:p>
        </w:tc>
        <w:tc>
          <w:tcPr>
            <w:tcW w:w="1550" w:type="dxa"/>
          </w:tcPr>
          <w:p w14:paraId="3D0FA563"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Gross return p.a.</w:t>
            </w:r>
          </w:p>
        </w:tc>
        <w:tc>
          <w:tcPr>
            <w:tcW w:w="1550" w:type="dxa"/>
          </w:tcPr>
          <w:p w14:paraId="1C4898CA"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Net return p.a.</w:t>
            </w:r>
          </w:p>
        </w:tc>
      </w:tr>
      <w:tr w:rsidR="000C3A7E" w14:paraId="18761381"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11D6A251" w14:textId="77777777" w:rsidR="000C3A7E" w:rsidRDefault="007145AD">
            <w:pPr>
              <w:spacing w:before="40" w:after="40"/>
            </w:pPr>
            <w:r>
              <w:t>Combined Equal Weight</w:t>
            </w:r>
          </w:p>
        </w:tc>
        <w:tc>
          <w:tcPr>
            <w:tcW w:w="1550" w:type="dxa"/>
          </w:tcPr>
          <w:p w14:paraId="721DC9ED"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0.000</w:t>
            </w:r>
          </w:p>
        </w:tc>
        <w:tc>
          <w:tcPr>
            <w:tcW w:w="1550" w:type="dxa"/>
          </w:tcPr>
          <w:p w14:paraId="7BD8746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0.000</w:t>
            </w:r>
          </w:p>
        </w:tc>
        <w:tc>
          <w:tcPr>
            <w:tcW w:w="1550" w:type="dxa"/>
          </w:tcPr>
          <w:p w14:paraId="39F624BA"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0.00%</w:t>
            </w:r>
          </w:p>
        </w:tc>
        <w:tc>
          <w:tcPr>
            <w:tcW w:w="1550" w:type="dxa"/>
          </w:tcPr>
          <w:p w14:paraId="32EBCBE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2.7%</w:t>
            </w:r>
          </w:p>
        </w:tc>
        <w:tc>
          <w:tcPr>
            <w:tcW w:w="1550" w:type="dxa"/>
          </w:tcPr>
          <w:p w14:paraId="1AFA8968"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2.7%</w:t>
            </w:r>
          </w:p>
        </w:tc>
      </w:tr>
      <w:tr w:rsidR="000C3A7E" w14:paraId="034F1672"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04D70299" w14:textId="77777777" w:rsidR="000C3A7E" w:rsidRDefault="007145AD">
            <w:pPr>
              <w:spacing w:before="40" w:after="40"/>
            </w:pPr>
            <w:r>
              <w:t>Combined Maximum Sharpe</w:t>
            </w:r>
          </w:p>
        </w:tc>
        <w:tc>
          <w:tcPr>
            <w:tcW w:w="1550" w:type="dxa"/>
          </w:tcPr>
          <w:p w14:paraId="478B6D0A"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0.377</w:t>
            </w:r>
          </w:p>
        </w:tc>
        <w:tc>
          <w:tcPr>
            <w:tcW w:w="1550" w:type="dxa"/>
          </w:tcPr>
          <w:p w14:paraId="4AE30115"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4.522</w:t>
            </w:r>
          </w:p>
        </w:tc>
        <w:tc>
          <w:tcPr>
            <w:tcW w:w="1550" w:type="dxa"/>
          </w:tcPr>
          <w:p w14:paraId="01AD646A"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45.22%</w:t>
            </w:r>
          </w:p>
        </w:tc>
        <w:tc>
          <w:tcPr>
            <w:tcW w:w="1550" w:type="dxa"/>
          </w:tcPr>
          <w:p w14:paraId="73F1EB8E"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-7.3%</w:t>
            </w:r>
          </w:p>
        </w:tc>
        <w:tc>
          <w:tcPr>
            <w:tcW w:w="1550" w:type="dxa"/>
          </w:tcPr>
          <w:p w14:paraId="22E6978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-52.5%</w:t>
            </w:r>
          </w:p>
        </w:tc>
      </w:tr>
      <w:tr w:rsidR="000C3A7E" w14:paraId="2AA7C741"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0C1CBA15" w14:textId="77777777" w:rsidR="000C3A7E" w:rsidRDefault="007145AD">
            <w:pPr>
              <w:spacing w:before="40" w:after="40"/>
            </w:pPr>
            <w:r>
              <w:t>Combined Minimum Variance</w:t>
            </w:r>
          </w:p>
        </w:tc>
        <w:tc>
          <w:tcPr>
            <w:tcW w:w="1550" w:type="dxa"/>
          </w:tcPr>
          <w:p w14:paraId="451B609E"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0.129</w:t>
            </w:r>
          </w:p>
        </w:tc>
        <w:tc>
          <w:tcPr>
            <w:tcW w:w="1550" w:type="dxa"/>
          </w:tcPr>
          <w:p w14:paraId="4656659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1.549</w:t>
            </w:r>
          </w:p>
        </w:tc>
        <w:tc>
          <w:tcPr>
            <w:tcW w:w="1550" w:type="dxa"/>
          </w:tcPr>
          <w:p w14:paraId="7B83C7A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15.49%</w:t>
            </w:r>
          </w:p>
        </w:tc>
        <w:tc>
          <w:tcPr>
            <w:tcW w:w="1550" w:type="dxa"/>
          </w:tcPr>
          <w:p w14:paraId="098FA9FD"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1.7%</w:t>
            </w:r>
          </w:p>
        </w:tc>
        <w:tc>
          <w:tcPr>
            <w:tcW w:w="1550" w:type="dxa"/>
          </w:tcPr>
          <w:p w14:paraId="677911AB"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-13.8%</w:t>
            </w:r>
          </w:p>
        </w:tc>
      </w:tr>
      <w:tr w:rsidR="000C3A7E" w14:paraId="59B9CD9F"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0193E54E" w14:textId="77777777" w:rsidR="000C3A7E" w:rsidRDefault="007145AD">
            <w:pPr>
              <w:spacing w:before="40" w:after="40"/>
            </w:pPr>
            <w:r>
              <w:t>Combined Risk Parity</w:t>
            </w:r>
          </w:p>
        </w:tc>
        <w:tc>
          <w:tcPr>
            <w:tcW w:w="1550" w:type="dxa"/>
          </w:tcPr>
          <w:p w14:paraId="21D088E6"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0.024</w:t>
            </w:r>
          </w:p>
        </w:tc>
        <w:tc>
          <w:tcPr>
            <w:tcW w:w="1550" w:type="dxa"/>
          </w:tcPr>
          <w:p w14:paraId="5820B5CC"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0.283</w:t>
            </w:r>
          </w:p>
        </w:tc>
        <w:tc>
          <w:tcPr>
            <w:tcW w:w="1550" w:type="dxa"/>
          </w:tcPr>
          <w:p w14:paraId="79EB3B1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2.83%</w:t>
            </w:r>
          </w:p>
        </w:tc>
        <w:tc>
          <w:tcPr>
            <w:tcW w:w="1550" w:type="dxa"/>
          </w:tcPr>
          <w:p w14:paraId="50460F88"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2.5%</w:t>
            </w:r>
          </w:p>
        </w:tc>
        <w:tc>
          <w:tcPr>
            <w:tcW w:w="1550" w:type="dxa"/>
          </w:tcPr>
          <w:p w14:paraId="2ACEC720"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-0.4%</w:t>
            </w:r>
          </w:p>
        </w:tc>
      </w:tr>
      <w:tr w:rsidR="000C3A7E" w14:paraId="0DB8D721"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4812330A" w14:textId="77777777" w:rsidR="000C3A7E" w:rsidRDefault="007145AD">
            <w:pPr>
              <w:spacing w:before="40" w:after="40"/>
            </w:pPr>
            <w:r>
              <w:t>Crypto Equal Weight</w:t>
            </w:r>
          </w:p>
        </w:tc>
        <w:tc>
          <w:tcPr>
            <w:tcW w:w="1550" w:type="dxa"/>
          </w:tcPr>
          <w:p w14:paraId="7D3CDE25"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0.000</w:t>
            </w:r>
          </w:p>
        </w:tc>
        <w:tc>
          <w:tcPr>
            <w:tcW w:w="1550" w:type="dxa"/>
          </w:tcPr>
          <w:p w14:paraId="232337A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0.000</w:t>
            </w:r>
          </w:p>
        </w:tc>
        <w:tc>
          <w:tcPr>
            <w:tcW w:w="1550" w:type="dxa"/>
          </w:tcPr>
          <w:p w14:paraId="191A4E58"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0.00%</w:t>
            </w:r>
          </w:p>
        </w:tc>
        <w:tc>
          <w:tcPr>
            <w:tcW w:w="1550" w:type="dxa"/>
          </w:tcPr>
          <w:p w14:paraId="213C4F8D"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-17.1%</w:t>
            </w:r>
          </w:p>
        </w:tc>
        <w:tc>
          <w:tcPr>
            <w:tcW w:w="1550" w:type="dxa"/>
          </w:tcPr>
          <w:p w14:paraId="21C495F0"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-17.1%</w:t>
            </w:r>
          </w:p>
        </w:tc>
      </w:tr>
      <w:tr w:rsidR="000C3A7E" w14:paraId="6C50B195"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0721D6A6" w14:textId="77777777" w:rsidR="000C3A7E" w:rsidRDefault="007145AD">
            <w:pPr>
              <w:spacing w:before="40" w:after="40"/>
            </w:pPr>
            <w:r>
              <w:t>Crypto Maximum Sharpe</w:t>
            </w:r>
          </w:p>
        </w:tc>
        <w:tc>
          <w:tcPr>
            <w:tcW w:w="1550" w:type="dxa"/>
          </w:tcPr>
          <w:p w14:paraId="3834409F"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0.331</w:t>
            </w:r>
          </w:p>
        </w:tc>
        <w:tc>
          <w:tcPr>
            <w:tcW w:w="1550" w:type="dxa"/>
          </w:tcPr>
          <w:p w14:paraId="479FF4F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3.975</w:t>
            </w:r>
          </w:p>
        </w:tc>
        <w:tc>
          <w:tcPr>
            <w:tcW w:w="1550" w:type="dxa"/>
          </w:tcPr>
          <w:p w14:paraId="5E84B1F1"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39.75%</w:t>
            </w:r>
          </w:p>
        </w:tc>
        <w:tc>
          <w:tcPr>
            <w:tcW w:w="1550" w:type="dxa"/>
          </w:tcPr>
          <w:p w14:paraId="23AB5613"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-17.8%</w:t>
            </w:r>
          </w:p>
        </w:tc>
        <w:tc>
          <w:tcPr>
            <w:tcW w:w="1550" w:type="dxa"/>
          </w:tcPr>
          <w:p w14:paraId="7F11E37A"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-57.6%</w:t>
            </w:r>
          </w:p>
        </w:tc>
      </w:tr>
      <w:tr w:rsidR="000C3A7E" w14:paraId="21655402"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6EB9A17B" w14:textId="77777777" w:rsidR="000C3A7E" w:rsidRDefault="007145AD">
            <w:pPr>
              <w:spacing w:before="40" w:after="40"/>
            </w:pPr>
            <w:r>
              <w:t>Crypto Minimum Variance</w:t>
            </w:r>
          </w:p>
        </w:tc>
        <w:tc>
          <w:tcPr>
            <w:tcW w:w="1550" w:type="dxa"/>
          </w:tcPr>
          <w:p w14:paraId="6274CB5E"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0.078</w:t>
            </w:r>
          </w:p>
        </w:tc>
        <w:tc>
          <w:tcPr>
            <w:tcW w:w="1550" w:type="dxa"/>
          </w:tcPr>
          <w:p w14:paraId="35AAAD57"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0.936</w:t>
            </w:r>
          </w:p>
        </w:tc>
        <w:tc>
          <w:tcPr>
            <w:tcW w:w="1550" w:type="dxa"/>
          </w:tcPr>
          <w:p w14:paraId="6FC8B46D"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9.36%</w:t>
            </w:r>
          </w:p>
        </w:tc>
        <w:tc>
          <w:tcPr>
            <w:tcW w:w="1550" w:type="dxa"/>
          </w:tcPr>
          <w:p w14:paraId="01BEA0EE"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7.5%</w:t>
            </w:r>
          </w:p>
        </w:tc>
        <w:tc>
          <w:tcPr>
            <w:tcW w:w="1550" w:type="dxa"/>
          </w:tcPr>
          <w:p w14:paraId="09306A2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-1.9%</w:t>
            </w:r>
          </w:p>
        </w:tc>
      </w:tr>
      <w:tr w:rsidR="000C3A7E" w14:paraId="48ABB1D0"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4754822B" w14:textId="77777777" w:rsidR="000C3A7E" w:rsidRDefault="007145AD">
            <w:pPr>
              <w:spacing w:before="40" w:after="40"/>
            </w:pPr>
            <w:r>
              <w:t>Crypto Risk Parity</w:t>
            </w:r>
          </w:p>
        </w:tc>
        <w:tc>
          <w:tcPr>
            <w:tcW w:w="1550" w:type="dxa"/>
          </w:tcPr>
          <w:p w14:paraId="10129815"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0.012</w:t>
            </w:r>
          </w:p>
        </w:tc>
        <w:tc>
          <w:tcPr>
            <w:tcW w:w="1550" w:type="dxa"/>
          </w:tcPr>
          <w:p w14:paraId="3461215D"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0.140</w:t>
            </w:r>
          </w:p>
        </w:tc>
        <w:tc>
          <w:tcPr>
            <w:tcW w:w="1550" w:type="dxa"/>
          </w:tcPr>
          <w:p w14:paraId="0D49CE6C"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1.40%</w:t>
            </w:r>
          </w:p>
        </w:tc>
        <w:tc>
          <w:tcPr>
            <w:tcW w:w="1550" w:type="dxa"/>
          </w:tcPr>
          <w:p w14:paraId="6380AC58"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-13.8%</w:t>
            </w:r>
          </w:p>
        </w:tc>
        <w:tc>
          <w:tcPr>
            <w:tcW w:w="1550" w:type="dxa"/>
          </w:tcPr>
          <w:p w14:paraId="5A60A520"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-15.2%</w:t>
            </w:r>
          </w:p>
        </w:tc>
      </w:tr>
      <w:tr w:rsidR="000C3A7E" w14:paraId="208D79D7"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7DD155B2" w14:textId="77777777" w:rsidR="000C3A7E" w:rsidRDefault="007145AD">
            <w:pPr>
              <w:spacing w:before="40" w:after="40"/>
            </w:pPr>
            <w:r>
              <w:t>Equity Equal Weight</w:t>
            </w:r>
          </w:p>
        </w:tc>
        <w:tc>
          <w:tcPr>
            <w:tcW w:w="1550" w:type="dxa"/>
          </w:tcPr>
          <w:p w14:paraId="62D1856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0.000</w:t>
            </w:r>
          </w:p>
        </w:tc>
        <w:tc>
          <w:tcPr>
            <w:tcW w:w="1550" w:type="dxa"/>
          </w:tcPr>
          <w:p w14:paraId="1AF77E1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0.000</w:t>
            </w:r>
          </w:p>
        </w:tc>
        <w:tc>
          <w:tcPr>
            <w:tcW w:w="1550" w:type="dxa"/>
          </w:tcPr>
          <w:p w14:paraId="23ACD847"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0.00%</w:t>
            </w:r>
          </w:p>
        </w:tc>
        <w:tc>
          <w:tcPr>
            <w:tcW w:w="1550" w:type="dxa"/>
          </w:tcPr>
          <w:p w14:paraId="38F1DDCE"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6.0%</w:t>
            </w:r>
          </w:p>
        </w:tc>
        <w:tc>
          <w:tcPr>
            <w:tcW w:w="1550" w:type="dxa"/>
          </w:tcPr>
          <w:p w14:paraId="31D702A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6.0%</w:t>
            </w:r>
          </w:p>
        </w:tc>
      </w:tr>
      <w:tr w:rsidR="000C3A7E" w14:paraId="6CBD070F"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6E87F748" w14:textId="77777777" w:rsidR="000C3A7E" w:rsidRDefault="007145AD">
            <w:pPr>
              <w:spacing w:before="40" w:after="40"/>
            </w:pPr>
            <w:r>
              <w:t>Equity Maximum Sharpe</w:t>
            </w:r>
          </w:p>
        </w:tc>
        <w:tc>
          <w:tcPr>
            <w:tcW w:w="1550" w:type="dxa"/>
          </w:tcPr>
          <w:p w14:paraId="71267E9D"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0.329</w:t>
            </w:r>
          </w:p>
        </w:tc>
        <w:tc>
          <w:tcPr>
            <w:tcW w:w="1550" w:type="dxa"/>
          </w:tcPr>
          <w:p w14:paraId="6CD437CE"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3.951</w:t>
            </w:r>
          </w:p>
        </w:tc>
        <w:tc>
          <w:tcPr>
            <w:tcW w:w="1550" w:type="dxa"/>
          </w:tcPr>
          <w:p w14:paraId="246DD3E5"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39.51%</w:t>
            </w:r>
          </w:p>
        </w:tc>
        <w:tc>
          <w:tcPr>
            <w:tcW w:w="1550" w:type="dxa"/>
          </w:tcPr>
          <w:p w14:paraId="2466CDFC"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-1.4%</w:t>
            </w:r>
          </w:p>
        </w:tc>
        <w:tc>
          <w:tcPr>
            <w:tcW w:w="1550" w:type="dxa"/>
          </w:tcPr>
          <w:p w14:paraId="16F91591"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-40.9%</w:t>
            </w:r>
          </w:p>
        </w:tc>
      </w:tr>
      <w:tr w:rsidR="000C3A7E" w14:paraId="55CF06B9"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2AC4AACF" w14:textId="77777777" w:rsidR="000C3A7E" w:rsidRDefault="007145AD">
            <w:pPr>
              <w:spacing w:before="40" w:after="40"/>
            </w:pPr>
            <w:r>
              <w:t>Equity Minimum Variance</w:t>
            </w:r>
          </w:p>
        </w:tc>
        <w:tc>
          <w:tcPr>
            <w:tcW w:w="1550" w:type="dxa"/>
          </w:tcPr>
          <w:p w14:paraId="55D9917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0.139</w:t>
            </w:r>
          </w:p>
        </w:tc>
        <w:tc>
          <w:tcPr>
            <w:tcW w:w="1550" w:type="dxa"/>
          </w:tcPr>
          <w:p w14:paraId="16ADE935"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1.662</w:t>
            </w:r>
          </w:p>
        </w:tc>
        <w:tc>
          <w:tcPr>
            <w:tcW w:w="1550" w:type="dxa"/>
          </w:tcPr>
          <w:p w14:paraId="28D85678"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16.62%</w:t>
            </w:r>
          </w:p>
        </w:tc>
        <w:tc>
          <w:tcPr>
            <w:tcW w:w="1550" w:type="dxa"/>
          </w:tcPr>
          <w:p w14:paraId="0E7A06A0"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2.6%</w:t>
            </w:r>
          </w:p>
        </w:tc>
        <w:tc>
          <w:tcPr>
            <w:tcW w:w="1550" w:type="dxa"/>
          </w:tcPr>
          <w:p w14:paraId="7A5CD11C"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-14.0%</w:t>
            </w:r>
          </w:p>
        </w:tc>
      </w:tr>
      <w:tr w:rsidR="000C3A7E" w14:paraId="5224D323"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0241C240" w14:textId="77777777" w:rsidR="000C3A7E" w:rsidRDefault="007145AD">
            <w:pPr>
              <w:spacing w:before="40" w:after="40"/>
            </w:pPr>
            <w:r>
              <w:t>Equity Risk Parity</w:t>
            </w:r>
          </w:p>
        </w:tc>
        <w:tc>
          <w:tcPr>
            <w:tcW w:w="1550" w:type="dxa"/>
          </w:tcPr>
          <w:p w14:paraId="2FC5B8F7"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0.022</w:t>
            </w:r>
          </w:p>
        </w:tc>
        <w:tc>
          <w:tcPr>
            <w:tcW w:w="1550" w:type="dxa"/>
          </w:tcPr>
          <w:p w14:paraId="4F55998C"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0.265</w:t>
            </w:r>
          </w:p>
        </w:tc>
        <w:tc>
          <w:tcPr>
            <w:tcW w:w="1550" w:type="dxa"/>
          </w:tcPr>
          <w:p w14:paraId="21F07B15"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2.65%</w:t>
            </w:r>
          </w:p>
        </w:tc>
        <w:tc>
          <w:tcPr>
            <w:tcW w:w="1550" w:type="dxa"/>
          </w:tcPr>
          <w:p w14:paraId="21AEABB3"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3.2%</w:t>
            </w:r>
          </w:p>
        </w:tc>
        <w:tc>
          <w:tcPr>
            <w:tcW w:w="1550" w:type="dxa"/>
          </w:tcPr>
          <w:p w14:paraId="44FDA80D"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0.6%</w:t>
            </w:r>
          </w:p>
        </w:tc>
      </w:tr>
    </w:tbl>
    <w:p w14:paraId="69C4CC70" w14:textId="77777777" w:rsidR="000C3A7E" w:rsidRDefault="007145AD">
      <w:pPr>
        <w:pStyle w:val="Caption"/>
      </w:pPr>
      <w:r>
        <w:t>Table B1. One-way turnover at each rebalance and the 10-bps one-sided cost model. Source: results/tables/turnover.csv.</w:t>
      </w:r>
    </w:p>
    <w:p w14:paraId="3DE3E604" w14:textId="77777777" w:rsidR="000C3A7E" w:rsidRDefault="000C3A7E"/>
    <w:p w14:paraId="6AFBEE8F" w14:textId="77777777" w:rsidR="000C3A7E" w:rsidRDefault="007145AD">
      <w:pPr>
        <w:pStyle w:val="Heading1"/>
      </w:pPr>
      <w:bookmarkStart w:id="20" w:name="_Toc236931804"/>
      <w:r>
        <w:t>Appendix C - Fusion kappa sensitivity</w:t>
      </w:r>
      <w:bookmarkEnd w:id="20"/>
    </w:p>
    <w:tbl>
      <w:tblPr>
        <w:tblStyle w:val="LightGrid-Accent1"/>
        <w:tblW w:w="0" w:type="auto"/>
        <w:jc w:val="center"/>
        <w:tblLook w:val="04A0" w:firstRow="1" w:lastRow="0" w:firstColumn="1" w:lastColumn="0" w:noHBand="0" w:noVBand="1"/>
      </w:tblPr>
      <w:tblGrid>
        <w:gridCol w:w="1550"/>
        <w:gridCol w:w="1550"/>
        <w:gridCol w:w="1550"/>
        <w:gridCol w:w="1550"/>
        <w:gridCol w:w="1550"/>
        <w:gridCol w:w="1550"/>
      </w:tblGrid>
      <w:tr w:rsidR="000C3A7E" w14:paraId="40338EC8" w14:textId="77777777" w:rsidTr="000C3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5DFBCC3F" w14:textId="77777777" w:rsidR="000C3A7E" w:rsidRDefault="007145AD">
            <w:pPr>
              <w:spacing w:before="40" w:after="40"/>
            </w:pPr>
            <w:r>
              <w:t>Base fund</w:t>
            </w:r>
          </w:p>
        </w:tc>
        <w:tc>
          <w:tcPr>
            <w:tcW w:w="1550" w:type="dxa"/>
          </w:tcPr>
          <w:p w14:paraId="1FD78719"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Kappa</w:t>
            </w:r>
          </w:p>
        </w:tc>
        <w:tc>
          <w:tcPr>
            <w:tcW w:w="1550" w:type="dxa"/>
          </w:tcPr>
          <w:p w14:paraId="2A668760"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Sharpe</w:t>
            </w:r>
          </w:p>
        </w:tc>
        <w:tc>
          <w:tcPr>
            <w:tcW w:w="1550" w:type="dxa"/>
          </w:tcPr>
          <w:p w14:paraId="3A6437AE"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Ann. return</w:t>
            </w:r>
          </w:p>
        </w:tc>
        <w:tc>
          <w:tcPr>
            <w:tcW w:w="1550" w:type="dxa"/>
          </w:tcPr>
          <w:p w14:paraId="31B8E4D4"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Ann. vol</w:t>
            </w:r>
          </w:p>
        </w:tc>
        <w:tc>
          <w:tcPr>
            <w:tcW w:w="1550" w:type="dxa"/>
          </w:tcPr>
          <w:p w14:paraId="1D2F71F5"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Max drawdown</w:t>
            </w:r>
          </w:p>
        </w:tc>
      </w:tr>
      <w:tr w:rsidR="000C3A7E" w14:paraId="209319A9"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14F97323" w14:textId="77777777" w:rsidR="000C3A7E" w:rsidRDefault="007145AD">
            <w:pPr>
              <w:spacing w:before="40" w:after="40"/>
            </w:pPr>
            <w:r>
              <w:t>Equity Equal Weight</w:t>
            </w:r>
          </w:p>
        </w:tc>
        <w:tc>
          <w:tcPr>
            <w:tcW w:w="1550" w:type="dxa"/>
          </w:tcPr>
          <w:p w14:paraId="40C2CF72"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0.5</w:t>
            </w:r>
          </w:p>
        </w:tc>
        <w:tc>
          <w:tcPr>
            <w:tcW w:w="1550" w:type="dxa"/>
          </w:tcPr>
          <w:p w14:paraId="0C9D1811"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0.41</w:t>
            </w:r>
          </w:p>
        </w:tc>
        <w:tc>
          <w:tcPr>
            <w:tcW w:w="1550" w:type="dxa"/>
          </w:tcPr>
          <w:p w14:paraId="01B0FAE1"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5.9%</w:t>
            </w:r>
          </w:p>
        </w:tc>
        <w:tc>
          <w:tcPr>
            <w:tcW w:w="1550" w:type="dxa"/>
          </w:tcPr>
          <w:p w14:paraId="7D952DC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17.7%</w:t>
            </w:r>
          </w:p>
        </w:tc>
        <w:tc>
          <w:tcPr>
            <w:tcW w:w="1550" w:type="dxa"/>
          </w:tcPr>
          <w:p w14:paraId="5F0A134B"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-20.3%</w:t>
            </w:r>
          </w:p>
        </w:tc>
      </w:tr>
      <w:tr w:rsidR="000C3A7E" w14:paraId="5BA82F20"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464C3412" w14:textId="77777777" w:rsidR="000C3A7E" w:rsidRDefault="007145AD">
            <w:pPr>
              <w:spacing w:before="40" w:after="40"/>
            </w:pPr>
            <w:r>
              <w:t>Equity Equal Weight</w:t>
            </w:r>
          </w:p>
        </w:tc>
        <w:tc>
          <w:tcPr>
            <w:tcW w:w="1550" w:type="dxa"/>
          </w:tcPr>
          <w:p w14:paraId="747681E9"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1.0</w:t>
            </w:r>
          </w:p>
        </w:tc>
        <w:tc>
          <w:tcPr>
            <w:tcW w:w="1550" w:type="dxa"/>
          </w:tcPr>
          <w:p w14:paraId="0162ACA7"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0.41</w:t>
            </w:r>
          </w:p>
        </w:tc>
        <w:tc>
          <w:tcPr>
            <w:tcW w:w="1550" w:type="dxa"/>
          </w:tcPr>
          <w:p w14:paraId="41863073"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5.9%</w:t>
            </w:r>
          </w:p>
        </w:tc>
        <w:tc>
          <w:tcPr>
            <w:tcW w:w="1550" w:type="dxa"/>
          </w:tcPr>
          <w:p w14:paraId="53FD84F1"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17.7%</w:t>
            </w:r>
          </w:p>
        </w:tc>
        <w:tc>
          <w:tcPr>
            <w:tcW w:w="1550" w:type="dxa"/>
          </w:tcPr>
          <w:p w14:paraId="3FE1FCB3"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-20.2%</w:t>
            </w:r>
          </w:p>
        </w:tc>
      </w:tr>
      <w:tr w:rsidR="000C3A7E" w14:paraId="2753899E"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5E24BF22" w14:textId="77777777" w:rsidR="000C3A7E" w:rsidRDefault="007145AD">
            <w:pPr>
              <w:spacing w:before="40" w:after="40"/>
            </w:pPr>
            <w:r>
              <w:t>Equity Equal Weight</w:t>
            </w:r>
          </w:p>
        </w:tc>
        <w:tc>
          <w:tcPr>
            <w:tcW w:w="1550" w:type="dxa"/>
          </w:tcPr>
          <w:p w14:paraId="42C5536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w:t>
            </w:r>
          </w:p>
        </w:tc>
        <w:tc>
          <w:tcPr>
            <w:tcW w:w="1550" w:type="dxa"/>
          </w:tcPr>
          <w:p w14:paraId="271D0D9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0.41</w:t>
            </w:r>
          </w:p>
        </w:tc>
        <w:tc>
          <w:tcPr>
            <w:tcW w:w="1550" w:type="dxa"/>
          </w:tcPr>
          <w:p w14:paraId="209EAFF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5.9%</w:t>
            </w:r>
          </w:p>
        </w:tc>
        <w:tc>
          <w:tcPr>
            <w:tcW w:w="1550" w:type="dxa"/>
          </w:tcPr>
          <w:p w14:paraId="02D1A8B2"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17.6%</w:t>
            </w:r>
          </w:p>
        </w:tc>
        <w:tc>
          <w:tcPr>
            <w:tcW w:w="1550" w:type="dxa"/>
          </w:tcPr>
          <w:p w14:paraId="404161D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-20.1%</w:t>
            </w:r>
          </w:p>
        </w:tc>
      </w:tr>
      <w:tr w:rsidR="000C3A7E" w14:paraId="213D2C70"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4AD33D54" w14:textId="77777777" w:rsidR="000C3A7E" w:rsidRDefault="007145AD">
            <w:pPr>
              <w:spacing w:before="40" w:after="40"/>
            </w:pPr>
            <w:r>
              <w:t>Equity Equal Weight</w:t>
            </w:r>
          </w:p>
        </w:tc>
        <w:tc>
          <w:tcPr>
            <w:tcW w:w="1550" w:type="dxa"/>
          </w:tcPr>
          <w:p w14:paraId="24E48B9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3.0</w:t>
            </w:r>
          </w:p>
        </w:tc>
        <w:tc>
          <w:tcPr>
            <w:tcW w:w="1550" w:type="dxa"/>
          </w:tcPr>
          <w:p w14:paraId="6ECB2186"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0.41</w:t>
            </w:r>
          </w:p>
        </w:tc>
        <w:tc>
          <w:tcPr>
            <w:tcW w:w="1550" w:type="dxa"/>
          </w:tcPr>
          <w:p w14:paraId="01D2087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5.8%</w:t>
            </w:r>
          </w:p>
        </w:tc>
        <w:tc>
          <w:tcPr>
            <w:tcW w:w="1550" w:type="dxa"/>
          </w:tcPr>
          <w:p w14:paraId="719AAD24"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17.6%</w:t>
            </w:r>
          </w:p>
        </w:tc>
        <w:tc>
          <w:tcPr>
            <w:tcW w:w="1550" w:type="dxa"/>
          </w:tcPr>
          <w:p w14:paraId="55F132F8"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-19.9%</w:t>
            </w:r>
          </w:p>
        </w:tc>
      </w:tr>
      <w:tr w:rsidR="000C3A7E" w14:paraId="566DF04A"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42DE7E15" w14:textId="77777777" w:rsidR="000C3A7E" w:rsidRDefault="007145AD">
            <w:pPr>
              <w:spacing w:before="40" w:after="40"/>
            </w:pPr>
            <w:r>
              <w:t>Equity Minimum Variance</w:t>
            </w:r>
          </w:p>
        </w:tc>
        <w:tc>
          <w:tcPr>
            <w:tcW w:w="1550" w:type="dxa"/>
          </w:tcPr>
          <w:p w14:paraId="6C97CAB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0.5</w:t>
            </w:r>
          </w:p>
        </w:tc>
        <w:tc>
          <w:tcPr>
            <w:tcW w:w="1550" w:type="dxa"/>
          </w:tcPr>
          <w:p w14:paraId="16489537"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0.27</w:t>
            </w:r>
          </w:p>
        </w:tc>
        <w:tc>
          <w:tcPr>
            <w:tcW w:w="1550" w:type="dxa"/>
          </w:tcPr>
          <w:p w14:paraId="79912470"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2.7%</w:t>
            </w:r>
          </w:p>
        </w:tc>
        <w:tc>
          <w:tcPr>
            <w:tcW w:w="1550" w:type="dxa"/>
          </w:tcPr>
          <w:p w14:paraId="502FC523"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13.4%</w:t>
            </w:r>
          </w:p>
        </w:tc>
        <w:tc>
          <w:tcPr>
            <w:tcW w:w="1550" w:type="dxa"/>
          </w:tcPr>
          <w:p w14:paraId="53AAB1A5"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-16.5%</w:t>
            </w:r>
          </w:p>
        </w:tc>
      </w:tr>
      <w:tr w:rsidR="000C3A7E" w14:paraId="770108C3"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52A82F8F" w14:textId="77777777" w:rsidR="000C3A7E" w:rsidRDefault="007145AD">
            <w:pPr>
              <w:spacing w:before="40" w:after="40"/>
            </w:pPr>
            <w:r>
              <w:t>Equity Minimum Variance</w:t>
            </w:r>
          </w:p>
        </w:tc>
        <w:tc>
          <w:tcPr>
            <w:tcW w:w="1550" w:type="dxa"/>
          </w:tcPr>
          <w:p w14:paraId="19355146"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1.0</w:t>
            </w:r>
          </w:p>
        </w:tc>
        <w:tc>
          <w:tcPr>
            <w:tcW w:w="1550" w:type="dxa"/>
          </w:tcPr>
          <w:p w14:paraId="2D7BB97B"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0.29</w:t>
            </w:r>
          </w:p>
        </w:tc>
        <w:tc>
          <w:tcPr>
            <w:tcW w:w="1550" w:type="dxa"/>
          </w:tcPr>
          <w:p w14:paraId="7E876F5C"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3.0%</w:t>
            </w:r>
          </w:p>
        </w:tc>
        <w:tc>
          <w:tcPr>
            <w:tcW w:w="1550" w:type="dxa"/>
          </w:tcPr>
          <w:p w14:paraId="2CC807CC"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13.4%</w:t>
            </w:r>
          </w:p>
        </w:tc>
        <w:tc>
          <w:tcPr>
            <w:tcW w:w="1550" w:type="dxa"/>
          </w:tcPr>
          <w:p w14:paraId="10DFDBD4"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-16.5%</w:t>
            </w:r>
          </w:p>
        </w:tc>
      </w:tr>
      <w:tr w:rsidR="000C3A7E" w14:paraId="266742B6"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7DBA1C3E" w14:textId="77777777" w:rsidR="000C3A7E" w:rsidRDefault="007145AD">
            <w:pPr>
              <w:spacing w:before="40" w:after="40"/>
            </w:pPr>
            <w:r>
              <w:t>Equity Minimum Variance</w:t>
            </w:r>
          </w:p>
        </w:tc>
        <w:tc>
          <w:tcPr>
            <w:tcW w:w="1550" w:type="dxa"/>
          </w:tcPr>
          <w:p w14:paraId="67DA7D05"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w:t>
            </w:r>
          </w:p>
        </w:tc>
        <w:tc>
          <w:tcPr>
            <w:tcW w:w="1550" w:type="dxa"/>
          </w:tcPr>
          <w:p w14:paraId="43FB047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0.30</w:t>
            </w:r>
          </w:p>
        </w:tc>
        <w:tc>
          <w:tcPr>
            <w:tcW w:w="1550" w:type="dxa"/>
          </w:tcPr>
          <w:p w14:paraId="0FE6B59A"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3.1%</w:t>
            </w:r>
          </w:p>
        </w:tc>
        <w:tc>
          <w:tcPr>
            <w:tcW w:w="1550" w:type="dxa"/>
          </w:tcPr>
          <w:p w14:paraId="20D1982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13.3%</w:t>
            </w:r>
          </w:p>
        </w:tc>
        <w:tc>
          <w:tcPr>
            <w:tcW w:w="1550" w:type="dxa"/>
          </w:tcPr>
          <w:p w14:paraId="23C70DC0"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-16.5%</w:t>
            </w:r>
          </w:p>
        </w:tc>
      </w:tr>
      <w:tr w:rsidR="000C3A7E" w14:paraId="415FCD3F"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6277104A" w14:textId="77777777" w:rsidR="000C3A7E" w:rsidRDefault="007145AD">
            <w:pPr>
              <w:spacing w:before="40" w:after="40"/>
            </w:pPr>
            <w:r>
              <w:t>Equity Minimum Variance</w:t>
            </w:r>
          </w:p>
        </w:tc>
        <w:tc>
          <w:tcPr>
            <w:tcW w:w="1550" w:type="dxa"/>
          </w:tcPr>
          <w:p w14:paraId="0CB8CE5D"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3.0</w:t>
            </w:r>
          </w:p>
        </w:tc>
        <w:tc>
          <w:tcPr>
            <w:tcW w:w="1550" w:type="dxa"/>
          </w:tcPr>
          <w:p w14:paraId="28D17358"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0.28</w:t>
            </w:r>
          </w:p>
        </w:tc>
        <w:tc>
          <w:tcPr>
            <w:tcW w:w="1550" w:type="dxa"/>
          </w:tcPr>
          <w:p w14:paraId="0642BB3B"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2.8%</w:t>
            </w:r>
          </w:p>
        </w:tc>
        <w:tc>
          <w:tcPr>
            <w:tcW w:w="1550" w:type="dxa"/>
          </w:tcPr>
          <w:p w14:paraId="49158C1E"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13.3%</w:t>
            </w:r>
          </w:p>
        </w:tc>
        <w:tc>
          <w:tcPr>
            <w:tcW w:w="1550" w:type="dxa"/>
          </w:tcPr>
          <w:p w14:paraId="5AAD31E4"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-16.7%</w:t>
            </w:r>
          </w:p>
        </w:tc>
      </w:tr>
    </w:tbl>
    <w:p w14:paraId="1351C66D" w14:textId="77777777" w:rsidR="000C3A7E" w:rsidRDefault="007145AD">
      <w:pPr>
        <w:pStyle w:val="Caption"/>
      </w:pPr>
      <w:r>
        <w:t>Table C1. Sentiment-tilt strength sweep for the two equity funds. Source: results/tables/fusion_kappa_sensitivity.csv.</w:t>
      </w:r>
    </w:p>
    <w:p w14:paraId="43360396" w14:textId="77777777" w:rsidR="000C3A7E" w:rsidRDefault="000C3A7E"/>
    <w:p w14:paraId="0A346FFB" w14:textId="77777777" w:rsidR="000C3A7E" w:rsidRDefault="007145AD">
      <w:pPr>
        <w:pStyle w:val="Heading1"/>
      </w:pPr>
      <w:bookmarkStart w:id="21" w:name="_Toc236931805"/>
      <w:r>
        <w:t>Appendix D - News attention vs forward volatility</w:t>
      </w:r>
      <w:bookmarkEnd w:id="21"/>
    </w:p>
    <w:tbl>
      <w:tblPr>
        <w:tblStyle w:val="LightGrid-Accent1"/>
        <w:tblW w:w="0" w:type="auto"/>
        <w:jc w:val="center"/>
        <w:tblLook w:val="04A0" w:firstRow="1" w:lastRow="0" w:firstColumn="1" w:lastColumn="0" w:noHBand="0" w:noVBand="1"/>
      </w:tblPr>
      <w:tblGrid>
        <w:gridCol w:w="3099"/>
        <w:gridCol w:w="3099"/>
        <w:gridCol w:w="3099"/>
      </w:tblGrid>
      <w:tr w:rsidR="000C3A7E" w14:paraId="34634B1F" w14:textId="77777777" w:rsidTr="000C3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99" w:type="dxa"/>
          </w:tcPr>
          <w:p w14:paraId="18B8A589" w14:textId="77777777" w:rsidR="000C3A7E" w:rsidRDefault="007145AD">
            <w:pPr>
              <w:spacing w:before="40" w:after="40"/>
            </w:pPr>
            <w:r>
              <w:t>Sector</w:t>
            </w:r>
          </w:p>
        </w:tc>
        <w:tc>
          <w:tcPr>
            <w:tcW w:w="3099" w:type="dxa"/>
          </w:tcPr>
          <w:p w14:paraId="7EB338D4"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Ticker-days</w:t>
            </w:r>
          </w:p>
        </w:tc>
        <w:tc>
          <w:tcPr>
            <w:tcW w:w="3099" w:type="dxa"/>
          </w:tcPr>
          <w:p w14:paraId="3C9828D5"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Spearman rho</w:t>
            </w:r>
          </w:p>
        </w:tc>
      </w:tr>
      <w:tr w:rsidR="000C3A7E" w14:paraId="22E05316"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99" w:type="dxa"/>
          </w:tcPr>
          <w:p w14:paraId="6045B2A3" w14:textId="77777777" w:rsidR="000C3A7E" w:rsidRDefault="007145AD">
            <w:pPr>
              <w:spacing w:before="40" w:after="40"/>
            </w:pPr>
            <w:r>
              <w:t>Comm</w:t>
            </w:r>
          </w:p>
        </w:tc>
        <w:tc>
          <w:tcPr>
            <w:tcW w:w="3099" w:type="dxa"/>
          </w:tcPr>
          <w:p w14:paraId="6CE2F0E7"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4936</w:t>
            </w:r>
          </w:p>
        </w:tc>
        <w:tc>
          <w:tcPr>
            <w:tcW w:w="3099" w:type="dxa"/>
          </w:tcPr>
          <w:p w14:paraId="5940B80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-0.04</w:t>
            </w:r>
          </w:p>
        </w:tc>
      </w:tr>
      <w:tr w:rsidR="000C3A7E" w14:paraId="1FF4724E"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99" w:type="dxa"/>
          </w:tcPr>
          <w:p w14:paraId="12E04079" w14:textId="77777777" w:rsidR="000C3A7E" w:rsidRDefault="007145AD">
            <w:pPr>
              <w:spacing w:before="40" w:after="40"/>
            </w:pPr>
            <w:r>
              <w:t>Consumer</w:t>
            </w:r>
          </w:p>
        </w:tc>
        <w:tc>
          <w:tcPr>
            <w:tcW w:w="3099" w:type="dxa"/>
          </w:tcPr>
          <w:p w14:paraId="40160E64"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4994</w:t>
            </w:r>
          </w:p>
        </w:tc>
        <w:tc>
          <w:tcPr>
            <w:tcW w:w="3099" w:type="dxa"/>
          </w:tcPr>
          <w:p w14:paraId="2932E128"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0.06</w:t>
            </w:r>
          </w:p>
        </w:tc>
      </w:tr>
      <w:tr w:rsidR="000C3A7E" w14:paraId="4474A170"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99" w:type="dxa"/>
          </w:tcPr>
          <w:p w14:paraId="7FD1EBB4" w14:textId="77777777" w:rsidR="000C3A7E" w:rsidRDefault="007145AD">
            <w:pPr>
              <w:spacing w:before="40" w:after="40"/>
            </w:pPr>
            <w:r>
              <w:t>Energy</w:t>
            </w:r>
          </w:p>
        </w:tc>
        <w:tc>
          <w:tcPr>
            <w:tcW w:w="3099" w:type="dxa"/>
          </w:tcPr>
          <w:p w14:paraId="334C62A2"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4962</w:t>
            </w:r>
          </w:p>
        </w:tc>
        <w:tc>
          <w:tcPr>
            <w:tcW w:w="3099" w:type="dxa"/>
          </w:tcPr>
          <w:p w14:paraId="1470BFA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-0.20</w:t>
            </w:r>
          </w:p>
        </w:tc>
      </w:tr>
      <w:tr w:rsidR="000C3A7E" w14:paraId="127E06B2"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99" w:type="dxa"/>
          </w:tcPr>
          <w:p w14:paraId="49621BA1" w14:textId="77777777" w:rsidR="000C3A7E" w:rsidRDefault="007145AD">
            <w:pPr>
              <w:spacing w:before="40" w:after="40"/>
            </w:pPr>
            <w:r>
              <w:t>Financials</w:t>
            </w:r>
          </w:p>
        </w:tc>
        <w:tc>
          <w:tcPr>
            <w:tcW w:w="3099" w:type="dxa"/>
          </w:tcPr>
          <w:p w14:paraId="53CAD670"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4972</w:t>
            </w:r>
          </w:p>
        </w:tc>
        <w:tc>
          <w:tcPr>
            <w:tcW w:w="3099" w:type="dxa"/>
          </w:tcPr>
          <w:p w14:paraId="2791768F"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-0.04</w:t>
            </w:r>
          </w:p>
        </w:tc>
      </w:tr>
      <w:tr w:rsidR="000C3A7E" w14:paraId="4A084C7A"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99" w:type="dxa"/>
          </w:tcPr>
          <w:p w14:paraId="07D39DBB" w14:textId="77777777" w:rsidR="000C3A7E" w:rsidRDefault="007145AD">
            <w:pPr>
              <w:spacing w:before="40" w:after="40"/>
            </w:pPr>
            <w:r>
              <w:t>Healthcare</w:t>
            </w:r>
          </w:p>
        </w:tc>
        <w:tc>
          <w:tcPr>
            <w:tcW w:w="3099" w:type="dxa"/>
          </w:tcPr>
          <w:p w14:paraId="5C56B1D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4989</w:t>
            </w:r>
          </w:p>
        </w:tc>
        <w:tc>
          <w:tcPr>
            <w:tcW w:w="3099" w:type="dxa"/>
          </w:tcPr>
          <w:p w14:paraId="04F1C467"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0.03</w:t>
            </w:r>
          </w:p>
        </w:tc>
      </w:tr>
      <w:tr w:rsidR="000C3A7E" w14:paraId="19E4725E"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99" w:type="dxa"/>
          </w:tcPr>
          <w:p w14:paraId="3B6AD2D7" w14:textId="77777777" w:rsidR="000C3A7E" w:rsidRDefault="007145AD">
            <w:pPr>
              <w:spacing w:before="40" w:after="40"/>
            </w:pPr>
            <w:r>
              <w:t>Industrials</w:t>
            </w:r>
          </w:p>
        </w:tc>
        <w:tc>
          <w:tcPr>
            <w:tcW w:w="3099" w:type="dxa"/>
          </w:tcPr>
          <w:p w14:paraId="0C2758E0"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4547</w:t>
            </w:r>
          </w:p>
        </w:tc>
        <w:tc>
          <w:tcPr>
            <w:tcW w:w="3099" w:type="dxa"/>
          </w:tcPr>
          <w:p w14:paraId="5C8949E3"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0.18</w:t>
            </w:r>
          </w:p>
        </w:tc>
      </w:tr>
      <w:tr w:rsidR="000C3A7E" w14:paraId="3CCC9C5D"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99" w:type="dxa"/>
          </w:tcPr>
          <w:p w14:paraId="6C043F03" w14:textId="77777777" w:rsidR="000C3A7E" w:rsidRDefault="007145AD">
            <w:pPr>
              <w:spacing w:before="40" w:after="40"/>
            </w:pPr>
            <w:r>
              <w:t>Materials</w:t>
            </w:r>
          </w:p>
        </w:tc>
        <w:tc>
          <w:tcPr>
            <w:tcW w:w="3099" w:type="dxa"/>
          </w:tcPr>
          <w:p w14:paraId="79F23F23"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4688</w:t>
            </w:r>
          </w:p>
        </w:tc>
        <w:tc>
          <w:tcPr>
            <w:tcW w:w="3099" w:type="dxa"/>
          </w:tcPr>
          <w:p w14:paraId="5D6D1507"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0.13</w:t>
            </w:r>
          </w:p>
        </w:tc>
      </w:tr>
      <w:tr w:rsidR="000C3A7E" w14:paraId="1AF2D307"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99" w:type="dxa"/>
          </w:tcPr>
          <w:p w14:paraId="10976811" w14:textId="77777777" w:rsidR="000C3A7E" w:rsidRDefault="007145AD">
            <w:pPr>
              <w:spacing w:before="40" w:after="40"/>
            </w:pPr>
            <w:r>
              <w:t>RealEstate</w:t>
            </w:r>
          </w:p>
        </w:tc>
        <w:tc>
          <w:tcPr>
            <w:tcW w:w="3099" w:type="dxa"/>
          </w:tcPr>
          <w:p w14:paraId="1B800435"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4673</w:t>
            </w:r>
          </w:p>
        </w:tc>
        <w:tc>
          <w:tcPr>
            <w:tcW w:w="3099" w:type="dxa"/>
          </w:tcPr>
          <w:p w14:paraId="192E294B"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0.11</w:t>
            </w:r>
          </w:p>
        </w:tc>
      </w:tr>
      <w:tr w:rsidR="000C3A7E" w14:paraId="5196D052"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99" w:type="dxa"/>
          </w:tcPr>
          <w:p w14:paraId="70967088" w14:textId="77777777" w:rsidR="000C3A7E" w:rsidRDefault="007145AD">
            <w:pPr>
              <w:spacing w:before="40" w:after="40"/>
            </w:pPr>
            <w:r>
              <w:t>Tech</w:t>
            </w:r>
          </w:p>
        </w:tc>
        <w:tc>
          <w:tcPr>
            <w:tcW w:w="3099" w:type="dxa"/>
          </w:tcPr>
          <w:p w14:paraId="56680C10"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4693</w:t>
            </w:r>
          </w:p>
        </w:tc>
        <w:tc>
          <w:tcPr>
            <w:tcW w:w="3099" w:type="dxa"/>
          </w:tcPr>
          <w:p w14:paraId="70A3A8FC"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0.16</w:t>
            </w:r>
          </w:p>
        </w:tc>
      </w:tr>
      <w:tr w:rsidR="000C3A7E" w14:paraId="54BE37F5"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99" w:type="dxa"/>
          </w:tcPr>
          <w:p w14:paraId="21C2AE89" w14:textId="77777777" w:rsidR="000C3A7E" w:rsidRDefault="007145AD">
            <w:pPr>
              <w:spacing w:before="40" w:after="40"/>
            </w:pPr>
            <w:r>
              <w:lastRenderedPageBreak/>
              <w:t>Utilities</w:t>
            </w:r>
          </w:p>
        </w:tc>
        <w:tc>
          <w:tcPr>
            <w:tcW w:w="3099" w:type="dxa"/>
          </w:tcPr>
          <w:p w14:paraId="44AE81F4"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4726</w:t>
            </w:r>
          </w:p>
        </w:tc>
        <w:tc>
          <w:tcPr>
            <w:tcW w:w="3099" w:type="dxa"/>
          </w:tcPr>
          <w:p w14:paraId="75BC52B7"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0.20</w:t>
            </w:r>
          </w:p>
        </w:tc>
      </w:tr>
    </w:tbl>
    <w:p w14:paraId="2075870D" w14:textId="23B5FDC3" w:rsidR="000C3A7E" w:rsidRDefault="007145AD">
      <w:pPr>
        <w:pStyle w:val="Caption"/>
      </w:pPr>
      <w:r>
        <w:t xml:space="preserve">Table D1. Sector-level Spearman correlation between lagged news attention (trailing 5-day headline count) and forward 5-day </w:t>
      </w:r>
      <w:r w:rsidR="003E5420">
        <w:t>realized</w:t>
      </w:r>
      <w:r>
        <w:t xml:space="preserve"> volatility. Source: results/tables/news_volume_volatility_correlation.csv.</w:t>
      </w:r>
    </w:p>
    <w:p w14:paraId="57CAB76B" w14:textId="77777777" w:rsidR="000C3A7E" w:rsidRDefault="000C3A7E"/>
    <w:tbl>
      <w:tblPr>
        <w:tblStyle w:val="LightGrid-Accent1"/>
        <w:tblW w:w="0" w:type="auto"/>
        <w:jc w:val="center"/>
        <w:tblLook w:val="04A0" w:firstRow="1" w:lastRow="0" w:firstColumn="1" w:lastColumn="0" w:noHBand="0" w:noVBand="1"/>
      </w:tblPr>
      <w:tblGrid>
        <w:gridCol w:w="1550"/>
        <w:gridCol w:w="1550"/>
        <w:gridCol w:w="1550"/>
        <w:gridCol w:w="1550"/>
        <w:gridCol w:w="1550"/>
        <w:gridCol w:w="1550"/>
      </w:tblGrid>
      <w:tr w:rsidR="000C3A7E" w14:paraId="34D48435" w14:textId="77777777" w:rsidTr="000C3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16EB5878" w14:textId="77777777" w:rsidR="000C3A7E" w:rsidRDefault="007145AD">
            <w:pPr>
              <w:spacing w:before="40" w:after="40"/>
            </w:pPr>
            <w:r>
              <w:t>Sector</w:t>
            </w:r>
          </w:p>
        </w:tc>
        <w:tc>
          <w:tcPr>
            <w:tcW w:w="1550" w:type="dxa"/>
          </w:tcPr>
          <w:p w14:paraId="5DADA9D7"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Q1 vol</w:t>
            </w:r>
          </w:p>
        </w:tc>
        <w:tc>
          <w:tcPr>
            <w:tcW w:w="1550" w:type="dxa"/>
          </w:tcPr>
          <w:p w14:paraId="6A598A6C"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Q2 vol</w:t>
            </w:r>
          </w:p>
        </w:tc>
        <w:tc>
          <w:tcPr>
            <w:tcW w:w="1550" w:type="dxa"/>
          </w:tcPr>
          <w:p w14:paraId="082051F7"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Q3 vol</w:t>
            </w:r>
          </w:p>
        </w:tc>
        <w:tc>
          <w:tcPr>
            <w:tcW w:w="1550" w:type="dxa"/>
          </w:tcPr>
          <w:p w14:paraId="5AF52674"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Q4 vol</w:t>
            </w:r>
          </w:p>
        </w:tc>
        <w:tc>
          <w:tcPr>
            <w:tcW w:w="1550" w:type="dxa"/>
          </w:tcPr>
          <w:p w14:paraId="09D1130D" w14:textId="77777777" w:rsidR="000C3A7E" w:rsidRDefault="007145AD">
            <w:pPr>
              <w:spacing w:before="40" w:after="40"/>
              <w:cnfStyle w:val="100000000000" w:firstRow="1" w:lastRow="0" w:firstColumn="0" w:lastColumn="0" w:oddVBand="0" w:evenVBand="0" w:oddHBand="0" w:evenHBand="0" w:firstRowFirstColumn="0" w:firstRowLastColumn="0" w:lastRowFirstColumn="0" w:lastRowLastColumn="0"/>
            </w:pPr>
            <w:r>
              <w:t>Q5 vol</w:t>
            </w:r>
          </w:p>
        </w:tc>
      </w:tr>
      <w:tr w:rsidR="000C3A7E" w14:paraId="5C1970D1"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57E0BEB8" w14:textId="77777777" w:rsidR="000C3A7E" w:rsidRDefault="007145AD">
            <w:pPr>
              <w:spacing w:before="40" w:after="40"/>
            </w:pPr>
            <w:r>
              <w:t>Comm</w:t>
            </w:r>
          </w:p>
        </w:tc>
        <w:tc>
          <w:tcPr>
            <w:tcW w:w="1550" w:type="dxa"/>
          </w:tcPr>
          <w:p w14:paraId="64016E0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25.8%</w:t>
            </w:r>
          </w:p>
        </w:tc>
        <w:tc>
          <w:tcPr>
            <w:tcW w:w="1550" w:type="dxa"/>
          </w:tcPr>
          <w:p w14:paraId="25E73D4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25.6%</w:t>
            </w:r>
          </w:p>
        </w:tc>
        <w:tc>
          <w:tcPr>
            <w:tcW w:w="1550" w:type="dxa"/>
          </w:tcPr>
          <w:p w14:paraId="3326260E"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24.5%</w:t>
            </w:r>
          </w:p>
        </w:tc>
        <w:tc>
          <w:tcPr>
            <w:tcW w:w="1550" w:type="dxa"/>
          </w:tcPr>
          <w:p w14:paraId="598EC472"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26.0%</w:t>
            </w:r>
          </w:p>
        </w:tc>
        <w:tc>
          <w:tcPr>
            <w:tcW w:w="1550" w:type="dxa"/>
          </w:tcPr>
          <w:p w14:paraId="55132FB1"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24.0%</w:t>
            </w:r>
          </w:p>
        </w:tc>
      </w:tr>
      <w:tr w:rsidR="000C3A7E" w14:paraId="01A8CAE6"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5709E1C2" w14:textId="77777777" w:rsidR="000C3A7E" w:rsidRDefault="007145AD">
            <w:pPr>
              <w:spacing w:before="40" w:after="40"/>
            </w:pPr>
            <w:r>
              <w:t>Consumer</w:t>
            </w:r>
          </w:p>
        </w:tc>
        <w:tc>
          <w:tcPr>
            <w:tcW w:w="1550" w:type="dxa"/>
          </w:tcPr>
          <w:p w14:paraId="3126B588"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21.1%</w:t>
            </w:r>
          </w:p>
        </w:tc>
        <w:tc>
          <w:tcPr>
            <w:tcW w:w="1550" w:type="dxa"/>
          </w:tcPr>
          <w:p w14:paraId="350EE505"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23.4%</w:t>
            </w:r>
          </w:p>
        </w:tc>
        <w:tc>
          <w:tcPr>
            <w:tcW w:w="1550" w:type="dxa"/>
          </w:tcPr>
          <w:p w14:paraId="1774B6A7"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22.9%</w:t>
            </w:r>
          </w:p>
        </w:tc>
        <w:tc>
          <w:tcPr>
            <w:tcW w:w="1550" w:type="dxa"/>
          </w:tcPr>
          <w:p w14:paraId="738FE33B"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24.0%</w:t>
            </w:r>
          </w:p>
        </w:tc>
        <w:tc>
          <w:tcPr>
            <w:tcW w:w="1550" w:type="dxa"/>
          </w:tcPr>
          <w:p w14:paraId="720D41F8"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25.7%</w:t>
            </w:r>
          </w:p>
        </w:tc>
      </w:tr>
      <w:tr w:rsidR="000C3A7E" w14:paraId="686EDE8F"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437C7A26" w14:textId="77777777" w:rsidR="000C3A7E" w:rsidRDefault="007145AD">
            <w:pPr>
              <w:spacing w:before="40" w:after="40"/>
            </w:pPr>
            <w:r>
              <w:t>Energy</w:t>
            </w:r>
          </w:p>
        </w:tc>
        <w:tc>
          <w:tcPr>
            <w:tcW w:w="1550" w:type="dxa"/>
          </w:tcPr>
          <w:p w14:paraId="1966DE2C"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42.6%</w:t>
            </w:r>
          </w:p>
        </w:tc>
        <w:tc>
          <w:tcPr>
            <w:tcW w:w="1550" w:type="dxa"/>
          </w:tcPr>
          <w:p w14:paraId="1A65FF2D"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43.6%</w:t>
            </w:r>
          </w:p>
        </w:tc>
        <w:tc>
          <w:tcPr>
            <w:tcW w:w="1550" w:type="dxa"/>
          </w:tcPr>
          <w:p w14:paraId="55FB15DF"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41.9%</w:t>
            </w:r>
          </w:p>
        </w:tc>
        <w:tc>
          <w:tcPr>
            <w:tcW w:w="1550" w:type="dxa"/>
          </w:tcPr>
          <w:p w14:paraId="1C82F28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40.7%</w:t>
            </w:r>
          </w:p>
        </w:tc>
        <w:tc>
          <w:tcPr>
            <w:tcW w:w="1550" w:type="dxa"/>
          </w:tcPr>
          <w:p w14:paraId="669E7802"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37.2%</w:t>
            </w:r>
          </w:p>
        </w:tc>
      </w:tr>
      <w:tr w:rsidR="000C3A7E" w14:paraId="4BF231A9"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005CFB21" w14:textId="77777777" w:rsidR="000C3A7E" w:rsidRDefault="007145AD">
            <w:pPr>
              <w:spacing w:before="40" w:after="40"/>
            </w:pPr>
            <w:r>
              <w:t>Financials</w:t>
            </w:r>
          </w:p>
        </w:tc>
        <w:tc>
          <w:tcPr>
            <w:tcW w:w="1550" w:type="dxa"/>
          </w:tcPr>
          <w:p w14:paraId="0A1AD90A"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26.7%</w:t>
            </w:r>
          </w:p>
        </w:tc>
        <w:tc>
          <w:tcPr>
            <w:tcW w:w="1550" w:type="dxa"/>
          </w:tcPr>
          <w:p w14:paraId="43050304"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30.9%</w:t>
            </w:r>
          </w:p>
        </w:tc>
        <w:tc>
          <w:tcPr>
            <w:tcW w:w="1550" w:type="dxa"/>
          </w:tcPr>
          <w:p w14:paraId="32518304"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31.9%</w:t>
            </w:r>
          </w:p>
        </w:tc>
        <w:tc>
          <w:tcPr>
            <w:tcW w:w="1550" w:type="dxa"/>
          </w:tcPr>
          <w:p w14:paraId="7C1C0173"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30.6%</w:t>
            </w:r>
          </w:p>
        </w:tc>
        <w:tc>
          <w:tcPr>
            <w:tcW w:w="1550" w:type="dxa"/>
          </w:tcPr>
          <w:p w14:paraId="5970802D"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28.6%</w:t>
            </w:r>
          </w:p>
        </w:tc>
      </w:tr>
      <w:tr w:rsidR="000C3A7E" w14:paraId="431A62F1"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25680F24" w14:textId="77777777" w:rsidR="000C3A7E" w:rsidRDefault="007145AD">
            <w:pPr>
              <w:spacing w:before="40" w:after="40"/>
            </w:pPr>
            <w:r>
              <w:t>Healthcare</w:t>
            </w:r>
          </w:p>
        </w:tc>
        <w:tc>
          <w:tcPr>
            <w:tcW w:w="1550" w:type="dxa"/>
          </w:tcPr>
          <w:p w14:paraId="24199D6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21.7%</w:t>
            </w:r>
          </w:p>
        </w:tc>
        <w:tc>
          <w:tcPr>
            <w:tcW w:w="1550" w:type="dxa"/>
          </w:tcPr>
          <w:p w14:paraId="05B7B97B"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21.6%</w:t>
            </w:r>
          </w:p>
        </w:tc>
        <w:tc>
          <w:tcPr>
            <w:tcW w:w="1550" w:type="dxa"/>
          </w:tcPr>
          <w:p w14:paraId="74536757"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20.9%</w:t>
            </w:r>
          </w:p>
        </w:tc>
        <w:tc>
          <w:tcPr>
            <w:tcW w:w="1550" w:type="dxa"/>
          </w:tcPr>
          <w:p w14:paraId="3EB075A2"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21.0%</w:t>
            </w:r>
          </w:p>
        </w:tc>
        <w:tc>
          <w:tcPr>
            <w:tcW w:w="1550" w:type="dxa"/>
          </w:tcPr>
          <w:p w14:paraId="129D999A"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24.9%</w:t>
            </w:r>
          </w:p>
        </w:tc>
      </w:tr>
      <w:tr w:rsidR="000C3A7E" w14:paraId="01F2DA94"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665281A7" w14:textId="77777777" w:rsidR="000C3A7E" w:rsidRDefault="007145AD">
            <w:pPr>
              <w:spacing w:before="40" w:after="40"/>
            </w:pPr>
            <w:r>
              <w:t>Industrials</w:t>
            </w:r>
          </w:p>
        </w:tc>
        <w:tc>
          <w:tcPr>
            <w:tcW w:w="1550" w:type="dxa"/>
          </w:tcPr>
          <w:p w14:paraId="0644D62A"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27.4%</w:t>
            </w:r>
          </w:p>
        </w:tc>
        <w:tc>
          <w:tcPr>
            <w:tcW w:w="1550" w:type="dxa"/>
          </w:tcPr>
          <w:p w14:paraId="19D8AB5A"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27.4%</w:t>
            </w:r>
          </w:p>
        </w:tc>
        <w:tc>
          <w:tcPr>
            <w:tcW w:w="1550" w:type="dxa"/>
          </w:tcPr>
          <w:p w14:paraId="283267F9"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28.3%</w:t>
            </w:r>
          </w:p>
        </w:tc>
        <w:tc>
          <w:tcPr>
            <w:tcW w:w="1550" w:type="dxa"/>
          </w:tcPr>
          <w:p w14:paraId="30CB91DA"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34.5%</w:t>
            </w:r>
          </w:p>
        </w:tc>
        <w:tc>
          <w:tcPr>
            <w:tcW w:w="1550" w:type="dxa"/>
          </w:tcPr>
          <w:p w14:paraId="0CA71C3C"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39.6%</w:t>
            </w:r>
          </w:p>
        </w:tc>
      </w:tr>
      <w:tr w:rsidR="000C3A7E" w14:paraId="32D2E333"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5CB81CC1" w14:textId="77777777" w:rsidR="000C3A7E" w:rsidRDefault="007145AD">
            <w:pPr>
              <w:spacing w:before="40" w:after="40"/>
            </w:pPr>
            <w:r>
              <w:t>Materials</w:t>
            </w:r>
          </w:p>
        </w:tc>
        <w:tc>
          <w:tcPr>
            <w:tcW w:w="1550" w:type="dxa"/>
          </w:tcPr>
          <w:p w14:paraId="1E3412C7"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29.4%</w:t>
            </w:r>
          </w:p>
        </w:tc>
        <w:tc>
          <w:tcPr>
            <w:tcW w:w="1550" w:type="dxa"/>
          </w:tcPr>
          <w:p w14:paraId="4EC10DAC"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30.4%</w:t>
            </w:r>
          </w:p>
        </w:tc>
        <w:tc>
          <w:tcPr>
            <w:tcW w:w="1550" w:type="dxa"/>
          </w:tcPr>
          <w:p w14:paraId="5F364DDC"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35.8%</w:t>
            </w:r>
          </w:p>
        </w:tc>
        <w:tc>
          <w:tcPr>
            <w:tcW w:w="1550" w:type="dxa"/>
          </w:tcPr>
          <w:p w14:paraId="4155CA9C"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41.7%</w:t>
            </w:r>
          </w:p>
        </w:tc>
        <w:tc>
          <w:tcPr>
            <w:tcW w:w="1550" w:type="dxa"/>
          </w:tcPr>
          <w:p w14:paraId="134AACC6"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39.0%</w:t>
            </w:r>
          </w:p>
        </w:tc>
      </w:tr>
      <w:tr w:rsidR="000C3A7E" w14:paraId="714F84F0"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5F62E900" w14:textId="77777777" w:rsidR="000C3A7E" w:rsidRDefault="007145AD">
            <w:pPr>
              <w:spacing w:before="40" w:after="40"/>
            </w:pPr>
            <w:r>
              <w:t>RealEstate</w:t>
            </w:r>
          </w:p>
        </w:tc>
        <w:tc>
          <w:tcPr>
            <w:tcW w:w="1550" w:type="dxa"/>
          </w:tcPr>
          <w:p w14:paraId="70919E28"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24.4%</w:t>
            </w:r>
          </w:p>
        </w:tc>
        <w:tc>
          <w:tcPr>
            <w:tcW w:w="1550" w:type="dxa"/>
          </w:tcPr>
          <w:p w14:paraId="1D6D59B9"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25.6%</w:t>
            </w:r>
          </w:p>
        </w:tc>
        <w:tc>
          <w:tcPr>
            <w:tcW w:w="1550" w:type="dxa"/>
          </w:tcPr>
          <w:p w14:paraId="0717C4FC"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27.8%</w:t>
            </w:r>
          </w:p>
        </w:tc>
        <w:tc>
          <w:tcPr>
            <w:tcW w:w="1550" w:type="dxa"/>
          </w:tcPr>
          <w:p w14:paraId="35ECA28F"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29.4%</w:t>
            </w:r>
          </w:p>
        </w:tc>
        <w:tc>
          <w:tcPr>
            <w:tcW w:w="1550" w:type="dxa"/>
          </w:tcPr>
          <w:p w14:paraId="52250577"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42.3%</w:t>
            </w:r>
          </w:p>
        </w:tc>
      </w:tr>
      <w:tr w:rsidR="000C3A7E" w14:paraId="705C67CA" w14:textId="77777777" w:rsidTr="000C3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12ABDBCF" w14:textId="77777777" w:rsidR="000C3A7E" w:rsidRDefault="007145AD">
            <w:pPr>
              <w:spacing w:before="40" w:after="40"/>
            </w:pPr>
            <w:r>
              <w:t>Tech</w:t>
            </w:r>
          </w:p>
        </w:tc>
        <w:tc>
          <w:tcPr>
            <w:tcW w:w="1550" w:type="dxa"/>
          </w:tcPr>
          <w:p w14:paraId="661C47F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33.6%</w:t>
            </w:r>
          </w:p>
        </w:tc>
        <w:tc>
          <w:tcPr>
            <w:tcW w:w="1550" w:type="dxa"/>
          </w:tcPr>
          <w:p w14:paraId="66020900"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36.9%</w:t>
            </w:r>
          </w:p>
        </w:tc>
        <w:tc>
          <w:tcPr>
            <w:tcW w:w="1550" w:type="dxa"/>
          </w:tcPr>
          <w:p w14:paraId="77203444"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39.8%</w:t>
            </w:r>
          </w:p>
        </w:tc>
        <w:tc>
          <w:tcPr>
            <w:tcW w:w="1550" w:type="dxa"/>
          </w:tcPr>
          <w:p w14:paraId="29820ACB"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37.5%</w:t>
            </w:r>
          </w:p>
        </w:tc>
        <w:tc>
          <w:tcPr>
            <w:tcW w:w="1550" w:type="dxa"/>
          </w:tcPr>
          <w:p w14:paraId="7CE4CB69" w14:textId="77777777" w:rsidR="000C3A7E" w:rsidRDefault="007145AD">
            <w:pPr>
              <w:spacing w:before="40" w:after="40"/>
              <w:cnfStyle w:val="000000100000" w:firstRow="0" w:lastRow="0" w:firstColumn="0" w:lastColumn="0" w:oddVBand="0" w:evenVBand="0" w:oddHBand="1" w:evenHBand="0" w:firstRowFirstColumn="0" w:firstRowLastColumn="0" w:lastRowFirstColumn="0" w:lastRowLastColumn="0"/>
            </w:pPr>
            <w:r>
              <w:t>44.2%</w:t>
            </w:r>
          </w:p>
        </w:tc>
      </w:tr>
      <w:tr w:rsidR="000C3A7E" w14:paraId="40AB3911" w14:textId="77777777" w:rsidTr="000C3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Pr>
          <w:p w14:paraId="240698E9" w14:textId="77777777" w:rsidR="000C3A7E" w:rsidRDefault="007145AD">
            <w:pPr>
              <w:spacing w:before="40" w:after="40"/>
            </w:pPr>
            <w:r>
              <w:t>Utilities</w:t>
            </w:r>
          </w:p>
        </w:tc>
        <w:tc>
          <w:tcPr>
            <w:tcW w:w="1550" w:type="dxa"/>
          </w:tcPr>
          <w:p w14:paraId="2C24E51C"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19.2%</w:t>
            </w:r>
          </w:p>
        </w:tc>
        <w:tc>
          <w:tcPr>
            <w:tcW w:w="1550" w:type="dxa"/>
          </w:tcPr>
          <w:p w14:paraId="1E761B12"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20.4%</w:t>
            </w:r>
          </w:p>
        </w:tc>
        <w:tc>
          <w:tcPr>
            <w:tcW w:w="1550" w:type="dxa"/>
          </w:tcPr>
          <w:p w14:paraId="33F94859"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28.8%</w:t>
            </w:r>
          </w:p>
        </w:tc>
        <w:tc>
          <w:tcPr>
            <w:tcW w:w="1550" w:type="dxa"/>
          </w:tcPr>
          <w:p w14:paraId="7D594AC1"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30.2%</w:t>
            </w:r>
          </w:p>
        </w:tc>
        <w:tc>
          <w:tcPr>
            <w:tcW w:w="1550" w:type="dxa"/>
          </w:tcPr>
          <w:p w14:paraId="6595D8CE" w14:textId="77777777" w:rsidR="000C3A7E" w:rsidRDefault="007145AD">
            <w:pPr>
              <w:spacing w:before="40" w:after="40"/>
              <w:cnfStyle w:val="000000010000" w:firstRow="0" w:lastRow="0" w:firstColumn="0" w:lastColumn="0" w:oddVBand="0" w:evenVBand="0" w:oddHBand="0" w:evenHBand="1" w:firstRowFirstColumn="0" w:firstRowLastColumn="0" w:lastRowFirstColumn="0" w:lastRowLastColumn="0"/>
            </w:pPr>
            <w:r>
              <w:t>30.3%</w:t>
            </w:r>
          </w:p>
        </w:tc>
      </w:tr>
    </w:tbl>
    <w:p w14:paraId="03B9200A" w14:textId="45EB77CD" w:rsidR="000C3A7E" w:rsidRDefault="007145AD">
      <w:pPr>
        <w:pStyle w:val="Caption"/>
      </w:pPr>
      <w:r>
        <w:t xml:space="preserve">Table D2. Mean </w:t>
      </w:r>
      <w:r w:rsidR="003E5420">
        <w:t>annualized</w:t>
      </w:r>
      <w:r>
        <w:t xml:space="preserve"> forward 5-day volatility by lagged-attention quintile and sector. Source: results/tables/news_volume_volatility.csv.</w:t>
      </w:r>
    </w:p>
    <w:p w14:paraId="700ED175" w14:textId="77777777" w:rsidR="000C3A7E" w:rsidRDefault="000C3A7E"/>
    <w:sectPr w:rsidR="000C3A7E" w:rsidSect="00034616">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3D497" w14:textId="77777777" w:rsidR="004213C7" w:rsidRDefault="004213C7" w:rsidP="00F035AA">
      <w:pPr>
        <w:spacing w:after="0" w:line="240" w:lineRule="auto"/>
      </w:pPr>
      <w:r>
        <w:separator/>
      </w:r>
    </w:p>
  </w:endnote>
  <w:endnote w:type="continuationSeparator" w:id="0">
    <w:p w14:paraId="2A202D85" w14:textId="77777777" w:rsidR="004213C7" w:rsidRDefault="004213C7" w:rsidP="00F03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190C8" w14:textId="77777777" w:rsidR="004213C7" w:rsidRDefault="004213C7" w:rsidP="00F035AA">
      <w:pPr>
        <w:spacing w:after="0" w:line="240" w:lineRule="auto"/>
      </w:pPr>
      <w:r>
        <w:separator/>
      </w:r>
    </w:p>
  </w:footnote>
  <w:footnote w:type="continuationSeparator" w:id="0">
    <w:p w14:paraId="39F6044B" w14:textId="77777777" w:rsidR="004213C7" w:rsidRDefault="004213C7" w:rsidP="00F035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926760">
    <w:abstractNumId w:val="8"/>
  </w:num>
  <w:num w:numId="2" w16cid:durableId="1363438851">
    <w:abstractNumId w:val="6"/>
  </w:num>
  <w:num w:numId="3" w16cid:durableId="928006015">
    <w:abstractNumId w:val="5"/>
  </w:num>
  <w:num w:numId="4" w16cid:durableId="1196191480">
    <w:abstractNumId w:val="4"/>
  </w:num>
  <w:num w:numId="5" w16cid:durableId="1255624395">
    <w:abstractNumId w:val="7"/>
  </w:num>
  <w:num w:numId="6" w16cid:durableId="716515229">
    <w:abstractNumId w:val="3"/>
  </w:num>
  <w:num w:numId="7" w16cid:durableId="878739255">
    <w:abstractNumId w:val="2"/>
  </w:num>
  <w:num w:numId="8" w16cid:durableId="1385256955">
    <w:abstractNumId w:val="1"/>
  </w:num>
  <w:num w:numId="9" w16cid:durableId="1243444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5E0"/>
    <w:rsid w:val="0006063C"/>
    <w:rsid w:val="000C3A7E"/>
    <w:rsid w:val="0015074B"/>
    <w:rsid w:val="0022764E"/>
    <w:rsid w:val="0029639D"/>
    <w:rsid w:val="00326F90"/>
    <w:rsid w:val="00335552"/>
    <w:rsid w:val="003E5420"/>
    <w:rsid w:val="004213C7"/>
    <w:rsid w:val="007145AD"/>
    <w:rsid w:val="00AA1D8D"/>
    <w:rsid w:val="00B47730"/>
    <w:rsid w:val="00C721AF"/>
    <w:rsid w:val="00CB0664"/>
    <w:rsid w:val="00F035AA"/>
    <w:rsid w:val="00FC693F"/>
    <w:rsid w:val="00FD7B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0CDE91"/>
  <w14:defaultImageDpi w14:val="300"/>
  <w15:docId w15:val="{5DF48C4A-D65D-4DAF-9B1B-F7E8DD278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D5691"/>
      <w:sz w:val="3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D5691"/>
      <w:sz w:val="25"/>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6666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66666"/>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721AF"/>
    <w:pPr>
      <w:spacing w:after="100"/>
    </w:pPr>
  </w:style>
  <w:style w:type="paragraph" w:styleId="TOC2">
    <w:name w:val="toc 2"/>
    <w:basedOn w:val="Normal"/>
    <w:next w:val="Normal"/>
    <w:autoRedefine/>
    <w:uiPriority w:val="39"/>
    <w:unhideWhenUsed/>
    <w:rsid w:val="00C721AF"/>
    <w:pPr>
      <w:spacing w:after="100"/>
      <w:ind w:left="220"/>
    </w:pPr>
  </w:style>
  <w:style w:type="character" w:styleId="Hyperlink">
    <w:name w:val="Hyperlink"/>
    <w:basedOn w:val="DefaultParagraphFont"/>
    <w:uiPriority w:val="99"/>
    <w:unhideWhenUsed/>
    <w:rsid w:val="00C721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15</Pages>
  <Words>4105</Words>
  <Characters>22744</Characters>
  <Application>Microsoft Office Word</Application>
  <DocSecurity>0</DocSecurity>
  <Lines>947</Lines>
  <Paragraphs>745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Hafiz Syahmi</cp:lastModifiedBy>
  <cp:revision>4</cp:revision>
  <dcterms:created xsi:type="dcterms:W3CDTF">2013-12-23T23:15:00Z</dcterms:created>
  <dcterms:modified xsi:type="dcterms:W3CDTF">2026-08-14T01:13:00Z</dcterms:modified>
  <cp:category/>
</cp:coreProperties>
</file>