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  <w:sz w:val="48"/>
        </w:rPr>
        <w:t>link 1</w:t>
      </w:r>
    </w:p>
    <w:p>
      <w:pPr>
        <w:jc w:val="center"/>
      </w:pPr>
      <w:r>
        <w:rPr>
          <w:i/>
          <w:sz w:val="20"/>
        </w:rPr>
        <w:t>Type: Structured | Generated: 2026-02-05 01:13</w:t>
      </w:r>
    </w:p>
    <w:p/>
    <w:p>
      <w:pPr>
        <w:pStyle w:val="Heading1"/>
      </w:pPr>
      <w:r>
        <w:rPr>
          <w:color w:val="1E40AF"/>
        </w:rPr>
        <w:t>link 1: Cybersecurity Models, Ethics, Policies, and Regulations</w:t>
      </w:r>
    </w:p>
    <w:p/>
    <w:p>
      <w:r>
        <w:t>This document provides a concise overview of fundamental cybersecurity models, ethical considerations, organizational policies, and relevant electronic crime legislation.</w:t>
      </w:r>
    </w:p>
    <w:p/>
    <w:p>
      <w:pPr>
        <w:pStyle w:val="Heading2"/>
      </w:pPr>
      <w:r>
        <w:rPr>
          <w:color w:val="1E40AF"/>
        </w:rPr>
        <w:t>1. Cybersecurity Access Control Models</w:t>
      </w:r>
    </w:p>
    <w:p/>
    <w:p>
      <w:r>
        <w:t>Access control models define how subjects (users, processes) can interact with objects (files, resources) based on security policies.</w:t>
      </w:r>
    </w:p>
    <w:p/>
    <w:p>
      <w:pPr>
        <w:pStyle w:val="Heading3"/>
      </w:pPr>
      <w:r>
        <w:rPr>
          <w:color w:val="1E40AF"/>
        </w:rPr>
        <w:t>1.1. Bell-LaPadula (BLP) Model</w:t>
      </w:r>
    </w:p>
    <w:p/>
    <w:p>
      <w:r>
        <w:t xml:space="preserve">The </w:t>
      </w:r>
      <w:r>
        <w:rPr>
          <w:b/>
        </w:rPr>
        <w:t>Bell-LaPadula (BLP) Model</w:t>
      </w:r>
      <w:r>
        <w:t xml:space="preserve"> is a state machine model used to enforce </w:t>
      </w:r>
      <w:r>
        <w:rPr>
          <w:b/>
        </w:rPr>
        <w:t>confidentiality</w:t>
      </w:r>
      <w:r>
        <w:t>. It is primarily concerned with preventing unauthorized disclosure of information.</w:t>
      </w:r>
    </w:p>
    <w:p/>
    <w:p>
      <w:pPr>
        <w:pStyle w:val="ListBullet"/>
      </w:pPr>
      <w:r>
        <w:t xml:space="preserve">  Core Principle: Ensures multilevel security.</w:t>
      </w:r>
    </w:p>
    <w:p>
      <w:pPr>
        <w:pStyle w:val="ListBullet"/>
      </w:pPr>
      <w:r>
        <w:t xml:space="preserve">  Key Rules (Mandatory Access Control):</w:t>
      </w:r>
    </w:p>
    <w:p>
      <w:r>
        <w:t xml:space="preserve">    </w:t>
      </w:r>
      <w:r>
        <w:rPr>
          <w:i/>
        </w:rPr>
        <w:t xml:space="preserve">   </w:t>
      </w:r>
      <w:r/>
      <w:r>
        <w:rPr>
          <w:i/>
        </w:rPr>
        <w:t>Simple Security Property ("No Read Up"):</w:t>
      </w:r>
      <w:r>
        <w:t>* A subject at a given security level cannot read an object at a higher security level.</w:t>
      </w:r>
    </w:p>
    <w:p>
      <w:r>
        <w:t xml:space="preserve">    </w:t>
      </w:r>
      <w:r>
        <w:rPr>
          <w:i/>
        </w:rPr>
        <w:t xml:space="preserve">   </w:t>
      </w:r>
      <w:r/>
      <w:r>
        <w:rPr>
          <w:i/>
        </w:rPr>
        <w:t>\</w:t>
      </w:r>
      <w:r>
        <w:t>-property (Star Property) / Confinement Property ("No Write Down"):</w:t>
      </w:r>
      <w:r>
        <w:rPr>
          <w:b/>
        </w:rPr>
      </w:r>
      <w:r>
        <w:t xml:space="preserve"> A subject at a given security level cannot write to an object at a lower security level.</w:t>
      </w:r>
    </w:p>
    <w:p>
      <w:pPr>
        <w:pStyle w:val="ListBullet"/>
      </w:pPr>
      <w:r>
        <w:t xml:space="preserve">  ds-property (Discretionary Security Property):</w:t>
      </w:r>
    </w:p>
    <w:p>
      <w:r>
        <w:t xml:space="preserve">    </w:t>
      </w:r>
      <w:r>
        <w:rPr>
          <w:i/>
        </w:rPr>
        <w:t xml:space="preserve">   A subject can access an object if the relevant permission is explicitly granted in the </w:t>
      </w:r>
      <w:r/>
      <w:r>
        <w:rPr>
          <w:i/>
        </w:rPr>
        <w:t>discretionary access matrix</w:t>
      </w:r>
      <w:r>
        <w:t>*. This allows for flexible access control within the mandatory framework.</w:t>
      </w:r>
    </w:p>
    <w:p/>
    <w:p>
      <w:pPr>
        <w:pStyle w:val="Heading3"/>
      </w:pPr>
      <w:r>
        <w:rPr>
          <w:color w:val="1E40AF"/>
        </w:rPr>
        <w:t>1.2. Biba Model</w:t>
      </w:r>
    </w:p>
    <w:p/>
    <w:p>
      <w:r>
        <w:t xml:space="preserve">The </w:t>
      </w:r>
      <w:r>
        <w:rPr>
          <w:b/>
        </w:rPr>
        <w:t>Biba Model</w:t>
      </w:r>
      <w:r>
        <w:t xml:space="preserve"> is a state machine model primarily concerned with </w:t>
      </w:r>
      <w:r>
        <w:rPr>
          <w:b/>
        </w:rPr>
        <w:t>integrity</w:t>
      </w:r>
      <w:r>
        <w:t>. It aims to prevent unauthorized modification of information.</w:t>
      </w:r>
    </w:p>
    <w:p/>
    <w:p>
      <w:pPr>
        <w:pStyle w:val="ListBullet"/>
      </w:pPr>
      <w:r>
        <w:t xml:space="preserve">  Core Principle: Ensures integrity confinement.</w:t>
      </w:r>
    </w:p>
    <w:p>
      <w:pPr>
        <w:pStyle w:val="ListBullet"/>
      </w:pPr>
      <w:r>
        <w:t xml:space="preserve">  Key Rules (Mandatory Access Control):</w:t>
      </w:r>
    </w:p>
    <w:p>
      <w:r>
        <w:t xml:space="preserve">    </w:t>
      </w:r>
      <w:r>
        <w:rPr>
          <w:i/>
        </w:rPr>
        <w:t xml:space="preserve">   </w:t>
      </w:r>
      <w:r/>
      <w:r>
        <w:rPr>
          <w:i/>
        </w:rPr>
        <w:t>Simple Integrity Property ("No Read Down"):</w:t>
      </w:r>
      <w:r>
        <w:t>* A subject at a given integrity level cannot read an object at a lower integrity level (to prevent reading "dirty" data).</w:t>
      </w:r>
    </w:p>
    <w:p>
      <w:r>
        <w:t xml:space="preserve">    </w:t>
      </w:r>
      <w:r>
        <w:rPr>
          <w:i/>
        </w:rPr>
        <w:t xml:space="preserve">   </w:t>
      </w:r>
      <w:r/>
      <w:r>
        <w:rPr>
          <w:i/>
        </w:rPr>
        <w:t>Integrity \</w:t>
      </w:r>
      <w:r>
        <w:t>-property (Star Property) / Integrity Confinement ("No Write Up"):</w:t>
      </w:r>
      <w:r>
        <w:rPr>
          <w:b/>
        </w:rPr>
      </w:r>
      <w:r>
        <w:t xml:space="preserve"> A subject at a given integrity level cannot write to an object at a higher integrity level (to prevent contaminating "clean" data).</w:t>
      </w:r>
    </w:p>
    <w:p>
      <w:r>
        <w:t xml:space="preserve">        </w:t>
      </w:r>
      <w:r>
        <w:rPr>
          <w:i/>
        </w:rPr>
        <w:t xml:space="preserve">   </w:t>
      </w:r>
      <w:r>
        <w:t>As per the provided content, for "integrity confinement":</w:t>
      </w:r>
      <w:r>
        <w:rPr>
          <w:i/>
        </w:rPr>
        <w:t xml:space="preserve"> A subject can only read an object if its integrity level is less than or equal to the integrity level of the object. (Note: This specific phrasing for "integrity confinement" in the provided content differs from the standard Biba </w:t>
      </w:r>
      <w:r>
        <w:t>-property which is "no write up").</w:t>
      </w:r>
    </w:p>
    <w:p/>
    <w:p>
      <w:pPr>
        <w:pStyle w:val="Heading3"/>
      </w:pPr>
      <w:r>
        <w:rPr>
          <w:color w:val="1E40AF"/>
        </w:rPr>
        <w:t>1.3. Chinese Wall Model (Brewer-Nash Model)</w:t>
      </w:r>
    </w:p>
    <w:p/>
    <w:p>
      <w:r>
        <w:t xml:space="preserve">The </w:t>
      </w:r>
      <w:r>
        <w:rPr>
          <w:b/>
        </w:rPr>
        <w:t>Chinese Wall Model</w:t>
      </w:r>
      <w:r>
        <w:t xml:space="preserve"> is designed to prevent </w:t>
      </w:r>
      <w:r>
        <w:rPr>
          <w:b/>
        </w:rPr>
        <w:t>conflicts of interest</w:t>
      </w:r>
      <w:r>
        <w:t xml:space="preserve"> by restricting access to information based on prior access.</w:t>
      </w:r>
    </w:p>
    <w:p/>
    <w:p>
      <w:pPr>
        <w:pStyle w:val="ListBullet"/>
      </w:pPr>
      <w:r>
        <w:t xml:space="preserve">  Core Principle: A subject who has accessed information related to one company within a Confidentiality Class (CI class) cannot then access information related to a competing company within the same CI class.</w:t>
      </w:r>
    </w:p>
    <w:p>
      <w:pPr>
        <w:pStyle w:val="ListBullet"/>
      </w:pPr>
      <w:r>
        <w:t xml:space="preserve">  The "Wall":</w:t>
      </w:r>
    </w:p>
    <w:p>
      <w:r>
        <w:t xml:space="preserve">    *   Refers to the protective barrier established after a subject accesses information from a dataset.</w:t>
      </w:r>
    </w:p>
    <w:p>
      <w:r>
        <w:t xml:space="preserve">    </w:t>
      </w:r>
      <w:r>
        <w:rPr>
          <w:i/>
        </w:rPr>
        <w:t xml:space="preserve">   Its purpose is to protect information in other datasets belonging to a different entity within the </w:t>
      </w:r>
      <w:r/>
      <w:r>
        <w:rPr>
          <w:i/>
        </w:rPr>
        <w:t>same CI class</w:t>
      </w:r>
      <w:r>
        <w:t>* from being accessed by the same subject, thereby preventing conflicts of interest.</w:t>
      </w:r>
    </w:p>
    <w:p/>
    <w:p>
      <w:pPr>
        <w:pStyle w:val="Heading3"/>
      </w:pPr>
      <w:r>
        <w:rPr>
          <w:color w:val="1E40AF"/>
        </w:rPr>
        <w:t>1.4. Comparison of Bell-LaPadula and Biba Models</w:t>
      </w:r>
    </w:p>
    <w:p/>
    <w:p>
      <w:r>
        <w:t>| Feature           | Bell-LaPadula (BLP) Model                               | Biba Model                                            |</w:t>
      </w:r>
    </w:p>
    <w:p>
      <w:r>
        <w:t>| **Primary Goal**  | Confidentiality (prevent unauthorized disclosure)       | Integrity (prevent unauthorized modification)         |</w:t>
      </w:r>
    </w:p>
    <w:p>
      <w:r>
        <w:t>| **Security Flow** | Information flows from lower to higher security levels  | Information flows from higher to lower integrity levels |</w:t>
      </w:r>
    </w:p>
    <w:p>
      <w:r>
        <w:t>| **"No Read" Rule**| **No Read Up** (Simple Security Property)               | **No Read Down** (Simple Integrity Property)          |</w:t>
      </w:r>
    </w:p>
    <w:p>
      <w:r>
        <w:t>| **"No Write" Rule**| **No Write Down** (\*-property)                         | **No Write Up** (Integrity \*-property)               |</w:t>
      </w:r>
    </w:p>
    <w:p>
      <w:r>
        <w:t>| **Analogy**       | Military security (classified information)              | Financial systems, data accuracy                      |</w:t>
      </w:r>
    </w:p>
    <w:p/>
    <w:p>
      <w:pPr>
        <w:pStyle w:val="Heading2"/>
      </w:pPr>
      <w:r>
        <w:rPr>
          <w:color w:val="1E40AF"/>
        </w:rPr>
        <w:t>2. Ethics and Policies</w:t>
      </w:r>
    </w:p>
    <w:p/>
    <w:p>
      <w:pPr>
        <w:pStyle w:val="Heading3"/>
      </w:pPr>
      <w:r>
        <w:rPr>
          <w:color w:val="1E40AF"/>
        </w:rPr>
        <w:t>2.1. Ethics</w:t>
      </w:r>
    </w:p>
    <w:p/>
    <w:p>
      <w:pPr>
        <w:pStyle w:val="ListBullet"/>
      </w:pPr>
      <w:r>
        <w:t xml:space="preserve">  Definition: Ethics regulate and define socially acceptable behavior.</w:t>
      </w:r>
    </w:p>
    <w:p>
      <w:pPr>
        <w:pStyle w:val="ListBullet"/>
      </w:pPr>
      <w:r>
        <w:t xml:space="preserve">  Enforcement: Ethics are NOT enforced by the state. They are typically self-regulated, guided by moral principles, or enforced by professional bodies.</w:t>
      </w:r>
    </w:p>
    <w:p/>
    <w:p>
      <w:pPr>
        <w:pStyle w:val="Heading3"/>
      </w:pPr>
      <w:r>
        <w:rPr>
          <w:color w:val="1E40AF"/>
        </w:rPr>
        <w:t>2.2. Policies</w:t>
      </w:r>
    </w:p>
    <w:p/>
    <w:p>
      <w:pPr>
        <w:pStyle w:val="ListBullet"/>
      </w:pPr>
      <w:r>
        <w:t xml:space="preserve">  Definition: Policies are managerial directives that specify acceptable and unacceptable employee behavior in the workplace.</w:t>
      </w:r>
    </w:p>
    <w:p>
      <w:pPr>
        <w:pStyle w:val="ListBullet"/>
      </w:pPr>
      <w:r>
        <w:t xml:space="preserve">  Purpose: They provide guidelines for decision-making and ensure consistent conduct within an organization.</w:t>
      </w:r>
    </w:p>
    <w:p>
      <w:pPr>
        <w:pStyle w:val="ListBullet"/>
      </w:pPr>
      <w:r>
        <w:t xml:space="preserve">  Enforcement: Policies are enforced internally by the organization.</w:t>
      </w:r>
    </w:p>
    <w:p/>
    <w:p>
      <w:pPr>
        <w:pStyle w:val="Heading2"/>
      </w:pPr>
      <w:r>
        <w:rPr>
          <w:color w:val="1E40AF"/>
        </w:rPr>
        <w:t>3. Prevention of Electronic Crimes Act (PECA)</w:t>
      </w:r>
    </w:p>
    <w:p/>
    <w:p>
      <w:pPr>
        <w:pStyle w:val="Heading3"/>
      </w:pPr>
      <w:r>
        <w:rPr>
          <w:color w:val="1E40AF"/>
        </w:rPr>
        <w:t>3.1. What is PECA?</w:t>
      </w:r>
    </w:p>
    <w:p/>
    <w:p>
      <w:pPr>
        <w:pStyle w:val="ListBullet"/>
      </w:pPr>
      <w:r>
        <w:t xml:space="preserve">  Full Form: Prevention of Electronic Crimes Act.</w:t>
      </w:r>
    </w:p>
    <w:p>
      <w:pPr>
        <w:pStyle w:val="ListBullet"/>
      </w:pPr>
      <w:r>
        <w:t xml:space="preserve">  Purpose: Legislation designed to combat cybercrime and regulate electronic activities.</w:t>
      </w:r>
    </w:p>
    <w:p/>
    <w:p>
      <w:pPr>
        <w:pStyle w:val="Heading3"/>
      </w:pPr>
      <w:r>
        <w:rPr>
          <w:color w:val="1E40AF"/>
        </w:rPr>
        <w:t>3.2. Who Does PECA Apply To?</w:t>
      </w:r>
    </w:p>
    <w:p/>
    <w:p>
      <w:r>
        <w:t>PECA has broad applicability, covering:</w:t>
      </w:r>
    </w:p>
    <w:p/>
    <w:p>
      <w:pPr>
        <w:pStyle w:val="ListNumber"/>
      </w:pPr>
      <w:r>
        <w:t xml:space="preserve"> All over Pakistan: Any electronic crime committed within the territorial jurisdiction of Pakistan.</w:t>
      </w:r>
    </w:p>
    <w:p>
      <w:pPr>
        <w:pStyle w:val="ListNumber"/>
      </w:pPr>
      <w:r>
        <w:t xml:space="preserve"> Pakistanis abroad: Pakistani citizens who commit electronic offenses outside Pakistan.</w:t>
      </w:r>
    </w:p>
    <w:p>
      <w:pPr>
        <w:pStyle w:val="ListNumber"/>
      </w:pPr>
      <w:r>
        <w:t xml:space="preserve"> Persons outside Pakistan: Individuals who are not Pakistani citizens and are located outside Pakistan, but commit an offense that affects Pakistani persons or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