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left"/>
      </w:pPr>
      <w:r>
        <w:t>CASE STUDY</w:t>
      </w:r>
    </w:p>
    <w:p>
      <w:pPr>
        <w:pStyle w:val="Title"/>
      </w:pPr>
      <w:r>
        <w:t>PracticeFusion Clinical</w:t>
        <w:br/>
        <w:t>Workflow Automation</w:t>
      </w:r>
    </w:p>
    <w:p>
      <w:pPr>
        <w:pStyle w:val="Lead"/>
      </w:pPr>
      <w:r>
        <w:t>Automating repetitive EHR charting work while keeping reliability, traceability, and real-world browser constraints in focus.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2520"/>
        <w:gridCol w:w="2520"/>
        <w:gridCol w:w="2520"/>
        <w:gridCol w:w="2520"/>
      </w:tblGrid>
      <w:tr>
        <w:tc>
          <w:tcPr>
            <w:tcW w:type="dxa" w:w="2520"/>
            <w:shd w:fill="E8F0FE"/>
            <w:tcMar>
              <w:top w:w="90" w:type="dxa"/>
              <w:start w:w="110" w:type="dxa"/>
              <w:bottom w:w="90" w:type="dxa"/>
              <w:end w:w="110" w:type="dxa"/>
            </w:tcMar>
            <w:vAlign w:val="center"/>
          </w:tcPr>
          <w:p>
            <w:pPr>
              <w:jc w:val="center"/>
            </w:pPr>
            <w:r>
              <w:rPr>
                <w:b/>
                <w:color w:val="2563EB"/>
                <w:sz w:val="17"/>
              </w:rPr>
              <w:t>Healthcare Automation</w:t>
            </w:r>
          </w:p>
        </w:tc>
        <w:tc>
          <w:tcPr>
            <w:tcW w:type="dxa" w:w="2520"/>
            <w:shd w:fill="E8F0FE"/>
            <w:tcMar>
              <w:top w:w="90" w:type="dxa"/>
              <w:start w:w="110" w:type="dxa"/>
              <w:bottom w:w="90" w:type="dxa"/>
              <w:end w:w="110" w:type="dxa"/>
            </w:tcMar>
            <w:vAlign w:val="center"/>
          </w:tcPr>
          <w:p>
            <w:pPr>
              <w:jc w:val="center"/>
            </w:pPr>
            <w:r>
              <w:rPr>
                <w:b/>
                <w:color w:val="2563EB"/>
                <w:sz w:val="17"/>
              </w:rPr>
              <w:t>Python + Selenium</w:t>
            </w:r>
          </w:p>
        </w:tc>
        <w:tc>
          <w:tcPr>
            <w:tcW w:type="dxa" w:w="2520"/>
            <w:shd w:fill="E8F0FE"/>
            <w:tcMar>
              <w:top w:w="90" w:type="dxa"/>
              <w:start w:w="110" w:type="dxa"/>
              <w:bottom w:w="90" w:type="dxa"/>
              <w:end w:w="110" w:type="dxa"/>
            </w:tcMar>
            <w:vAlign w:val="center"/>
          </w:tcPr>
          <w:p>
            <w:pPr>
              <w:jc w:val="center"/>
            </w:pPr>
            <w:r>
              <w:rPr>
                <w:b/>
                <w:color w:val="2563EB"/>
                <w:sz w:val="17"/>
              </w:rPr>
              <w:t>EHR Workflow</w:t>
            </w:r>
          </w:p>
        </w:tc>
        <w:tc>
          <w:tcPr>
            <w:tcW w:type="dxa" w:w="2520"/>
            <w:shd w:fill="E8F0FE"/>
            <w:tcMar>
              <w:top w:w="90" w:type="dxa"/>
              <w:start w:w="110" w:type="dxa"/>
              <w:bottom w:w="90" w:type="dxa"/>
              <w:end w:w="110" w:type="dxa"/>
            </w:tcMar>
            <w:vAlign w:val="center"/>
          </w:tcPr>
          <w:p>
            <w:pPr>
              <w:jc w:val="center"/>
            </w:pPr>
            <w:r>
              <w:rPr>
                <w:b/>
                <w:color w:val="2563EB"/>
                <w:sz w:val="17"/>
              </w:rPr>
              <w:t>REST API Integration</w:t>
            </w:r>
          </w:p>
        </w:tc>
      </w:tr>
    </w:tbl>
    <w:p>
      <w:pPr>
        <w:spacing w:after="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96"/>
        <w:gridCol w:w="3096"/>
        <w:gridCol w:w="3096"/>
      </w:tblGrid>
      <w:tr>
        <w:tc>
          <w:tcPr>
            <w:tcW w:type="dxa" w:w="3360"/>
            <w:shd w:fill="F5F7FA"/>
            <w:tcMar>
              <w:top w:w="150" w:type="dxa"/>
              <w:start w:w="150" w:type="dxa"/>
              <w:bottom w:w="150" w:type="dxa"/>
              <w:end w:w="150" w:type="dxa"/>
            </w:tcMar>
          </w:tcPr>
          <w:p>
            <w:r>
              <w:rPr>
                <w:b/>
                <w:color w:val="0F766E"/>
                <w:sz w:val="18"/>
              </w:rPr>
              <w:t>THE PROBLEM</w:t>
            </w:r>
          </w:p>
          <w:p>
            <w:pPr>
              <w:pStyle w:val="Small"/>
            </w:pPr>
            <w:r>
              <w:t>Manual patient lookup, encounter navigation, SOAP entry, ICD coding, and status tracking across systems.</w:t>
            </w:r>
          </w:p>
        </w:tc>
        <w:tc>
          <w:tcPr>
            <w:tcW w:type="dxa" w:w="3360"/>
            <w:shd w:fill="F5F7FA"/>
            <w:tcMar>
              <w:top w:w="150" w:type="dxa"/>
              <w:start w:w="150" w:type="dxa"/>
              <w:bottom w:w="150" w:type="dxa"/>
              <w:end w:w="150" w:type="dxa"/>
            </w:tcMar>
          </w:tcPr>
          <w:p>
            <w:r>
              <w:rPr>
                <w:b/>
                <w:color w:val="0F766E"/>
                <w:sz w:val="18"/>
              </w:rPr>
              <w:t>THE SOLUTION</w:t>
            </w:r>
          </w:p>
          <w:p>
            <w:pPr>
              <w:pStyle w:val="Small"/>
            </w:pPr>
            <w:r>
              <w:t>A Python automation layer that connects backend patient data with browser-driven PracticeFusion workflows.</w:t>
            </w:r>
          </w:p>
        </w:tc>
        <w:tc>
          <w:tcPr>
            <w:tcW w:type="dxa" w:w="3360"/>
            <w:shd w:fill="F5F7FA"/>
            <w:tcMar>
              <w:top w:w="150" w:type="dxa"/>
              <w:start w:w="150" w:type="dxa"/>
              <w:bottom w:w="150" w:type="dxa"/>
              <w:end w:w="150" w:type="dxa"/>
            </w:tcMar>
          </w:tcPr>
          <w:p>
            <w:r>
              <w:rPr>
                <w:b/>
                <w:color w:val="0F766E"/>
                <w:sz w:val="18"/>
              </w:rPr>
              <w:t>THE VALUE</w:t>
            </w:r>
          </w:p>
          <w:p>
            <w:pPr>
              <w:pStyle w:val="Small"/>
            </w:pPr>
            <w:r>
              <w:t>Less repetitive data entry, more consistent charting steps, and clearer operational tracking for each patient record.</w:t>
            </w:r>
          </w:p>
        </w:tc>
      </w:tr>
    </w:tbl>
    <w:p>
      <w:pPr>
        <w:pStyle w:val="Heading1"/>
      </w:pPr>
      <w:r>
        <w:t>The story behind the project</w:t>
      </w:r>
    </w:p>
    <w:p>
      <w:r>
        <w:t>Clinical teams often lose time not because the work is clinically difficult, but because the same information has to be found, opened, copied, formatted, coded, and updated across a browser-based EHR again and again. This project focused on that operational friction.</w:t>
      </w:r>
    </w:p>
    <w:p>
      <w:r>
        <w:t>I built a browser automation workflow around PracticeFusion that retrieves pending patient data, opens the right chart and encounter, enters structured SOAP content, attaches ICD diagnosis codes when appropriate, updates processing status, and records what happened along the way. The goal was simple: remove repetitive clicks and re-entry without pretending the realities of EHR automation are simple.</w:t>
      </w:r>
    </w:p>
    <w:p>
      <w:pPr>
        <w:pStyle w:val="Heading1"/>
      </w:pPr>
      <w:r>
        <w:t>01 — The challenge</w:t>
      </w:r>
    </w:p>
    <w:p>
      <w:pPr>
        <w:pStyle w:val="Heading2"/>
      </w:pPr>
      <w:r>
        <w:t>The workflow was repetitive, but it was not straightforward.</w:t>
      </w:r>
    </w:p>
    <w:p>
      <w:r>
        <w:t>A single patient could require several small actions: locate the record, navigate to the correct encounter, verify the chart state, enter note content, add diagnosis codes, save the result, and update status in another system. Doing that manually across many patients creates unnecessary administrative load and increases the chance of inconsistency.</w:t>
      </w:r>
    </w:p>
    <w:p>
      <w:r>
        <w:t>The bigger challenge was the environment itself. PracticeFusion is a dynamic browser application with changing page states, session locks, authentication redirects, OTP verification, loading delays, and UI elements that do not always behave predictably. A useful solution had to deal with those conditions rather than work only in an ideal demo.</w:t>
      </w:r>
    </w:p>
    <w:p>
      <w:pPr>
        <w:pStyle w:val="Heading2"/>
      </w:pPr>
      <w:r>
        <w:t>What made this difficult</w:t>
      </w:r>
    </w:p>
    <w:p>
      <w:pPr>
        <w:pStyle w:val="ListBullet"/>
        <w:ind w:left="288" w:hanging="173"/>
      </w:pPr>
      <w:r>
        <w:t>The workflow crossed multiple systems: backend patient data, local process state, and the EHR browser interface.</w:t>
      </w:r>
    </w:p>
    <w:p>
      <w:pPr>
        <w:pStyle w:val="ListBullet"/>
        <w:ind w:left="288" w:hanging="173"/>
      </w:pPr>
      <w:r>
        <w:t>Authentication could drift during long-running sessions, forcing the automation to recognize login or lock screens and recover.</w:t>
      </w:r>
    </w:p>
    <w:p>
      <w:pPr>
        <w:pStyle w:val="ListBullet"/>
        <w:ind w:left="288" w:hanging="173"/>
      </w:pPr>
      <w:r>
        <w:t>The EHR UI was dynamic, so timing, loading states, signed encounters, missing encounters, and stale browser state had to be handled carefully.</w:t>
      </w:r>
    </w:p>
    <w:p>
      <w:pPr>
        <w:pStyle w:val="ListBullet"/>
        <w:ind w:left="288" w:hanging="173"/>
      </w:pPr>
      <w:r>
        <w:t>Clinical data entry needed safeguards, especially around ICD codes and avoiding duplicates.</w:t>
      </w:r>
    </w:p>
    <w:p>
      <w:pPr>
        <w:pStyle w:val="ListBullet"/>
        <w:ind w:left="288" w:hanging="173"/>
      </w:pPr>
      <w:r>
        <w:t>One patient failure could not be allowed to stop the entire batch.</w:t>
      </w:r>
    </w:p>
    <w:p>
      <w:pPr>
        <w:pStyle w:val="Heading1"/>
      </w:pPr>
      <w:r>
        <w:t>02 — The solution</w:t>
      </w:r>
    </w:p>
    <w:p>
      <w:r>
        <w:t>I designed the system as an automation layer around the existing clinic workflow rather than trying to replace the EHR.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680"/>
        <w:gridCol w:w="1680"/>
        <w:gridCol w:w="1680"/>
        <w:gridCol w:w="1680"/>
        <w:gridCol w:w="1680"/>
        <w:gridCol w:w="1680"/>
      </w:tblGrid>
      <w:tr>
        <w:tc>
          <w:tcPr>
            <w:tcW w:type="dxa" w:w="1680"/>
            <w:shd w:fill="EEF4FF"/>
            <w:tcMar>
              <w:top w:w="110" w:type="dxa"/>
              <w:start w:w="90" w:type="dxa"/>
              <w:bottom w:w="110" w:type="dxa"/>
              <w:end w:w="90" w:type="dxa"/>
            </w:tcMar>
          </w:tcPr>
          <w:p>
            <w:pPr>
              <w:jc w:val="center"/>
            </w:pPr>
            <w:r>
              <w:rPr>
                <w:b/>
                <w:color w:val="2563EB"/>
                <w:sz w:val="24"/>
              </w:rPr>
              <w:t>1</w:t>
            </w:r>
          </w:p>
          <w:p>
            <w:pPr>
              <w:pStyle w:val="Small"/>
              <w:jc w:val="center"/>
            </w:pPr>
            <w:r>
              <w:t>Get patient data</w:t>
            </w:r>
          </w:p>
        </w:tc>
        <w:tc>
          <w:tcPr>
            <w:tcW w:type="dxa" w:w="1680"/>
            <w:shd w:fill="EEF4FF"/>
            <w:tcMar>
              <w:top w:w="110" w:type="dxa"/>
              <w:start w:w="90" w:type="dxa"/>
              <w:bottom w:w="110" w:type="dxa"/>
              <w:end w:w="90" w:type="dxa"/>
            </w:tcMar>
          </w:tcPr>
          <w:p>
            <w:pPr>
              <w:jc w:val="center"/>
            </w:pPr>
            <w:r>
              <w:rPr>
                <w:b/>
                <w:color w:val="2563EB"/>
                <w:sz w:val="24"/>
              </w:rPr>
              <w:t>2</w:t>
            </w:r>
          </w:p>
          <w:p>
            <w:pPr>
              <w:pStyle w:val="Small"/>
              <w:jc w:val="center"/>
            </w:pPr>
            <w:r>
              <w:t>Open session</w:t>
            </w:r>
          </w:p>
        </w:tc>
        <w:tc>
          <w:tcPr>
            <w:tcW w:type="dxa" w:w="1680"/>
            <w:shd w:fill="EEF4FF"/>
            <w:tcMar>
              <w:top w:w="110" w:type="dxa"/>
              <w:start w:w="90" w:type="dxa"/>
              <w:bottom w:w="110" w:type="dxa"/>
              <w:end w:w="90" w:type="dxa"/>
            </w:tcMar>
          </w:tcPr>
          <w:p>
            <w:pPr>
              <w:jc w:val="center"/>
            </w:pPr>
            <w:r>
              <w:rPr>
                <w:b/>
                <w:color w:val="2563EB"/>
                <w:sz w:val="24"/>
              </w:rPr>
              <w:t>3</w:t>
            </w:r>
          </w:p>
          <w:p>
            <w:pPr>
              <w:pStyle w:val="Small"/>
              <w:jc w:val="center"/>
            </w:pPr>
            <w:r>
              <w:t>Find chart</w:t>
            </w:r>
          </w:p>
        </w:tc>
        <w:tc>
          <w:tcPr>
            <w:tcW w:type="dxa" w:w="1680"/>
            <w:shd w:fill="EEF4FF"/>
            <w:tcMar>
              <w:top w:w="110" w:type="dxa"/>
              <w:start w:w="90" w:type="dxa"/>
              <w:bottom w:w="110" w:type="dxa"/>
              <w:end w:w="90" w:type="dxa"/>
            </w:tcMar>
          </w:tcPr>
          <w:p>
            <w:pPr>
              <w:jc w:val="center"/>
            </w:pPr>
            <w:r>
              <w:rPr>
                <w:b/>
                <w:color w:val="2563EB"/>
                <w:sz w:val="24"/>
              </w:rPr>
              <w:t>4</w:t>
            </w:r>
          </w:p>
          <w:p>
            <w:pPr>
              <w:pStyle w:val="Small"/>
              <w:jc w:val="center"/>
            </w:pPr>
            <w:r>
              <w:t>Fill SOAP</w:t>
            </w:r>
          </w:p>
        </w:tc>
        <w:tc>
          <w:tcPr>
            <w:tcW w:type="dxa" w:w="1680"/>
            <w:shd w:fill="EEF4FF"/>
            <w:tcMar>
              <w:top w:w="110" w:type="dxa"/>
              <w:start w:w="90" w:type="dxa"/>
              <w:bottom w:w="110" w:type="dxa"/>
              <w:end w:w="90" w:type="dxa"/>
            </w:tcMar>
          </w:tcPr>
          <w:p>
            <w:pPr>
              <w:jc w:val="center"/>
            </w:pPr>
            <w:r>
              <w:rPr>
                <w:b/>
                <w:color w:val="2563EB"/>
                <w:sz w:val="24"/>
              </w:rPr>
              <w:t>5</w:t>
            </w:r>
          </w:p>
          <w:p>
            <w:pPr>
              <w:pStyle w:val="Small"/>
              <w:jc w:val="center"/>
            </w:pPr>
            <w:r>
              <w:t>Add ICD codes</w:t>
            </w:r>
          </w:p>
        </w:tc>
        <w:tc>
          <w:tcPr>
            <w:tcW w:type="dxa" w:w="1680"/>
            <w:shd w:fill="EEF4FF"/>
            <w:tcMar>
              <w:top w:w="110" w:type="dxa"/>
              <w:start w:w="90" w:type="dxa"/>
              <w:bottom w:w="110" w:type="dxa"/>
              <w:end w:w="90" w:type="dxa"/>
            </w:tcMar>
          </w:tcPr>
          <w:p>
            <w:pPr>
              <w:jc w:val="center"/>
            </w:pPr>
            <w:r>
              <w:rPr>
                <w:b/>
                <w:color w:val="2563EB"/>
                <w:sz w:val="24"/>
              </w:rPr>
              <w:t>6</w:t>
            </w:r>
          </w:p>
          <w:p>
            <w:pPr>
              <w:pStyle w:val="Small"/>
              <w:jc w:val="center"/>
            </w:pPr>
            <w:r>
              <w:t>Sync outcome</w:t>
            </w:r>
          </w:p>
        </w:tc>
      </w:tr>
    </w:tbl>
    <w:p>
      <w:pPr>
        <w:pStyle w:val="Heading2"/>
      </w:pPr>
      <w:r>
        <w:t>How the workflow runs</w:t>
      </w:r>
    </w:p>
    <w:p>
      <w:pPr>
        <w:pStyle w:val="ListBullet"/>
        <w:ind w:left="288" w:hanging="173"/>
      </w:pPr>
      <w:r>
        <w:t>Load the bot configuration and launch a Chrome session with a persistent, bot-specific profile.</w:t>
      </w:r>
    </w:p>
    <w:p>
      <w:pPr>
        <w:pStyle w:val="ListBullet"/>
        <w:ind w:left="288" w:hanging="173"/>
      </w:pPr>
      <w:r>
        <w:t>Check the current authentication state and re-establish the session when the application returns to login or lock screens.</w:t>
      </w:r>
    </w:p>
    <w:p>
      <w:pPr>
        <w:pStyle w:val="ListBullet"/>
        <w:ind w:left="288" w:hanging="173"/>
      </w:pPr>
      <w:r>
        <w:t>Pull pending patient records from the backend API and keep a local JSON copy for recoverability.</w:t>
      </w:r>
    </w:p>
    <w:p>
      <w:pPr>
        <w:pStyle w:val="ListBullet"/>
        <w:ind w:left="288" w:hanging="173"/>
      </w:pPr>
      <w:r>
        <w:t>Search PracticeFusion for the patient, open the relevant chart or encounter, and confirm the encounter state.</w:t>
      </w:r>
    </w:p>
    <w:p>
      <w:pPr>
        <w:pStyle w:val="ListBullet"/>
        <w:ind w:left="288" w:hanging="173"/>
      </w:pPr>
      <w:r>
        <w:t>Populate the Subjective, Objective, and Plan sections using the structured patient data available to the workflow.</w:t>
      </w:r>
    </w:p>
    <w:p>
      <w:pPr>
        <w:pStyle w:val="ListBullet"/>
        <w:ind w:left="288" w:hanging="173"/>
      </w:pPr>
      <w:r>
        <w:t>Validate and attach ICD-10 diagnosis codes while avoiding codes that are malformed or already present.</w:t>
      </w:r>
    </w:p>
    <w:p>
      <w:pPr>
        <w:pStyle w:val="ListBullet"/>
        <w:ind w:left="288" w:hanging="173"/>
      </w:pPr>
      <w:r>
        <w:t>Save the workflow state, update the patient status through the API, and record success, incomplete processing, or failure details.</w:t>
      </w:r>
    </w:p>
    <w:p>
      <w:pPr>
        <w:pStyle w:val="Heading1"/>
      </w:pPr>
      <w:r>
        <w:t>03 — Key product and engineering decisions</w:t>
      </w:r>
    </w:p>
    <w:p>
      <w:pPr>
        <w:pStyle w:val="Heading2"/>
      </w:pPr>
      <w:r>
        <w:t>Use the browser as the integration layer</w:t>
      </w:r>
    </w:p>
    <w:p>
      <w:r>
        <w:t>The EHR workflow lived inside a web UI, so Selenium was used to automate the same operational path a staff member would follow. This made the solution practical for the existing environment, even though UI automation is inherently more fragile than a direct backend integration.</w:t>
      </w:r>
    </w:p>
    <w:p>
      <w:pPr>
        <w:pStyle w:val="Heading2"/>
      </w:pPr>
      <w:r>
        <w:t>Design for session recovery</w:t>
      </w:r>
    </w:p>
    <w:p>
      <w:r>
        <w:t>The automation checks for login, lock, and browser-verification states instead of assuming one uninterrupted session. When OTP verification is required, the workflow can pause for human completion rather than bypassing an important security control.</w:t>
      </w:r>
    </w:p>
    <w:p>
      <w:pPr>
        <w:pStyle w:val="Heading2"/>
      </w:pPr>
      <w:r>
        <w:t>Treat each patient as an independent job</w:t>
      </w:r>
    </w:p>
    <w:p>
      <w:r>
        <w:t>Errors are handled at the patient level. A missing encounter, an unavailable chart state, or a failed code entry can be logged without killing the entire process. This is essential for long-running automation.</w:t>
      </w:r>
    </w:p>
    <w:p>
      <w:pPr>
        <w:pStyle w:val="Heading2"/>
      </w:pPr>
      <w:r>
        <w:t>Validate before writing</w:t>
      </w:r>
    </w:p>
    <w:p>
      <w:r>
        <w:t>The workflow includes ICD format checks and duplicate detection before attaching diagnosis codes. That small safeguard is important because automation should reduce repetitive work without multiplying bad data.</w:t>
      </w:r>
    </w:p>
    <w:p>
      <w:pPr>
        <w:pStyle w:val="Heading2"/>
      </w:pPr>
      <w:r>
        <w:t>Keep operational evidence</w:t>
      </w:r>
    </w:p>
    <w:p>
      <w:r>
        <w:t>CSV logging, API status updates, local JSON records, and screenshots provide a trail of what the automation attempted and where an issue occurred. That makes maintenance and troubleshooting more practical.</w:t>
      </w:r>
    </w:p>
    <w:p>
      <w:pPr>
        <w:pStyle w:val="Heading1"/>
      </w:pPr>
      <w:r>
        <w:t>04 — Technical architecture</w:t>
      </w:r>
    </w:p>
    <w:tbl>
      <w:tblPr>
        <w:tblW w:type="auto" w:w="0"/>
        <w:tblLayout w:type="fixed"/>
        <w:tblLook w:firstColumn="1" w:firstRow="1" w:lastColumn="0" w:lastRow="0" w:noHBand="0" w:noVBand="1" w:val="04A0"/>
      </w:tblPr>
      <w:tblGrid>
        <w:gridCol w:w="2736"/>
        <w:gridCol w:w="7200"/>
      </w:tblGrid>
      <w:tr>
        <w:tc>
          <w:tcPr>
            <w:tcW w:type="dxa" w:w="5040"/>
            <w:tcMar>
              <w:top w:w="100" w:type="dxa"/>
              <w:start w:w="130" w:type="dxa"/>
              <w:bottom w:w="100" w:type="dxa"/>
              <w:end w:w="130" w:type="dxa"/>
            </w:tcMar>
            <w:shd w:fill="EDF2F7"/>
          </w:tcPr>
          <w:p>
            <w:r>
              <w:rPr>
                <w:b/>
                <w:color w:val="17324D"/>
              </w:rPr>
              <w:t>Orchestration</w:t>
            </w:r>
          </w:p>
        </w:tc>
        <w:tc>
          <w:tcPr>
            <w:tcW w:type="dxa" w:w="5040"/>
            <w:tcMar>
              <w:top w:w="100" w:type="dxa"/>
              <w:start w:w="130" w:type="dxa"/>
              <w:bottom w:w="100" w:type="dxa"/>
              <w:end w:w="130" w:type="dxa"/>
            </w:tcMar>
          </w:tcPr>
          <w:p>
            <w:r>
              <w:t>Python coordinates the end-to-end patient-processing loop and controls how each record moves through the workflow.</w:t>
            </w:r>
          </w:p>
        </w:tc>
      </w:tr>
      <w:tr>
        <w:tc>
          <w:tcPr>
            <w:tcW w:type="dxa" w:w="5040"/>
            <w:tcMar>
              <w:top w:w="100" w:type="dxa"/>
              <w:start w:w="130" w:type="dxa"/>
              <w:bottom w:w="100" w:type="dxa"/>
              <w:end w:w="130" w:type="dxa"/>
            </w:tcMar>
            <w:shd w:fill="EDF2F7"/>
          </w:tcPr>
          <w:p>
            <w:r>
              <w:rPr>
                <w:b/>
                <w:color w:val="17324D"/>
              </w:rPr>
              <w:t>Browser automation</w:t>
            </w:r>
          </w:p>
        </w:tc>
        <w:tc>
          <w:tcPr>
            <w:tcW w:type="dxa" w:w="5040"/>
            <w:tcMar>
              <w:top w:w="100" w:type="dxa"/>
              <w:start w:w="130" w:type="dxa"/>
              <w:bottom w:w="100" w:type="dxa"/>
              <w:end w:w="130" w:type="dxa"/>
            </w:tcMar>
          </w:tcPr>
          <w:p>
            <w:r>
              <w:t>Selenium + Chrome WebDriver handle PracticeFusion navigation, chart lookup, encounter interactions, waits, clicks, and browser state.</w:t>
            </w:r>
          </w:p>
        </w:tc>
      </w:tr>
      <w:tr>
        <w:tc>
          <w:tcPr>
            <w:tcW w:type="dxa" w:w="5040"/>
            <w:tcMar>
              <w:top w:w="100" w:type="dxa"/>
              <w:start w:w="130" w:type="dxa"/>
              <w:bottom w:w="100" w:type="dxa"/>
              <w:end w:w="130" w:type="dxa"/>
            </w:tcMar>
            <w:shd w:fill="EDF2F7"/>
          </w:tcPr>
          <w:p>
            <w:r>
              <w:rPr>
                <w:b/>
                <w:color w:val="17324D"/>
              </w:rPr>
              <w:t>Authentication</w:t>
            </w:r>
          </w:p>
        </w:tc>
        <w:tc>
          <w:tcPr>
            <w:tcW w:type="dxa" w:w="5040"/>
            <w:tcMar>
              <w:top w:w="100" w:type="dxa"/>
              <w:start w:w="130" w:type="dxa"/>
              <w:bottom w:w="100" w:type="dxa"/>
              <w:end w:w="130" w:type="dxa"/>
            </w:tcMar>
          </w:tcPr>
          <w:p>
            <w:r>
              <w:t>Login checks, re-login handling, lock-screen detection, and OTP/browser-verification recovery keep sessions usable.</w:t>
            </w:r>
          </w:p>
        </w:tc>
      </w:tr>
      <w:tr>
        <w:tc>
          <w:tcPr>
            <w:tcW w:type="dxa" w:w="5040"/>
            <w:tcMar>
              <w:top w:w="100" w:type="dxa"/>
              <w:start w:w="130" w:type="dxa"/>
              <w:bottom w:w="100" w:type="dxa"/>
              <w:end w:w="130" w:type="dxa"/>
            </w:tcMar>
            <w:shd w:fill="EDF2F7"/>
          </w:tcPr>
          <w:p>
            <w:r>
              <w:rPr>
                <w:b/>
                <w:color w:val="17324D"/>
              </w:rPr>
              <w:t>Data layer</w:t>
            </w:r>
          </w:p>
        </w:tc>
        <w:tc>
          <w:tcPr>
            <w:tcW w:type="dxa" w:w="5040"/>
            <w:tcMar>
              <w:top w:w="100" w:type="dxa"/>
              <w:start w:w="130" w:type="dxa"/>
              <w:bottom w:w="100" w:type="dxa"/>
              <w:end w:w="130" w:type="dxa"/>
            </w:tcMar>
          </w:tcPr>
          <w:p>
            <w:r>
              <w:t>REST API communication, JSON persistence, validation, and patient status updates keep backend and bot state synchronized.</w:t>
            </w:r>
          </w:p>
        </w:tc>
      </w:tr>
      <w:tr>
        <w:tc>
          <w:tcPr>
            <w:tcW w:type="dxa" w:w="5040"/>
            <w:tcMar>
              <w:top w:w="100" w:type="dxa"/>
              <w:start w:w="130" w:type="dxa"/>
              <w:bottom w:w="100" w:type="dxa"/>
              <w:end w:w="130" w:type="dxa"/>
            </w:tcMar>
            <w:shd w:fill="EDF2F7"/>
          </w:tcPr>
          <w:p>
            <w:r>
              <w:rPr>
                <w:b/>
                <w:color w:val="17324D"/>
              </w:rPr>
              <w:t>Configuration</w:t>
            </w:r>
          </w:p>
        </w:tc>
        <w:tc>
          <w:tcPr>
            <w:tcW w:type="dxa" w:w="5040"/>
            <w:tcMar>
              <w:top w:w="100" w:type="dxa"/>
              <w:start w:w="130" w:type="dxa"/>
              <w:bottom w:w="100" w:type="dxa"/>
              <w:end w:w="130" w:type="dxa"/>
            </w:tcMar>
          </w:tcPr>
          <w:p>
            <w:r>
              <w:t>YAML-based bot configuration supports separate credentials, API settings, browser profiles, and active bot instances.</w:t>
            </w:r>
          </w:p>
        </w:tc>
      </w:tr>
      <w:tr>
        <w:tc>
          <w:tcPr>
            <w:tcW w:type="dxa" w:w="5040"/>
            <w:tcMar>
              <w:top w:w="100" w:type="dxa"/>
              <w:start w:w="130" w:type="dxa"/>
              <w:bottom w:w="100" w:type="dxa"/>
              <w:end w:w="130" w:type="dxa"/>
            </w:tcMar>
            <w:shd w:fill="EDF2F7"/>
          </w:tcPr>
          <w:p>
            <w:r>
              <w:rPr>
                <w:b/>
                <w:color w:val="17324D"/>
              </w:rPr>
              <w:t>Observability</w:t>
            </w:r>
          </w:p>
        </w:tc>
        <w:tc>
          <w:tcPr>
            <w:tcW w:type="dxa" w:w="5040"/>
            <w:tcMar>
              <w:top w:w="100" w:type="dxa"/>
              <w:start w:w="130" w:type="dxa"/>
              <w:bottom w:w="100" w:type="dxa"/>
              <w:end w:w="130" w:type="dxa"/>
            </w:tcMar>
          </w:tcPr>
          <w:p>
            <w:r>
              <w:t>CSV logs, screenshots, result details, and local archives help explain both successful and incomplete runs.</w:t>
            </w:r>
          </w:p>
        </w:tc>
      </w:tr>
    </w:tbl>
    <w:p>
      <w:pPr>
        <w:pStyle w:val="Heading2"/>
      </w:pPr>
      <w:r>
        <w:t>Tech stack</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440"/>
        <w:gridCol w:w="1440"/>
        <w:gridCol w:w="1440"/>
        <w:gridCol w:w="1440"/>
        <w:gridCol w:w="1440"/>
        <w:gridCol w:w="1440"/>
        <w:gridCol w:w="1440"/>
      </w:tblGrid>
      <w:tr>
        <w:tc>
          <w:tcPr>
            <w:tcW w:type="dxa" w:w="1440"/>
            <w:shd w:fill="E8F0FE"/>
            <w:tcMar>
              <w:top w:w="90" w:type="dxa"/>
              <w:start w:w="110" w:type="dxa"/>
              <w:bottom w:w="90" w:type="dxa"/>
              <w:end w:w="110" w:type="dxa"/>
            </w:tcMar>
            <w:vAlign w:val="center"/>
          </w:tcPr>
          <w:p>
            <w:pPr>
              <w:jc w:val="center"/>
            </w:pPr>
            <w:r>
              <w:rPr>
                <w:b/>
                <w:color w:val="2563EB"/>
                <w:sz w:val="17"/>
              </w:rPr>
              <w:t>Python</w:t>
            </w:r>
          </w:p>
        </w:tc>
        <w:tc>
          <w:tcPr>
            <w:tcW w:type="dxa" w:w="1440"/>
            <w:shd w:fill="E8F0FE"/>
            <w:tcMar>
              <w:top w:w="90" w:type="dxa"/>
              <w:start w:w="110" w:type="dxa"/>
              <w:bottom w:w="90" w:type="dxa"/>
              <w:end w:w="110" w:type="dxa"/>
            </w:tcMar>
            <w:vAlign w:val="center"/>
          </w:tcPr>
          <w:p>
            <w:pPr>
              <w:jc w:val="center"/>
            </w:pPr>
            <w:r>
              <w:rPr>
                <w:b/>
                <w:color w:val="2563EB"/>
                <w:sz w:val="17"/>
              </w:rPr>
              <w:t>Selenium</w:t>
            </w:r>
          </w:p>
        </w:tc>
        <w:tc>
          <w:tcPr>
            <w:tcW w:type="dxa" w:w="1440"/>
            <w:shd w:fill="E8F0FE"/>
            <w:tcMar>
              <w:top w:w="90" w:type="dxa"/>
              <w:start w:w="110" w:type="dxa"/>
              <w:bottom w:w="90" w:type="dxa"/>
              <w:end w:w="110" w:type="dxa"/>
            </w:tcMar>
            <w:vAlign w:val="center"/>
          </w:tcPr>
          <w:p>
            <w:pPr>
              <w:jc w:val="center"/>
            </w:pPr>
            <w:r>
              <w:rPr>
                <w:b/>
                <w:color w:val="2563EB"/>
                <w:sz w:val="17"/>
              </w:rPr>
              <w:t>Chrome WebDriver</w:t>
            </w:r>
          </w:p>
        </w:tc>
        <w:tc>
          <w:tcPr>
            <w:tcW w:type="dxa" w:w="1440"/>
            <w:shd w:fill="E8F0FE"/>
            <w:tcMar>
              <w:top w:w="90" w:type="dxa"/>
              <w:start w:w="110" w:type="dxa"/>
              <w:bottom w:w="90" w:type="dxa"/>
              <w:end w:w="110" w:type="dxa"/>
            </w:tcMar>
            <w:vAlign w:val="center"/>
          </w:tcPr>
          <w:p>
            <w:pPr>
              <w:jc w:val="center"/>
            </w:pPr>
            <w:r>
              <w:rPr>
                <w:b/>
                <w:color w:val="2563EB"/>
                <w:sz w:val="17"/>
              </w:rPr>
              <w:t>REST APIs</w:t>
            </w:r>
          </w:p>
        </w:tc>
        <w:tc>
          <w:tcPr>
            <w:tcW w:type="dxa" w:w="1440"/>
            <w:shd w:fill="E8F0FE"/>
            <w:tcMar>
              <w:top w:w="90" w:type="dxa"/>
              <w:start w:w="110" w:type="dxa"/>
              <w:bottom w:w="90" w:type="dxa"/>
              <w:end w:w="110" w:type="dxa"/>
            </w:tcMar>
            <w:vAlign w:val="center"/>
          </w:tcPr>
          <w:p>
            <w:pPr>
              <w:jc w:val="center"/>
            </w:pPr>
            <w:r>
              <w:rPr>
                <w:b/>
                <w:color w:val="2563EB"/>
                <w:sz w:val="17"/>
              </w:rPr>
              <w:t>JSON</w:t>
            </w:r>
          </w:p>
        </w:tc>
        <w:tc>
          <w:tcPr>
            <w:tcW w:type="dxa" w:w="1440"/>
            <w:shd w:fill="E8F0FE"/>
            <w:tcMar>
              <w:top w:w="90" w:type="dxa"/>
              <w:start w:w="110" w:type="dxa"/>
              <w:bottom w:w="90" w:type="dxa"/>
              <w:end w:w="110" w:type="dxa"/>
            </w:tcMar>
            <w:vAlign w:val="center"/>
          </w:tcPr>
          <w:p>
            <w:pPr>
              <w:jc w:val="center"/>
            </w:pPr>
            <w:r>
              <w:rPr>
                <w:b/>
                <w:color w:val="2563EB"/>
                <w:sz w:val="17"/>
              </w:rPr>
              <w:t>YAML</w:t>
            </w:r>
          </w:p>
        </w:tc>
        <w:tc>
          <w:tcPr>
            <w:tcW w:type="dxa" w:w="1440"/>
            <w:shd w:fill="E8F0FE"/>
            <w:tcMar>
              <w:top w:w="90" w:type="dxa"/>
              <w:start w:w="110" w:type="dxa"/>
              <w:bottom w:w="90" w:type="dxa"/>
              <w:end w:w="110" w:type="dxa"/>
            </w:tcMar>
            <w:vAlign w:val="center"/>
          </w:tcPr>
          <w:p>
            <w:pPr>
              <w:jc w:val="center"/>
            </w:pPr>
            <w:r>
              <w:rPr>
                <w:b/>
                <w:color w:val="2563EB"/>
                <w:sz w:val="17"/>
              </w:rPr>
              <w:t>CSV Logging</w:t>
            </w:r>
          </w:p>
        </w:tc>
      </w:tr>
    </w:tbl>
    <w:p>
      <w:pPr>
        <w:spacing w:after="0"/>
      </w:pPr>
    </w:p>
    <w:p>
      <w:pPr>
        <w:pStyle w:val="Heading1"/>
      </w:pPr>
      <w:r>
        <w:t>05 — The hardest parts</w:t>
      </w:r>
    </w:p>
    <w:p>
      <w:pPr>
        <w:pStyle w:val="Heading2"/>
      </w:pPr>
      <w:r>
        <w:t>Authentication and session drift</w:t>
      </w:r>
    </w:p>
    <w:p>
      <w:r>
        <w:t>Long-running browser sessions do not stay perfectly stable. The automation needed to detect redirects, lock states, and verification prompts, then recover or pause in a controlled way.</w:t>
      </w:r>
    </w:p>
    <w:p>
      <w:pPr>
        <w:pStyle w:val="Heading2"/>
      </w:pPr>
      <w:r>
        <w:t>Dynamic EHR behavior</w:t>
      </w:r>
    </w:p>
    <w:p>
      <w:r>
        <w:t>Elements can load late, become unavailable, or respond differently depending on chart state. Explicit waits, retries, state checks, and JavaScript click fallbacks were used where normal Selenium interactions were unreliable.</w:t>
      </w:r>
    </w:p>
    <w:p>
      <w:pPr>
        <w:pStyle w:val="Heading2"/>
      </w:pPr>
      <w:r>
        <w:t>Partial failures</w:t>
      </w:r>
    </w:p>
    <w:p>
      <w:r>
        <w:t>A single patient might be missing an encounter or contain a diagnosis code that cannot be added. The system records the exact issue, marks the outcome appropriately, and continues with the next patient.</w:t>
      </w:r>
    </w:p>
    <w:p>
      <w:pPr>
        <w:pStyle w:val="Heading2"/>
      </w:pPr>
      <w:r>
        <w:t>Persistent browser profiles</w:t>
      </w:r>
    </w:p>
    <w:p>
      <w:r>
        <w:t>Bot-specific Chrome profiles help preserve session context, but stale Chrome processes can break new sessions. The startup logic cleans up conflicting processes before opening a fresh browser.</w:t>
      </w:r>
    </w:p>
    <w:p>
      <w:pPr>
        <w:pStyle w:val="Heading1"/>
      </w:pPr>
      <w:r>
        <w:t>06 — Outcome and business value</w:t>
      </w:r>
    </w:p>
    <w:p>
      <w:r>
        <w:t>The clearest impact of the project is operational: it turns a multi-step, repetitive charting workflow into a repeatable process that can run across patient records with consistent rules and visible status.</w:t>
      </w:r>
    </w:p>
    <w:p>
      <w:pPr>
        <w:pStyle w:val="ListBullet"/>
        <w:ind w:left="288" w:hanging="173"/>
      </w:pPr>
      <w:r>
        <w:t>Reduced repetitive patient lookup, navigation, and data re-entry inside the EHR.</w:t>
      </w:r>
    </w:p>
    <w:p>
      <w:pPr>
        <w:pStyle w:val="ListBullet"/>
        <w:ind w:left="288" w:hanging="173"/>
      </w:pPr>
      <w:r>
        <w:t>Standardized how structured SOAP content is placed into encounters.</w:t>
      </w:r>
    </w:p>
    <w:p>
      <w:pPr>
        <w:pStyle w:val="ListBullet"/>
        <w:ind w:left="288" w:hanging="173"/>
      </w:pPr>
      <w:r>
        <w:t>Added validation around diagnosis-code entry and duplicate handling.</w:t>
      </w:r>
    </w:p>
    <w:p>
      <w:pPr>
        <w:pStyle w:val="ListBullet"/>
        <w:ind w:left="288" w:hanging="173"/>
      </w:pPr>
      <w:r>
        <w:t>Improved visibility into processing status through backend updates, local logs, and screenshots.</w:t>
      </w:r>
    </w:p>
    <w:p>
      <w:pPr>
        <w:pStyle w:val="ListBullet"/>
        <w:ind w:left="288" w:hanging="173"/>
      </w:pPr>
      <w:r>
        <w:t>Allowed multiple configured bot instances to run with separate browser profiles and settings.</w:t>
      </w:r>
    </w:p>
    <w:p>
      <w:pPr>
        <w:pStyle w:val="ListBullet"/>
        <w:ind w:left="288" w:hanging="173"/>
      </w:pPr>
      <w:r>
        <w:t>Kept the workflow moving when individual patients hit recoverable problems.</w:t>
      </w:r>
    </w:p>
    <w:tbl>
      <w:tblPr>
        <w:tblW w:type="auto" w:w="0"/>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0FDF4"/>
            <w:tcMar>
              <w:top w:w="140" w:type="dxa"/>
              <w:start w:w="160" w:type="dxa"/>
              <w:bottom w:w="140" w:type="dxa"/>
              <w:end w:w="160" w:type="dxa"/>
            </w:tcMar>
          </w:tcPr>
          <w:p>
            <w:r>
              <w:rPr>
                <w:b/>
                <w:color w:val="15803D"/>
              </w:rPr>
              <w:t>A note on impact</w:t>
            </w:r>
          </w:p>
          <w:p>
            <w:pPr>
              <w:pStyle w:val="Small"/>
            </w:pPr>
            <w:r>
              <w:t>I intentionally avoid claiming a specific percentage of time saved or a throughput number because those metrics were not measured in the project evidence. For a portfolio, I would rather show credible engineering decisions and observable workflow improvements than invent a KPI.</w:t>
            </w:r>
          </w:p>
        </w:tc>
      </w:tr>
    </w:tbl>
    <w:p>
      <w:pPr>
        <w:pStyle w:val="Heading1"/>
      </w:pPr>
      <w:r>
        <w:t>07 — My role</w:t>
      </w:r>
    </w:p>
    <w:p>
      <w:r>
        <w:t>I owned the automation workflow from the operational logic down to the browser and data-handling layers. My work included orchestrating patient processing, integrating the backend API, managing browser profiles and authentication recovery, automating PracticeFusion navigation and encounter entry, adding ICD safeguards, and creating the logging/status mechanisms needed to support ongoing runs.</w:t>
      </w:r>
    </w:p>
    <w:p>
      <w:r>
        <w:t>The most valuable part of the work was not simply making Selenium click through an EHR. It was designing for the messy parts: session expiry, changing UI states, partial failures, stale browser processes, and the need to understand exactly what happened when automation could not complete a patient record.</w:t>
      </w:r>
    </w:p>
    <w:p>
      <w:pPr>
        <w:pStyle w:val="Heading1"/>
      </w:pPr>
      <w:r>
        <w:t>08 — What I learned</w:t>
      </w:r>
    </w:p>
    <w:p>
      <w:pPr>
        <w:pStyle w:val="ListBullet"/>
        <w:ind w:left="288" w:hanging="173"/>
      </w:pPr>
      <w:r>
        <w:t>Browser automation becomes valuable when reliability and recovery are treated as first-class features, not afterthoughts.</w:t>
      </w:r>
    </w:p>
    <w:p>
      <w:pPr>
        <w:pStyle w:val="ListBullet"/>
        <w:ind w:left="288" w:hanging="173"/>
      </w:pPr>
      <w:r>
        <w:t>In operational healthcare workflows, traceability matters as much as speed. A failed automation step needs a clear reason and a recoverable state.</w:t>
      </w:r>
    </w:p>
    <w:p>
      <w:pPr>
        <w:pStyle w:val="ListBullet"/>
        <w:ind w:left="288" w:hanging="173"/>
      </w:pPr>
      <w:r>
        <w:t>The best automation often works around the tools a team already uses instead of forcing a complete system replacement.</w:t>
      </w:r>
    </w:p>
    <w:p>
      <w:pPr>
        <w:pStyle w:val="ListBullet"/>
        <w:ind w:left="288" w:hanging="173"/>
      </w:pPr>
      <w:r>
        <w:t>Human-in-the-loop steps can be a deliberate design decision. Pausing for OTP verification is better than weakening security just to make a workflow look fully autonomous.</w:t>
      </w:r>
    </w:p>
    <w:p>
      <w:pPr>
        <w:pStyle w:val="ListBullet"/>
        <w:ind w:left="288" w:hanging="173"/>
      </w:pPr>
      <w:r>
        <w:t>Portfolio case studies are stronger when they explain trade-offs and constraints instead of presenting every project as flawless.</w:t>
      </w:r>
    </w:p>
    <w:p>
      <w:pPr>
        <w:pStyle w:val="Heading1"/>
      </w:pPr>
      <w:r>
        <w:t>Final takeaway</w:t>
      </w:r>
    </w:p>
    <w:p>
      <w:pPr>
        <w:pStyle w:val="Quote"/>
      </w:pPr>
      <w:r>
        <w:t>This project shows how I approach automation in real client environments: understand the repetitive work, design around the existing system, build for failure and recovery, and automate the parts that create the most operational friction.</w:t>
      </w:r>
    </w:p>
    <w:p>
      <w:pPr>
        <w:pStyle w:val="Heading1"/>
      </w:pPr>
      <w:r>
        <w:t>Portfolio snapshot</w:t>
      </w:r>
    </w:p>
    <w:tbl>
      <w:tblPr>
        <w:tblW w:type="auto" w:w="0"/>
        <w:tblLayout w:type="fixed"/>
        <w:tblLook w:firstColumn="1" w:firstRow="1" w:lastColumn="0" w:lastRow="0" w:noHBand="0" w:noVBand="1" w:val="04A0"/>
      </w:tblPr>
      <w:tblGrid>
        <w:gridCol w:w="2376"/>
        <w:gridCol w:w="7488"/>
      </w:tblGrid>
      <w:tr>
        <w:tc>
          <w:tcPr>
            <w:tcW w:type="dxa" w:w="5040"/>
            <w:tcMar>
              <w:top w:w="100" w:type="dxa"/>
              <w:start w:w="120" w:type="dxa"/>
              <w:bottom w:w="100" w:type="dxa"/>
              <w:end w:w="120" w:type="dxa"/>
            </w:tcMar>
            <w:shd w:fill="EDF2F7"/>
          </w:tcPr>
          <w:p>
            <w:r>
              <w:rPr>
                <w:b/>
                <w:color w:val="17324D"/>
              </w:rPr>
              <w:t>Project</w:t>
            </w:r>
          </w:p>
        </w:tc>
        <w:tc>
          <w:tcPr>
            <w:tcW w:type="dxa" w:w="5040"/>
            <w:tcMar>
              <w:top w:w="100" w:type="dxa"/>
              <w:start w:w="120" w:type="dxa"/>
              <w:bottom w:w="100" w:type="dxa"/>
              <w:end w:w="120" w:type="dxa"/>
            </w:tcMar>
          </w:tcPr>
          <w:p>
            <w:r>
              <w:t>PracticeFusion Clinical Workflow Automation</w:t>
            </w:r>
          </w:p>
        </w:tc>
      </w:tr>
      <w:tr>
        <w:tc>
          <w:tcPr>
            <w:tcW w:type="dxa" w:w="5040"/>
            <w:tcMar>
              <w:top w:w="100" w:type="dxa"/>
              <w:start w:w="120" w:type="dxa"/>
              <w:bottom w:w="100" w:type="dxa"/>
              <w:end w:w="120" w:type="dxa"/>
            </w:tcMar>
            <w:shd w:fill="EDF2F7"/>
          </w:tcPr>
          <w:p>
            <w:r>
              <w:rPr>
                <w:b/>
                <w:color w:val="17324D"/>
              </w:rPr>
              <w:t>Focus</w:t>
            </w:r>
          </w:p>
        </w:tc>
        <w:tc>
          <w:tcPr>
            <w:tcW w:type="dxa" w:w="5040"/>
            <w:tcMar>
              <w:top w:w="100" w:type="dxa"/>
              <w:start w:w="120" w:type="dxa"/>
              <w:bottom w:w="100" w:type="dxa"/>
              <w:end w:w="120" w:type="dxa"/>
            </w:tcMar>
          </w:tcPr>
          <w:p>
            <w:r>
              <w:t>EHR browser automation, SOAP documentation workflow, diagnosis-code handling, and backend status synchronization</w:t>
            </w:r>
          </w:p>
        </w:tc>
      </w:tr>
      <w:tr>
        <w:tc>
          <w:tcPr>
            <w:tcW w:type="dxa" w:w="5040"/>
            <w:tcMar>
              <w:top w:w="100" w:type="dxa"/>
              <w:start w:w="120" w:type="dxa"/>
              <w:bottom w:w="100" w:type="dxa"/>
              <w:end w:w="120" w:type="dxa"/>
            </w:tcMar>
            <w:shd w:fill="EDF2F7"/>
          </w:tcPr>
          <w:p>
            <w:r>
              <w:rPr>
                <w:b/>
                <w:color w:val="17324D"/>
              </w:rPr>
              <w:t>Stack</w:t>
            </w:r>
          </w:p>
        </w:tc>
        <w:tc>
          <w:tcPr>
            <w:tcW w:type="dxa" w:w="5040"/>
            <w:tcMar>
              <w:top w:w="100" w:type="dxa"/>
              <w:start w:w="120" w:type="dxa"/>
              <w:bottom w:w="100" w:type="dxa"/>
              <w:end w:w="120" w:type="dxa"/>
            </w:tcMar>
          </w:tcPr>
          <w:p>
            <w:r>
              <w:t>Python, Selenium, Chrome WebDriver, REST APIs, JSON, YAML, CSV logging</w:t>
            </w:r>
          </w:p>
        </w:tc>
      </w:tr>
      <w:tr>
        <w:tc>
          <w:tcPr>
            <w:tcW w:type="dxa" w:w="5040"/>
            <w:tcMar>
              <w:top w:w="100" w:type="dxa"/>
              <w:start w:w="120" w:type="dxa"/>
              <w:bottom w:w="100" w:type="dxa"/>
              <w:end w:w="120" w:type="dxa"/>
            </w:tcMar>
            <w:shd w:fill="EDF2F7"/>
          </w:tcPr>
          <w:p>
            <w:r>
              <w:rPr>
                <w:b/>
                <w:color w:val="17324D"/>
              </w:rPr>
              <w:t>Best portfolio angle</w:t>
            </w:r>
          </w:p>
        </w:tc>
        <w:tc>
          <w:tcPr>
            <w:tcW w:type="dxa" w:w="5040"/>
            <w:tcMar>
              <w:top w:w="100" w:type="dxa"/>
              <w:start w:w="120" w:type="dxa"/>
              <w:bottom w:w="100" w:type="dxa"/>
              <w:end w:w="120" w:type="dxa"/>
            </w:tcMar>
          </w:tcPr>
          <w:p>
            <w:r>
              <w:t>Reliable automation for a complex healthcare workflow with authentication recovery, state handling, validation, and partial-failure resilience</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PracticeFusion Clinical Workflow Automation — Portfolio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563E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360" w:right="360"/>
    </w:pPr>
    <w:rPr>
      <w:rFonts w:ascii="Aptos" w:hAnsi="Aptos"/>
      <w:b w:val="0"/>
      <w:i/>
      <w:iCs/>
      <w:color w:val="17324D"/>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Aptos" w:hAnsi="Aptos"/>
      <w:b/>
      <w:caps/>
      <w:color w:val="0F766E"/>
      <w:sz w:val="18"/>
    </w:rPr>
  </w:style>
  <w:style w:type="paragraph" w:customStyle="1" w:styleId="Lead">
    <w:name w:val="Lead"/>
    <w:pPr>
      <w:spacing w:after="280" w:line="264" w:lineRule="auto"/>
    </w:pPr>
    <w:rPr>
      <w:rFonts w:ascii="Aptos" w:hAnsi="Aptos"/>
      <w:b w:val="0"/>
      <w:color w:val="52606D"/>
      <w:sz w:val="26"/>
    </w:rPr>
  </w:style>
  <w:style w:type="paragraph" w:customStyle="1" w:styleId="Small">
    <w:name w:val="Small"/>
    <w:rPr>
      <w:rFonts w:ascii="Aptos" w:hAnsi="Aptos"/>
      <w:b w:val="0"/>
      <w:color w:val="52606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