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WithEffects.xml" ContentType="application/vnd.ms-word.stylesWithEffects+xml"/>
  <Override PartName="/word/webSettings.xml" ContentType="application/vnd.openxmlformats-officedocument.wordprocessingml.webSettings+xml"/>
  <Override PartName="/docProps/thumbnail.jpeg" ContentType="image/jpeg"/>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package/2006/relationships/metadata/thumbnail" Target="docProps/thumbnail.jpeg"/><Relationship Id="rId2"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before="0" w:after="40"/>
        <w:jc w:val="center"/>
      </w:pPr>
      <w:r>
        <w:rPr>
          <w:rFonts w:ascii="Arial" w:hAnsi="Arial"/>
          <w:b/>
          <w:color w:val="64748B"/>
          <w:sz w:val="24"/>
        </w:rPr>
        <w:t xml:space="preserve">KPPSC PMS EUROPEAN HISTORY (PAPER I) Master study Notes</w:t>
      </w:r>
      <w:r>
        <w:rPr>
          <w:rFonts w:ascii="Arial" w:hAnsi="Arial"/>
          <w:b/>
          <w:color w:val="0E2B50"/>
          <w:sz w:val="32"/>
        </w:rPr>
        <w:t xml:space="preserve"> </w:t>
      </w:r>
    </w:p>
    <w:tbl>
      <w:tblPr>
        <w:tblW w:w="0" w:type="auto"/>
        <w:jc w:val="center"/>
        <w:tblLayout w:type="fixed"/>
        <w:tblLook w:val="04A0" w:firstRow="1" w:lastRow="0" w:firstColumn="1" w:lastColumn="0" w:noHBand="0" w:noVBand="1"/>
      </w:tblPr>
      <w:tblGrid>
        <w:gridCol w:w="3171"/>
        <w:gridCol w:w="6765"/>
      </w:tblGrid>
      <w:tr>
        <w:tc>
          <w:tcPr>
            <w:tcW w:w="3171" w:type="dxa"/>
            <w:shd w:val="clear" w:color="auto" w:fill="0E2B50"/>
            <w:tcMar>
              <w:top w:w="60" w:type="dxa"/>
              <w:left w:w="100" w:type="dxa"/>
              <w:bottom w:w="60" w:type="dxa"/>
              <w:right w:w="100" w:type="dxa"/>
            </w:tcMar>
          </w:tcPr>
          <w:p>
            <w:pPr>
              <w:spacing w:after="0"/>
            </w:pPr>
            <w:r>
              <w:rPr>
                <w:rFonts w:ascii="Arial" w:hAnsi="Arial"/>
                <w:b/>
                <w:color w:val="FFFFFF"/>
                <w:sz w:val="18"/>
              </w:rPr>
              <w:t xml:space="preserve">EXAM QUESTION (2025):</w:t>
            </w:r>
          </w:p>
        </w:tc>
        <w:tc>
          <w:tcPr>
            <w:tcW w:w="6765" w:type="dxa"/>
            <w:shd w:val="clear" w:color="auto" w:fill="F8FAFC"/>
            <w:tcMar>
              <w:top w:w="60" w:type="dxa"/>
              <w:left w:w="100" w:type="dxa"/>
              <w:bottom w:w="60" w:type="dxa"/>
              <w:right w:w="100" w:type="dxa"/>
            </w:tcMar>
          </w:tcPr>
          <w:p>
            <w:pPr>
              <w:spacing w:after="0"/>
            </w:pPr>
            <w:r>
              <w:rPr>
                <w:rFonts w:ascii="Georgia" w:hAnsi="Georgia"/>
                <w:color w:val="1E293B"/>
                <w:sz w:val="19"/>
              </w:rPr>
              <w:t xml:space="preserve">Q.1 Examine the internal and external factors that contributed to the rise of Napoleon Bonaparte. How far did Napoleon's rule continue or betray the ideals of the French Revolution?</w:t>
            </w:r>
          </w:p>
        </w:tc>
      </w:tr>
      <w:tr>
        <w:tc>
          <w:tcPr>
            <w:tcW w:w="3171" w:type="dxa"/>
            <w:shd w:val="clear" w:color="auto" w:fill="0E2B50"/>
            <w:tcMar>
              <w:top w:w="60" w:type="dxa"/>
              <w:left w:w="100" w:type="dxa"/>
              <w:bottom w:w="60" w:type="dxa"/>
              <w:right w:w="100" w:type="dxa"/>
            </w:tcMar>
          </w:tcPr>
          <w:p>
            <w:pPr>
              <w:spacing w:after="0"/>
            </w:pPr>
            <w:r>
              <w:rPr>
                <w:rFonts w:ascii="Arial" w:hAnsi="Arial"/>
                <w:b/>
                <w:color w:val="FFFFFF"/>
                <w:sz w:val="18"/>
              </w:rPr>
              <w:t xml:space="preserve">CORE SYLLABUS TOPIC:</w:t>
            </w:r>
          </w:p>
        </w:tc>
        <w:tc>
          <w:tcPr>
            <w:tcW w:w="6765" w:type="dxa"/>
            <w:shd w:val="clear" w:color="auto" w:fill="F8FAFC"/>
            <w:tcMar>
              <w:top w:w="60" w:type="dxa"/>
              <w:left w:w="100" w:type="dxa"/>
              <w:bottom w:w="60" w:type="dxa"/>
              <w:right w:w="100" w:type="dxa"/>
            </w:tcMar>
          </w:tcPr>
          <w:p>
            <w:pPr>
              <w:spacing w:after="0"/>
            </w:pPr>
            <w:r>
              <w:rPr>
                <w:rFonts w:ascii="Georgia" w:hAnsi="Georgia"/>
                <w:color w:val="1E293B"/>
                <w:sz w:val="19"/>
              </w:rPr>
              <w:t xml:space="preserve">Section 2: The Napoleonic Era (1799–1815) &amp; Legacy of the 1789 Revolution</w:t>
            </w:r>
          </w:p>
        </w:tc>
      </w:tr>
      <w:tr>
        <w:tc>
          <w:tcPr>
            <w:tcW w:w="3171" w:type="dxa"/>
            <w:shd w:val="clear" w:color="auto" w:fill="0E2B50"/>
            <w:tcMar>
              <w:top w:w="60" w:type="dxa"/>
              <w:left w:w="100" w:type="dxa"/>
              <w:bottom w:w="60" w:type="dxa"/>
              <w:right w:w="100" w:type="dxa"/>
            </w:tcMar>
          </w:tcPr>
          <w:p>
            <w:pPr>
              <w:spacing w:after="0"/>
            </w:pPr>
            <w:r>
              <w:rPr>
                <w:rFonts w:ascii="Arial" w:hAnsi="Arial"/>
                <w:b/>
                <w:color w:val="FFFFFF"/>
                <w:sz w:val="18"/>
              </w:rPr>
              <w:t xml:space="preserve">KEY HISTORIOGRAPHICAL LENS:</w:t>
            </w:r>
          </w:p>
        </w:tc>
        <w:tc>
          <w:tcPr>
            <w:tcW w:w="6765" w:type="dxa"/>
            <w:shd w:val="clear" w:color="auto" w:fill="F8FAFC"/>
            <w:tcMar>
              <w:top w:w="60" w:type="dxa"/>
              <w:left w:w="100" w:type="dxa"/>
              <w:bottom w:w="60" w:type="dxa"/>
              <w:right w:w="100" w:type="dxa"/>
            </w:tcMar>
          </w:tcPr>
          <w:p>
            <w:pPr>
              <w:spacing w:after="0"/>
            </w:pPr>
            <w:r>
              <w:rPr>
                <w:rFonts w:ascii="Georgia" w:hAnsi="Georgia"/>
                <w:color w:val="1E293B"/>
                <w:sz w:val="19"/>
              </w:rPr>
              <w:t xml:space="preserve">The 'Napoleonic Paradox': Authoritarian Consolidator (Social Equality) vs. Imperial Autocrat (Political Liberty)</w:t>
            </w:r>
          </w:p>
        </w:tc>
      </w:tr>
    </w:tbl>
    <w:p>
      <w:pPr>
        <w:spacing w:after="160"/>
      </w:pPr>
    </w:p>
    <w:tbl>
      <w:tblPr>
        <w:tblW w:w="0" w:type="auto"/>
        <w:jc w:val="center"/>
        <w:tblLayout w:type="fixed"/>
        <w:tblLook w:val="04A0" w:firstRow="1" w:lastRow="0" w:firstColumn="1" w:lastColumn="0" w:noHBand="0" w:noVBand="1"/>
      </w:tblPr>
      <w:tblGrid>
        <w:gridCol w:w="9936"/>
      </w:tblGrid>
      <w:tr>
        <w:tc>
          <w:tcPr>
            <w:tcW w:w="9360" w:type="dxa"/>
            <w:shd w:val="clear" w:color="auto" w:fill="F0F4F8"/>
            <w:tcMar>
              <w:top w:w="140" w:type="dxa"/>
              <w:left w:w="200" w:type="dxa"/>
              <w:bottom w:w="140" w:type="dxa"/>
              <w:right w:w="200" w:type="dxa"/>
            </w:tcMar>
          </w:tcPr>
          <w:p>
            <w:pPr>
              <w:spacing w:before="0" w:after="80"/>
            </w:pPr>
            <w:r>
              <w:rPr>
                <w:rFonts w:ascii="Arial" w:hAnsi="Arial"/>
                <w:b/>
                <w:color w:val="0E2B50"/>
                <w:sz w:val="21"/>
              </w:rPr>
              <w:t xml:space="preserve">📌 EXAM ESSENTIAL TAKEAWAY</w:t>
            </w:r>
          </w:p>
          <w:p>
            <w:pPr>
              <w:spacing w:before="0" w:after="80"/>
              <w:rPr>
                <w:rFonts w:ascii="Arial" w:hAnsi="Arial"/>
                <w:b/>
                <w:color w:val="0E2B50"/>
                <w:sz w:val="21"/>
              </w:rPr>
            </w:pPr>
          </w:p>
          <w:p>
            <w:pPr>
              <w:spacing w:before="40" w:after="40"/>
            </w:pPr>
            <w:r>
              <w:rPr>
                <w:rFonts w:ascii="Georgia" w:hAnsi="Georgia"/>
                <w:color w:val="1E293B"/>
                <w:sz w:val="20"/>
              </w:rPr>
              <w:t xml:space="preserve">1. The question has TWO distinct halves: (A) Factors of Rise (Internal vs. External), and (B) Evaluation of Ideals (Continuator vs. Betrayer). Both must receive equal analytical weight.</w:t>
            </w:r>
          </w:p>
          <w:p>
            <w:pPr>
              <w:spacing w:before="40" w:after="40"/>
            </w:pPr>
            <w:r>
              <w:rPr>
                <w:rFonts w:ascii="Georgia" w:hAnsi="Georgia"/>
                <w:color w:val="1E293B"/>
                <w:sz w:val="20"/>
              </w:rPr>
              <w:t xml:space="preserve">2. The French Revolution's motto was threefold: Liberty (political rights), Equality (legal rights), and Fraternity (national brotherhood). </w:t>
            </w:r>
            <w:r>
              <w:rPr>
                <w:rFonts w:ascii="Georgia" w:hAnsi="Georgia"/>
                <w:b/>
                <w:bCs/>
                <w:color w:val="1E293B"/>
                <w:sz w:val="20"/>
                <w:u w:val="single"/>
              </w:rPr>
              <w:t xml:space="preserve">Napoleon preserved Equality but destroyed Liberty.</w:t>
            </w:r>
          </w:p>
          <w:p>
            <w:pPr>
              <w:spacing w:before="40" w:after="40"/>
            </w:pPr>
            <w:r>
              <w:rPr>
                <w:rFonts w:ascii="Georgia" w:hAnsi="Georgia"/>
                <w:color w:val="1E293B"/>
                <w:sz w:val="20"/>
              </w:rPr>
              <w:t xml:space="preserve">3. High scoring answers cite exact institutional reforms:</w:t>
            </w:r>
            <w:r>
              <w:rPr>
                <w:rFonts w:ascii="Georgia" w:hAnsi="Georgia"/>
                <w:b/>
                <w:bCs/>
                <w:color w:val="1E293B"/>
                <w:sz w:val="20"/>
              </w:rPr>
              <w:t xml:space="preserve"> Code Napoléon (1804), Concordat (1801), Bank of France (1800), and Lycées.</w:t>
            </w:r>
          </w:p>
        </w:tc>
      </w:tr>
    </w:tbl>
    <w:p>
      <w:pPr>
        <w:spacing w:after="200"/>
      </w:pPr>
    </w:p>
    <w:p>
      <w:pPr>
        <w:pBdr>
          <w:top w:val="single" w:sz="4" w:space="1" w:color="auto"/>
          <w:left w:val="single" w:sz="4" w:space="1" w:color="auto"/>
          <w:bottom w:val="single" w:sz="4" w:space="1" w:color="auto"/>
          <w:right w:val="single" w:sz="4" w:space="1" w:color="auto"/>
          <w:between w:val="single" w:sz="4" w:space="1" w:color="auto"/>
        </w:pBdr>
        <w:shd w:val="clear" w:color="auto" w:fill="F2DCDB"/>
        <w:spacing w:before="320" w:after="80"/>
      </w:pPr>
      <w:r>
        <w:rPr>
          <w:rFonts w:ascii="Arial" w:hAnsi="Arial"/>
          <w:b/>
          <w:color w:val="0E2B50"/>
          <w:sz w:val="24"/>
        </w:rPr>
        <w:t xml:space="preserve">1. CONCEPTUAL MIND MAP: CAUSAL PATHWAY TO POWER</w:t>
      </w:r>
    </w:p>
    <w:p>
      <w:pPr>
        <w:spacing w:after="240"/>
        <w:rPr>
          <w:sz w:val="20"/>
          <w:szCs w:val="20"/>
        </w:rPr>
      </w:pPr>
      <w:r>
        <w:rPr>
          <w:rFonts w:ascii="Consolas" w:hAnsi="Consolas"/>
          <w:b/>
          <w:bCs/>
          <w:color w:val="0F172A"/>
          <w:sz w:val="20"/>
          <w:szCs w:val="20"/>
        </w:rPr>
        <w:t xml:space="preserve">1789: Outbreak of Revolution </w:t>
      </w:r>
      <w:r>
        <w:rPr>
          <w:rFonts w:ascii="Consolas" w:hAnsi="Consolas"/>
          <w:color w:val="0F172A"/>
          <w:sz w:val="20"/>
          <w:szCs w:val="20"/>
        </w:rPr>
        <w:t xml:space="preserve">➔ Overthrow of Feudal Privileges &amp; Absolute Monarchy</w:t>
        <w:br/>
        <w:t xml:space="preserve">  └── </w:t>
      </w:r>
      <w:r>
        <w:rPr>
          <w:rFonts w:ascii="Consolas" w:hAnsi="Consolas"/>
          <w:b/>
          <w:bCs/>
          <w:color w:val="0F172A"/>
          <w:sz w:val="20"/>
          <w:szCs w:val="20"/>
        </w:rPr>
        <w:t xml:space="preserve">1793–1794: Reign of Terror (Robespierre)</w:t>
      </w:r>
      <w:r>
        <w:rPr>
          <w:rFonts w:ascii="Consolas" w:hAnsi="Consolas"/>
          <w:color w:val="0F172A"/>
          <w:sz w:val="20"/>
          <w:szCs w:val="20"/>
        </w:rPr>
        <w:t xml:space="preserve"> ➔ Guillotine, Paranoia, Mass Executions</w:t>
        <w:br/>
        <w:t xml:space="preserve">        └── </w:t>
      </w:r>
      <w:r>
        <w:rPr>
          <w:rFonts w:ascii="Consolas" w:hAnsi="Consolas"/>
          <w:b/>
          <w:bCs/>
          <w:color w:val="0F172A"/>
          <w:sz w:val="20"/>
          <w:szCs w:val="20"/>
        </w:rPr>
        <w:t xml:space="preserve">1795–1799: The Directory </w:t>
      </w:r>
      <w:r>
        <w:rPr>
          <w:rFonts w:ascii="Consolas" w:hAnsi="Consolas"/>
          <w:color w:val="0F172A"/>
          <w:sz w:val="20"/>
          <w:szCs w:val="20"/>
        </w:rPr>
        <w:t xml:space="preserve">➔ Extreme Corruption, Inflation, Bread Shortages, Chaos</w:t>
        <w:br/>
        <w:t xml:space="preserve">              ├── </w:t>
      </w:r>
      <w:r>
        <w:rPr>
          <w:rFonts w:ascii="Consolas" w:hAnsi="Consolas"/>
          <w:b/>
          <w:bCs/>
          <w:color w:val="0F172A"/>
          <w:sz w:val="20"/>
          <w:szCs w:val="20"/>
        </w:rPr>
        <w:t xml:space="preserve">INTERNAL VACUUM:</w:t>
      </w:r>
      <w:r>
        <w:rPr>
          <w:rFonts w:ascii="Consolas" w:hAnsi="Consolas"/>
          <w:color w:val="0F172A"/>
          <w:sz w:val="20"/>
          <w:szCs w:val="20"/>
        </w:rPr>
        <w:t xml:space="preserve"> Bourgeoisie &amp; Peasants demand Law, Order, and Property Security</w:t>
        <w:br/>
        <w:t xml:space="preserve">              ├── </w:t>
      </w:r>
      <w:r>
        <w:rPr>
          <w:rFonts w:ascii="Consolas" w:hAnsi="Consolas"/>
          <w:b/>
          <w:bCs/>
          <w:color w:val="0F172A"/>
          <w:sz w:val="20"/>
          <w:szCs w:val="20"/>
        </w:rPr>
        <w:t xml:space="preserve">EXTERNAL GLORY:</w:t>
      </w:r>
      <w:r>
        <w:rPr>
          <w:rFonts w:ascii="Consolas" w:hAnsi="Consolas"/>
          <w:color w:val="0F172A"/>
          <w:sz w:val="20"/>
          <w:szCs w:val="20"/>
        </w:rPr>
        <w:t xml:space="preserve"> Coalition Wars ➔ Napoleon emerges as undefeated National Hero</w:t>
        <w:br/>
        <w:t xml:space="preserve">              └── </w:t>
      </w:r>
      <w:r>
        <w:rPr>
          <w:rFonts w:ascii="Consolas" w:hAnsi="Consolas"/>
          <w:b/>
          <w:bCs/>
          <w:color w:val="0F172A"/>
          <w:sz w:val="20"/>
          <w:szCs w:val="20"/>
        </w:rPr>
        <w:t xml:space="preserve">1799: Coup of 18 Brumaire</w:t>
      </w:r>
      <w:r>
        <w:rPr>
          <w:rFonts w:ascii="Consolas" w:hAnsi="Consolas"/>
          <w:color w:val="0F172A"/>
          <w:sz w:val="20"/>
          <w:szCs w:val="20"/>
        </w:rPr>
        <w:t xml:space="preserve"> ➔ Napoleon takes power ➔ Consulate ➔ Empire (1804)</w:t>
      </w:r>
    </w:p>
    <w:p>
      <w:pPr>
        <w:spacing w:after="240"/>
        <w:rPr>
          <w:rFonts w:ascii="Consolas" w:hAnsi="Consolas"/>
          <w:color w:val="0F172A"/>
          <w:sz w:val="18"/>
        </w:rPr>
      </w:pPr>
    </w:p>
    <w:p>
      <w:pPr>
        <w:spacing w:after="240"/>
        <w:rPr>
          <w:rFonts w:ascii="Consolas" w:hAnsi="Consolas"/>
          <w:color w:val="0F172A"/>
          <w:sz w:val="18"/>
        </w:rPr>
      </w:pPr>
    </w:p>
    <w:p>
      <w:pPr>
        <w:pBdr>
          <w:top w:val="single" w:sz="4" w:space="1" w:color="auto"/>
          <w:left w:val="single" w:sz="4" w:space="1" w:color="auto"/>
          <w:bottom w:val="single" w:sz="4" w:space="1" w:color="auto"/>
          <w:right w:val="single" w:sz="4" w:space="1" w:color="auto"/>
          <w:between w:val="single" w:sz="4" w:space="1" w:color="auto"/>
        </w:pBdr>
        <w:shd w:val="clear" w:color="auto" w:fill="F2DCDB"/>
        <w:spacing w:before="280" w:after="80"/>
      </w:pPr>
      <w:r>
        <w:rPr>
          <w:rFonts w:ascii="Arial" w:hAnsi="Arial"/>
          <w:b/>
          <w:color w:val="0E2B50"/>
          <w:sz w:val="24"/>
        </w:rPr>
        <w:t xml:space="preserve">2. CHRONOLOGICAL MILESTONES (1793 – 1815)</w:t>
      </w:r>
    </w:p>
    <w:tbl>
      <w:tblPr>
        <w:tblW w:w="0" w:type="auto"/>
        <w:jc w:val="center"/>
        <w:tblLayout w:type="fixed"/>
        <w:tblLook w:val="04A0" w:firstRow="1" w:lastRow="0" w:firstColumn="1" w:lastColumn="0" w:noHBand="0" w:noVBand="1"/>
      </w:tblPr>
      <w:tblGrid>
        <w:gridCol w:w="1321"/>
        <w:gridCol w:w="2224"/>
        <w:gridCol w:w="6994"/>
      </w:tblGrid>
      <w:tr>
        <w:trPr>
          <w:trHeight w:val="445" w:hRule="atLeast"/>
        </w:trPr>
        <w:tc>
          <w:tcPr>
            <w:tcW w:w="1321" w:type="dxa"/>
            <w:shd w:val="clear" w:color="auto" w:fill="0E2B50"/>
            <w:tcMar>
              <w:top w:w="60" w:type="dxa"/>
              <w:left w:w="80" w:type="dxa"/>
              <w:bottom w:w="60" w:type="dxa"/>
              <w:right w:w="80" w:type="dxa"/>
            </w:tcMar>
          </w:tcPr>
          <w:p>
            <w:r>
              <w:rPr>
                <w:rFonts w:ascii="Arial" w:hAnsi="Arial"/>
                <w:b/>
                <w:color w:val="FFFFFF"/>
                <w:sz w:val="18"/>
              </w:rPr>
              <w:t xml:space="preserve">YEAR</w:t>
            </w:r>
          </w:p>
        </w:tc>
        <w:tc>
          <w:tcPr>
            <w:tcW w:w="2224" w:type="dxa"/>
            <w:shd w:val="clear" w:color="auto" w:fill="0E2B50"/>
            <w:tcMar>
              <w:top w:w="60" w:type="dxa"/>
              <w:left w:w="80" w:type="dxa"/>
              <w:bottom w:w="60" w:type="dxa"/>
              <w:right w:w="80" w:type="dxa"/>
            </w:tcMar>
          </w:tcPr>
          <w:p>
            <w:r>
              <w:rPr>
                <w:rFonts w:ascii="Arial" w:hAnsi="Arial"/>
                <w:b/>
                <w:color w:val="FFFFFF"/>
                <w:sz w:val="18"/>
              </w:rPr>
              <w:t xml:space="preserve">EVENT / ACTION</w:t>
            </w:r>
          </w:p>
        </w:tc>
        <w:tc>
          <w:tcPr>
            <w:tcW w:w="6994" w:type="dxa"/>
            <w:shd w:val="clear" w:color="auto" w:fill="0E2B50"/>
            <w:tcMar>
              <w:top w:w="60" w:type="dxa"/>
              <w:left w:w="80" w:type="dxa"/>
              <w:bottom w:w="60" w:type="dxa"/>
              <w:right w:w="80" w:type="dxa"/>
            </w:tcMar>
          </w:tcPr>
          <w:p>
            <w:r>
              <w:rPr>
                <w:rFonts w:ascii="Arial" w:hAnsi="Arial"/>
                <w:b/>
                <w:color w:val="FFFFFF"/>
                <w:sz w:val="18"/>
              </w:rPr>
              <w:t xml:space="preserve">STRATEGIC SIGNIFICANCE</w:t>
            </w:r>
          </w:p>
        </w:tc>
      </w:tr>
      <w:tr>
        <w:trPr>
          <w:trHeight w:val="226" w:hRule="atLeast"/>
        </w:trPr>
        <w:tc>
          <w:tcPr>
            <w:tcW w:w="1321"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1793</w:t>
            </w:r>
          </w:p>
        </w:tc>
        <w:tc>
          <w:tcPr>
            <w:tcW w:w="2224" w:type="dxa"/>
            <w:shd w:val="clear" w:color="auto" w:fill="F8FAFC"/>
            <w:tcMar>
              <w:top w:w="50" w:type="dxa"/>
              <w:left w:w="80" w:type="dxa"/>
              <w:bottom w:w="50" w:type="dxa"/>
              <w:right w:w="80" w:type="dxa"/>
            </w:tcMar>
          </w:tcPr>
          <w:p>
            <w:pPr>
              <w:spacing w:after="0"/>
            </w:pPr>
            <w:r>
              <w:rPr>
                <w:rFonts w:ascii="Georgia" w:hAnsi="Georgia"/>
                <w:color w:val="1E293B"/>
                <w:sz w:val="17"/>
              </w:rPr>
              <w:t xml:space="preserve">Siege of Toulon</w:t>
            </w:r>
          </w:p>
        </w:tc>
        <w:tc>
          <w:tcPr>
            <w:tcW w:w="6994" w:type="dxa"/>
            <w:shd w:val="clear" w:color="auto" w:fill="F8FAFC"/>
            <w:tcMar>
              <w:top w:w="50" w:type="dxa"/>
              <w:left w:w="80" w:type="dxa"/>
              <w:bottom w:w="50" w:type="dxa"/>
              <w:right w:w="80" w:type="dxa"/>
            </w:tcMar>
          </w:tcPr>
          <w:p>
            <w:pPr>
              <w:spacing w:after="0"/>
            </w:pPr>
            <w:r>
              <w:rPr>
                <w:rFonts w:ascii="Georgia" w:hAnsi="Georgia"/>
                <w:color w:val="1E293B"/>
                <w:sz w:val="17"/>
              </w:rPr>
              <w:t xml:space="preserve">Recaptured French naval base from British fleet; promoted to Brigadier General at age 24.</w:t>
            </w:r>
          </w:p>
        </w:tc>
      </w:tr>
      <w:tr>
        <w:trPr>
          <w:trHeight w:val="451" w:hRule="atLeast"/>
        </w:trPr>
        <w:tc>
          <w:tcPr>
            <w:tcW w:w="1321"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1795</w:t>
            </w:r>
          </w:p>
        </w:tc>
        <w:tc>
          <w:tcPr>
            <w:tcW w:w="2224" w:type="dxa"/>
            <w:shd w:val="clear" w:color="auto" w:fill="FFFFFF"/>
            <w:tcMar>
              <w:top w:w="50" w:type="dxa"/>
              <w:left w:w="80" w:type="dxa"/>
              <w:bottom w:w="50" w:type="dxa"/>
              <w:right w:w="80" w:type="dxa"/>
            </w:tcMar>
          </w:tcPr>
          <w:p>
            <w:pPr>
              <w:spacing w:after="0"/>
            </w:pPr>
            <w:r>
              <w:rPr>
                <w:rFonts w:ascii="Georgia" w:hAnsi="Georgia"/>
                <w:color w:val="1E293B"/>
                <w:sz w:val="17"/>
              </w:rPr>
              <w:t xml:space="preserve">13 Vendémiaire </w:t>
            </w:r>
          </w:p>
          <w:p>
            <w:pPr>
              <w:spacing w:after="0"/>
              <w:rPr>
                <w:rFonts w:ascii="Georgia" w:hAnsi="Georgia"/>
                <w:color w:val="1E293B"/>
                <w:sz w:val="17"/>
              </w:rPr>
            </w:pPr>
            <w:r>
              <w:rPr>
                <w:rFonts w:ascii="Georgia" w:hAnsi="Georgia"/>
                <w:color w:val="1E293B"/>
                <w:sz w:val="17"/>
              </w:rPr>
              <w:t xml:space="preserve">('Whiff of Grapeshot')</w:t>
            </w:r>
          </w:p>
        </w:tc>
        <w:tc>
          <w:tcPr>
            <w:tcW w:w="6994" w:type="dxa"/>
            <w:shd w:val="clear" w:color="auto" w:fill="FFFFFF"/>
            <w:tcMar>
              <w:top w:w="50" w:type="dxa"/>
              <w:left w:w="80" w:type="dxa"/>
              <w:bottom w:w="50" w:type="dxa"/>
              <w:right w:w="80" w:type="dxa"/>
            </w:tcMar>
          </w:tcPr>
          <w:p>
            <w:pPr>
              <w:spacing w:after="0"/>
            </w:pPr>
            <w:r>
              <w:rPr>
                <w:rFonts w:ascii="Georgia" w:hAnsi="Georgia"/>
                <w:color w:val="1E293B"/>
                <w:sz w:val="17"/>
              </w:rPr>
              <w:t xml:space="preserve">Defended the National Convention from Royalist mob; earned total trust of Paris political leaders.</w:t>
            </w:r>
          </w:p>
        </w:tc>
      </w:tr>
      <w:tr>
        <w:trPr>
          <w:trHeight w:val="451" w:hRule="atLeast"/>
        </w:trPr>
        <w:tc>
          <w:tcPr>
            <w:tcW w:w="1321"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1796–1797</w:t>
            </w:r>
          </w:p>
        </w:tc>
        <w:tc>
          <w:tcPr>
            <w:tcW w:w="2224" w:type="dxa"/>
            <w:shd w:val="clear" w:color="auto" w:fill="F8FAFC"/>
            <w:tcMar>
              <w:top w:w="50" w:type="dxa"/>
              <w:left w:w="80" w:type="dxa"/>
              <w:bottom w:w="50" w:type="dxa"/>
              <w:right w:w="80" w:type="dxa"/>
            </w:tcMar>
          </w:tcPr>
          <w:p>
            <w:pPr>
              <w:spacing w:after="0"/>
            </w:pPr>
            <w:r>
              <w:rPr>
                <w:rFonts w:ascii="Georgia" w:hAnsi="Georgia"/>
                <w:color w:val="1E293B"/>
                <w:sz w:val="17"/>
              </w:rPr>
              <w:t xml:space="preserve">Italian Campaign (Montenotte, Lodi, Rivoli)</w:t>
            </w:r>
          </w:p>
        </w:tc>
        <w:tc>
          <w:tcPr>
            <w:tcW w:w="6994" w:type="dxa"/>
            <w:shd w:val="clear" w:color="auto" w:fill="F8FAFC"/>
            <w:tcMar>
              <w:top w:w="50" w:type="dxa"/>
              <w:left w:w="80" w:type="dxa"/>
              <w:bottom w:w="50" w:type="dxa"/>
              <w:right w:w="80" w:type="dxa"/>
            </w:tcMar>
          </w:tcPr>
          <w:p>
            <w:pPr>
              <w:spacing w:after="0"/>
            </w:pPr>
            <w:r>
              <w:rPr>
                <w:rFonts w:ascii="Georgia" w:hAnsi="Georgia"/>
                <w:color w:val="1E293B"/>
                <w:sz w:val="17"/>
              </w:rPr>
              <w:t xml:space="preserve">Defeated 4 Austrian armies; personally negotiated Treaty of Campo Formio; emerged as popular icon.</w:t>
            </w:r>
          </w:p>
        </w:tc>
      </w:tr>
      <w:tr>
        <w:trPr>
          <w:trHeight w:val="451" w:hRule="atLeast"/>
        </w:trPr>
        <w:tc>
          <w:tcPr>
            <w:tcW w:w="1321"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1798–1799</w:t>
            </w:r>
          </w:p>
        </w:tc>
        <w:tc>
          <w:tcPr>
            <w:tcW w:w="2224" w:type="dxa"/>
            <w:shd w:val="clear" w:color="auto" w:fill="FFFFFF"/>
            <w:tcMar>
              <w:top w:w="50" w:type="dxa"/>
              <w:left w:w="80" w:type="dxa"/>
              <w:bottom w:w="50" w:type="dxa"/>
              <w:right w:w="80" w:type="dxa"/>
            </w:tcMar>
          </w:tcPr>
          <w:p>
            <w:pPr>
              <w:spacing w:after="0"/>
            </w:pPr>
            <w:r>
              <w:rPr>
                <w:rFonts w:ascii="Georgia" w:hAnsi="Georgia"/>
                <w:color w:val="1E293B"/>
                <w:sz w:val="17"/>
              </w:rPr>
              <w:t xml:space="preserve">Egyptian Expedition &amp; Battle of Pyramids</w:t>
            </w:r>
          </w:p>
        </w:tc>
        <w:tc>
          <w:tcPr>
            <w:tcW w:w="6994" w:type="dxa"/>
            <w:shd w:val="clear" w:color="auto" w:fill="FFFFFF"/>
            <w:tcMar>
              <w:top w:w="50" w:type="dxa"/>
              <w:left w:w="80" w:type="dxa"/>
              <w:bottom w:w="50" w:type="dxa"/>
              <w:right w:w="80" w:type="dxa"/>
            </w:tcMar>
          </w:tcPr>
          <w:p>
            <w:pPr>
              <w:spacing w:after="0"/>
            </w:pPr>
            <w:r>
              <w:rPr>
                <w:rFonts w:ascii="Georgia" w:hAnsi="Georgia"/>
                <w:color w:val="1E293B"/>
                <w:sz w:val="17"/>
              </w:rPr>
              <w:t xml:space="preserve">Military attempt to disrupt British trade routes to India; used scientific/archeological propaganda.</w:t>
            </w:r>
          </w:p>
        </w:tc>
      </w:tr>
      <w:tr>
        <w:trPr>
          <w:trHeight w:val="451" w:hRule="atLeast"/>
        </w:trPr>
        <w:tc>
          <w:tcPr>
            <w:tcW w:w="1321"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Nov 1799</w:t>
            </w:r>
          </w:p>
        </w:tc>
        <w:tc>
          <w:tcPr>
            <w:tcW w:w="2224" w:type="dxa"/>
            <w:shd w:val="clear" w:color="auto" w:fill="F8FAFC"/>
            <w:tcMar>
              <w:top w:w="50" w:type="dxa"/>
              <w:left w:w="80" w:type="dxa"/>
              <w:bottom w:w="50" w:type="dxa"/>
              <w:right w:w="80" w:type="dxa"/>
            </w:tcMar>
          </w:tcPr>
          <w:p>
            <w:pPr>
              <w:spacing w:after="0"/>
            </w:pPr>
            <w:r>
              <w:rPr>
                <w:rFonts w:ascii="Georgia" w:hAnsi="Georgia"/>
                <w:color w:val="1E293B"/>
                <w:sz w:val="17"/>
              </w:rPr>
              <w:t xml:space="preserve">Coup of 18 Brumaire</w:t>
            </w:r>
          </w:p>
        </w:tc>
        <w:tc>
          <w:tcPr>
            <w:tcW w:w="6994" w:type="dxa"/>
            <w:shd w:val="clear" w:color="auto" w:fill="F8FAFC"/>
            <w:tcMar>
              <w:top w:w="50" w:type="dxa"/>
              <w:left w:w="80" w:type="dxa"/>
              <w:bottom w:w="50" w:type="dxa"/>
              <w:right w:w="80" w:type="dxa"/>
            </w:tcMar>
          </w:tcPr>
          <w:p>
            <w:pPr>
              <w:spacing w:after="0"/>
            </w:pPr>
            <w:r>
              <w:rPr>
                <w:rFonts w:ascii="Georgia" w:hAnsi="Georgia"/>
                <w:color w:val="1E293B"/>
                <w:sz w:val="17"/>
              </w:rPr>
              <w:t xml:space="preserve">Overthrew the corrupt Directory with Abbé Sieyès; established the French Consulate as First Consul.</w:t>
            </w:r>
          </w:p>
        </w:tc>
      </w:tr>
      <w:tr>
        <w:trPr>
          <w:trHeight w:val="451" w:hRule="atLeast"/>
        </w:trPr>
        <w:tc>
          <w:tcPr>
            <w:tcW w:w="1321"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1801–1804</w:t>
            </w:r>
          </w:p>
        </w:tc>
        <w:tc>
          <w:tcPr>
            <w:tcW w:w="2224" w:type="dxa"/>
            <w:shd w:val="clear" w:color="auto" w:fill="FFFFFF"/>
            <w:tcMar>
              <w:top w:w="50" w:type="dxa"/>
              <w:left w:w="80" w:type="dxa"/>
              <w:bottom w:w="50" w:type="dxa"/>
              <w:right w:w="80" w:type="dxa"/>
            </w:tcMar>
          </w:tcPr>
          <w:p>
            <w:pPr>
              <w:spacing w:after="0"/>
            </w:pPr>
            <w:r>
              <w:rPr>
                <w:rFonts w:ascii="Georgia" w:hAnsi="Georgia"/>
                <w:color w:val="1E293B"/>
                <w:sz w:val="17"/>
              </w:rPr>
              <w:t xml:space="preserve">Concordat &amp; Code Napoléon</w:t>
            </w:r>
          </w:p>
        </w:tc>
        <w:tc>
          <w:tcPr>
            <w:tcW w:w="6994" w:type="dxa"/>
            <w:shd w:val="clear" w:color="auto" w:fill="FFFFFF"/>
            <w:tcMar>
              <w:top w:w="50" w:type="dxa"/>
              <w:left w:w="80" w:type="dxa"/>
              <w:bottom w:w="50" w:type="dxa"/>
              <w:right w:w="80" w:type="dxa"/>
            </w:tcMar>
          </w:tcPr>
          <w:p>
            <w:pPr>
              <w:spacing w:after="0"/>
            </w:pPr>
            <w:r>
              <w:rPr>
                <w:rFonts w:ascii="Georgia" w:hAnsi="Georgia"/>
                <w:color w:val="1E293B"/>
                <w:sz w:val="17"/>
              </w:rPr>
              <w:t xml:space="preserve">Reconciled state with Catholic Church; published uniform Civil Code establishing legal equality.</w:t>
            </w:r>
          </w:p>
        </w:tc>
      </w:tr>
      <w:tr>
        <w:trPr>
          <w:trHeight w:val="451" w:hRule="atLeast"/>
        </w:trPr>
        <w:tc>
          <w:tcPr>
            <w:tcW w:w="1321"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1804–1815</w:t>
            </w:r>
          </w:p>
        </w:tc>
        <w:tc>
          <w:tcPr>
            <w:tcW w:w="2224" w:type="dxa"/>
            <w:shd w:val="clear" w:color="auto" w:fill="F8FAFC"/>
            <w:tcMar>
              <w:top w:w="50" w:type="dxa"/>
              <w:left w:w="80" w:type="dxa"/>
              <w:bottom w:w="50" w:type="dxa"/>
              <w:right w:w="80" w:type="dxa"/>
            </w:tcMar>
          </w:tcPr>
          <w:p>
            <w:pPr>
              <w:spacing w:after="0"/>
            </w:pPr>
            <w:r>
              <w:rPr>
                <w:rFonts w:ascii="Georgia" w:hAnsi="Georgia"/>
                <w:color w:val="1E293B"/>
                <w:sz w:val="17"/>
              </w:rPr>
              <w:t xml:space="preserve">Coronation as Emperor &amp; Waterloo (1815)</w:t>
            </w:r>
          </w:p>
        </w:tc>
        <w:tc>
          <w:tcPr>
            <w:tcW w:w="6994" w:type="dxa"/>
            <w:shd w:val="clear" w:color="auto" w:fill="F8FAFC"/>
            <w:tcMar>
              <w:top w:w="50" w:type="dxa"/>
              <w:left w:w="80" w:type="dxa"/>
              <w:bottom w:w="50" w:type="dxa"/>
              <w:right w:w="80" w:type="dxa"/>
            </w:tcMar>
          </w:tcPr>
          <w:p>
            <w:pPr>
              <w:pBdr>
                <w:top w:val="single" w:sz="4" w:space="1" w:color="auto"/>
                <w:left w:val="single" w:sz="4" w:space="4" w:color="auto"/>
                <w:bottom w:val="single" w:sz="4" w:space="1" w:color="auto"/>
                <w:right w:val="single" w:sz="4" w:space="4" w:color="auto"/>
              </w:pBdr>
              <w:spacing w:after="0"/>
            </w:pPr>
            <w:r>
              <w:rPr>
                <w:rFonts w:ascii="Georgia" w:hAnsi="Georgia"/>
                <w:color w:val="1E293B"/>
                <w:sz w:val="17"/>
              </w:rPr>
              <w:t xml:space="preserve">Crowned himself Emperor; total militarization; ultimate defeat at Waterloo by Coalition forces.</w:t>
            </w:r>
          </w:p>
        </w:tc>
      </w:tr>
    </w:tbl>
    <w:p>
      <w:pPr>
        <w:pBdr>
          <w:top w:val="single" w:sz="4" w:space="1" w:color="auto"/>
          <w:left w:val="single" w:sz="4" w:space="1" w:color="auto"/>
          <w:bottom w:val="single" w:sz="4" w:space="1" w:color="auto"/>
          <w:right w:val="single" w:sz="4" w:space="1" w:color="auto"/>
        </w:pBdr>
        <w:shd w:val="clear" w:color="auto" w:fill="F2DCDB"/>
        <w:spacing w:before="240" w:after="60"/>
      </w:pPr>
      <w:r>
        <w:rPr>
          <w:rFonts w:ascii="Arial" w:hAnsi="Arial"/>
          <w:b/>
          <w:color w:val="0E2B50"/>
          <w:sz w:val="22"/>
        </w:rPr>
        <w:t xml:space="preserve">Introduction</w:t>
      </w:r>
    </w:p>
    <w:p>
      <w:pPr>
        <w:spacing w:before="0" w:after="120"/>
        <w:jc w:val="both"/>
      </w:pPr>
      <w:r>
        <w:rPr>
          <w:rFonts w:ascii="Georgia" w:hAnsi="Georgia"/>
          <w:b/>
          <w:bCs/>
          <w:color w:val="1E293B"/>
          <w:sz w:val="20"/>
        </w:rPr>
        <w:t xml:space="preserve">The French Revolution of 1789</w:t>
      </w:r>
      <w:r>
        <w:rPr>
          <w:rFonts w:ascii="Georgia" w:hAnsi="Georgia"/>
          <w:color w:val="1E293B"/>
          <w:sz w:val="20"/>
        </w:rPr>
        <w:t xml:space="preserve"> began as a historic </w:t>
      </w:r>
      <w:r>
        <w:rPr>
          <w:rFonts w:ascii="Georgia" w:hAnsi="Georgia"/>
          <w:b/>
          <w:bCs/>
          <w:color w:val="1E293B"/>
          <w:sz w:val="20"/>
          <w:u w:val="single"/>
        </w:rPr>
        <w:t xml:space="preserve">crusade</w:t>
      </w:r>
      <w:r>
        <w:rPr>
          <w:rStyle w:val="FootnoteReference"/>
        </w:rPr>
        <w:footnoteReference w:id="1"/>
      </w:r>
      <w:r>
        <w:rPr>
          <w:rFonts w:ascii="Georgia" w:hAnsi="Georgia"/>
          <w:color w:val="1E293B"/>
          <w:sz w:val="20"/>
        </w:rPr>
        <w:t xml:space="preserve"> for </w:t>
      </w:r>
      <w:r>
        <w:rPr>
          <w:rFonts w:ascii="Georgia" w:hAnsi="Georgia"/>
          <w:b/>
          <w:bCs/>
          <w:color w:val="1E293B"/>
          <w:sz w:val="20"/>
          <w:highlight w:val="green"/>
        </w:rPr>
        <w:t xml:space="preserve">'Liberty, Equality, and Fraternity,'</w:t>
      </w:r>
      <w:r>
        <w:rPr>
          <w:rFonts w:ascii="Georgia" w:hAnsi="Georgia"/>
          <w:color w:val="1E293B"/>
          <w:sz w:val="20"/>
        </w:rPr>
        <w:t xml:space="preserve"> dismantling absolute monarchy and centuries of feudal </w:t>
      </w:r>
      <w:r>
        <w:rPr>
          <w:rFonts w:ascii="Georgia" w:hAnsi="Georgia"/>
          <w:b/>
          <w:bCs/>
          <w:color w:val="1E293B"/>
          <w:sz w:val="20"/>
          <w:u w:val="single"/>
        </w:rPr>
        <w:t xml:space="preserve">servitude</w:t>
      </w:r>
      <w:r>
        <w:rPr>
          <w:rStyle w:val="FootnoteReference"/>
        </w:rPr>
        <w:footnoteReference w:id="2"/>
      </w:r>
      <w:r>
        <w:rPr>
          <w:rFonts w:ascii="Georgia" w:hAnsi="Georgia"/>
          <w:b/>
          <w:bCs/>
          <w:color w:val="1E293B"/>
          <w:sz w:val="20"/>
          <w:u w:val="single"/>
        </w:rPr>
        <w:t xml:space="preserve">.</w:t>
      </w:r>
      <w:r>
        <w:rPr>
          <w:rFonts w:ascii="Georgia" w:hAnsi="Georgia"/>
          <w:color w:val="1E293B"/>
          <w:sz w:val="20"/>
        </w:rPr>
        <w:t xml:space="preserve"> Yet, a turbulent decade of radical Jacobin terror, </w:t>
        <w:tab/>
        <w:tab/>
        <w:tab/>
      </w:r>
      <w:r>
        <w:rPr>
          <w:rStyle w:val="FootnoteReference"/>
        </w:rPr>
        <w:footnoteReference w:id="3"/>
      </w:r>
      <w:r>
        <w:rPr>
          <w:rFonts w:ascii="Georgia" w:hAnsi="Georgia"/>
          <w:b/>
          <w:bCs/>
          <w:color w:val="1E293B"/>
          <w:sz w:val="20"/>
          <w:u w:val="single"/>
        </w:rPr>
        <w:t xml:space="preserve">runaway inflation</w:t>
      </w:r>
      <w:r>
        <w:rPr>
          <w:rFonts w:ascii="Georgia" w:hAnsi="Georgia"/>
          <w:color w:val="1E293B"/>
          <w:sz w:val="20"/>
        </w:rPr>
        <w:t xml:space="preserve">, and foreign invasions left France utterly exhausted. This </w:t>
      </w:r>
      <w:r>
        <w:rPr>
          <w:rFonts w:ascii="Georgia" w:hAnsi="Georgia"/>
          <w:b/>
          <w:bCs/>
          <w:color w:val="1E293B"/>
          <w:sz w:val="20"/>
          <w:u w:val="single"/>
        </w:rPr>
        <w:t xml:space="preserve">vacuum of stability</w:t>
      </w:r>
      <w:r>
        <w:rPr>
          <w:rStyle w:val="FootnoteReference"/>
        </w:rPr>
        <w:footnoteReference w:id="4"/>
      </w:r>
      <w:r>
        <w:rPr>
          <w:rFonts w:ascii="Georgia" w:hAnsi="Georgia"/>
          <w:color w:val="1E293B"/>
          <w:sz w:val="20"/>
        </w:rPr>
        <w:t xml:space="preserve"> enabled Napoleon Bonaparte—a young Corsican artillery officer—to seize sovereign power via the </w:t>
      </w:r>
      <w:r>
        <w:rPr>
          <w:rFonts w:ascii="Georgia" w:hAnsi="Georgia"/>
          <w:b/>
          <w:bCs/>
          <w:color w:val="1E293B"/>
          <w:sz w:val="20"/>
        </w:rPr>
        <w:t xml:space="preserve">Coup of 18 Brumaire in November 1799.</w:t>
      </w:r>
      <w:r>
        <w:rPr>
          <w:rFonts w:ascii="Georgia" w:hAnsi="Georgia"/>
          <w:color w:val="1E293B"/>
          <w:sz w:val="20"/>
        </w:rPr>
        <w:t xml:space="preserve"> Napoleon’s meteoric rise was forged at the intersection of acute domestic decay and unparalleled foreign military triumph. Once installed as ruler, his regime embodied a profound historical paradox: while he permanently institutionalized the Revolution’s social and legal conquests—principally civil equality, meritocracy, and secular law—he systematically </w:t>
      </w:r>
      <w:r>
        <w:rPr>
          <w:rFonts w:ascii="Georgia" w:hAnsi="Georgia"/>
          <w:b/>
          <w:bCs/>
          <w:color w:val="1E293B"/>
          <w:sz w:val="20"/>
          <w:u w:val="single"/>
        </w:rPr>
        <w:t xml:space="preserve">extinguished</w:t>
      </w:r>
      <w:r>
        <w:rPr>
          <w:rStyle w:val="FootnoteReference"/>
        </w:rPr>
        <w:footnoteReference w:id="5"/>
      </w:r>
      <w:r>
        <w:rPr>
          <w:rFonts w:ascii="Georgia" w:hAnsi="Georgia"/>
          <w:color w:val="1E293B"/>
          <w:sz w:val="20"/>
        </w:rPr>
        <w:t xml:space="preserve"> its democratic spirit, popular sovereignty, and individual liberty.</w:t>
      </w:r>
    </w:p>
    <w:p>
      <w:pPr>
        <w:pBdr>
          <w:top w:val="single" w:sz="4" w:space="1" w:color="auto"/>
          <w:left w:val="single" w:sz="4" w:space="1" w:color="auto"/>
          <w:bottom w:val="single" w:sz="4" w:space="1" w:color="auto"/>
          <w:right w:val="single" w:sz="4" w:space="1" w:color="auto"/>
        </w:pBdr>
        <w:shd w:val="clear" w:color="auto" w:fill="F2DCDB"/>
        <w:spacing w:before="240" w:after="60"/>
      </w:pPr>
      <w:r>
        <w:rPr>
          <w:rFonts w:ascii="Arial" w:hAnsi="Arial"/>
          <w:b/>
          <w:color w:val="0E2B50"/>
          <w:sz w:val="22"/>
        </w:rPr>
        <w:t xml:space="preserve">Internal Factors: Domestic Collapse and the Demand for Order</w:t>
      </w:r>
    </w:p>
    <w:p>
      <w:pPr>
        <w:spacing w:before="0" w:after="120"/>
        <w:jc w:val="both"/>
      </w:pPr>
      <w:r>
        <w:rPr>
          <w:rFonts w:ascii="Georgia" w:hAnsi="Georgia"/>
          <w:color w:val="1E293B"/>
          <w:sz w:val="20"/>
        </w:rPr>
        <w:t xml:space="preserve">The domestic collapse of France under the Directory (1795–1799) created the precise social and political vacuum necessary for a military strongman. Following the </w:t>
      </w:r>
      <w:r>
        <w:rPr>
          <w:rFonts w:ascii="Georgia" w:hAnsi="Georgia"/>
          <w:b/>
          <w:bCs/>
          <w:color w:val="1E293B"/>
          <w:sz w:val="20"/>
        </w:rPr>
        <w:t xml:space="preserve">bloody Reign of Terror (1793–1794),</w:t>
      </w:r>
      <w:r>
        <w:rPr>
          <w:rFonts w:ascii="Georgia" w:hAnsi="Georgia"/>
          <w:color w:val="1E293B"/>
          <w:sz w:val="20"/>
        </w:rPr>
        <w:t xml:space="preserve"> executive power was entrusted to a </w:t>
      </w:r>
      <w:r>
        <w:rPr>
          <w:rFonts w:ascii="Georgia" w:hAnsi="Georgia"/>
          <w:b/>
          <w:bCs/>
          <w:color w:val="1E293B"/>
          <w:sz w:val="20"/>
          <w:u w:val="single"/>
        </w:rPr>
        <w:t xml:space="preserve">five-member Directory</w:t>
      </w:r>
      <w:r>
        <w:rPr>
          <w:rFonts w:ascii="Georgia" w:hAnsi="Georgia"/>
          <w:color w:val="1E293B"/>
          <w:sz w:val="20"/>
        </w:rPr>
        <w:t xml:space="preserve"> plagued by deep corruption, administrative ineptitude, and financial bankruptcy. The national paper currency (assignats) became worthless, bread scarcity triggered widespread urban misery, and royalist rebellions threatened civil war. Both the commercial middle class (bourgeoisie) and land-owning peasants lived in dread of either a resurgence of radical Jacobin bloodshed or a Bourbon restoration that would confiscate their newly gained lands. They desperately sought a non-partisan savior who could guarantee domestic tranquility and protect their property. Having demonstrated his loyalty by defending the government with a 'whiff of grapeshot' during the royalist uprising of 1795, Napoleon appeared as an incorruptible arbiter above petty factional strife.</w:t>
      </w:r>
    </w:p>
    <w:p>
      <w:pPr>
        <w:pBdr>
          <w:top w:val="single" w:sz="4" w:space="1" w:color="auto"/>
          <w:left w:val="single" w:sz="4" w:space="1" w:color="auto"/>
          <w:bottom w:val="single" w:sz="4" w:space="1" w:color="auto"/>
          <w:right w:val="single" w:sz="4" w:space="1" w:color="auto"/>
        </w:pBdr>
        <w:shd w:val="clear" w:color="auto" w:fill="F2DCDB"/>
        <w:spacing w:before="240" w:after="60"/>
      </w:pPr>
      <w:r>
        <w:rPr>
          <w:rFonts w:ascii="Arial" w:hAnsi="Arial"/>
          <w:b/>
          <w:color w:val="0E2B50"/>
          <w:sz w:val="22"/>
        </w:rPr>
        <w:t xml:space="preserve">External Factors: Revolutionary Warfare and Military Glory</w:t>
      </w:r>
    </w:p>
    <w:p>
      <w:pPr>
        <w:spacing w:before="0" w:after="120"/>
        <w:jc w:val="both"/>
      </w:pPr>
      <w:r>
        <w:rPr>
          <w:rFonts w:ascii="Georgia" w:hAnsi="Georgia"/>
          <w:color w:val="1E293B"/>
          <w:sz w:val="20"/>
        </w:rPr>
        <w:t xml:space="preserve">Externally, the prolonged French Revolutionary Wars against monarchical coalitions militarized the French state and elevated the army as the sole </w:t>
      </w:r>
      <w:r>
        <w:rPr>
          <w:rFonts w:ascii="Georgia" w:hAnsi="Georgia"/>
          <w:b/>
          <w:bCs/>
          <w:color w:val="1E293B"/>
          <w:sz w:val="20"/>
        </w:rPr>
        <w:t xml:space="preserve">cohesive </w:t>
      </w:r>
      <w:r>
        <w:rPr>
          <w:rFonts w:ascii="Consolas" w:hAnsi="Consolas" w:cs="Consolas"/>
          <w:b/>
          <w:bCs/>
          <w:color w:val="1E293B"/>
          <w:sz w:val="18"/>
          <w:szCs w:val="18"/>
        </w:rPr>
        <w:t xml:space="preserve">(</w:t>
      </w:r>
      <w:r>
        <w:rPr>
          <w:rFonts w:ascii="Consolas" w:hAnsi="Consolas" w:cs="Consolas"/>
          <w:sz w:val="18"/>
          <w:szCs w:val="18"/>
        </w:rPr>
        <w:t xml:space="preserve">unified</w:t>
      </w:r>
      <w:r>
        <w:rPr>
          <w:rFonts w:ascii="Consolas" w:hAnsi="Consolas" w:cs="Consolas"/>
          <w:b/>
          <w:bCs/>
          <w:color w:val="1E293B"/>
          <w:sz w:val="18"/>
          <w:szCs w:val="18"/>
        </w:rPr>
        <w:t xml:space="preserve">)</w:t>
      </w:r>
      <w:r>
        <w:rPr>
          <w:rFonts w:ascii="Georgia" w:hAnsi="Georgia"/>
          <w:color w:val="1E293B"/>
          <w:sz w:val="20"/>
        </w:rPr>
        <w:t xml:space="preserve">, respected institution in the nation. Napoleon capitalized on this reality through peerless tactical genius. His sensational Italian Campaign of 1796–1797—marked by </w:t>
      </w:r>
      <w:r>
        <w:rPr>
          <w:rFonts w:ascii="Georgia" w:hAnsi="Georgia"/>
          <w:b/>
          <w:bCs/>
          <w:color w:val="1E293B"/>
          <w:sz w:val="20"/>
        </w:rPr>
        <w:t xml:space="preserve">victories at Lodi, Castiglione, and Rivoli</w:t>
      </w:r>
      <w:r>
        <w:rPr>
          <w:rFonts w:ascii="Georgia" w:hAnsi="Georgia"/>
          <w:color w:val="1E293B"/>
          <w:sz w:val="20"/>
        </w:rPr>
        <w:t xml:space="preserve">—shattered Austrian forces and resulted in the Treaty of Campo Formio, which he negotiated independently of the Directory. Even the strategic setback of his Egyptian Expedition (1798) was transformed via state propaganda into a romantic cultural triumph. By 1799, as the War of the Second Coalition threatened French frontiers once more, a panic-stricken nation turned instinctively toward its most celebrated military prodigy. Napoleon’s unmatched martial charisma eclipsed all civilian politicians, paving the way for the bloodless overthrow of the Directory.</w:t>
      </w:r>
    </w:p>
    <w:p>
      <w:pPr>
        <w:pBdr>
          <w:top w:val="single" w:sz="4" w:space="1" w:color="auto"/>
          <w:left w:val="single" w:sz="4" w:space="1" w:color="auto"/>
          <w:bottom w:val="single" w:sz="4" w:space="1" w:color="auto"/>
          <w:right w:val="single" w:sz="4" w:space="1" w:color="auto"/>
        </w:pBdr>
        <w:shd w:val="clear" w:color="auto" w:fill="F2DCDB"/>
        <w:spacing w:before="240" w:after="60"/>
      </w:pPr>
      <w:r>
        <w:rPr>
          <w:rFonts w:ascii="Arial" w:hAnsi="Arial"/>
          <w:b/>
          <w:color w:val="0E2B50"/>
          <w:sz w:val="22"/>
        </w:rPr>
        <w:t xml:space="preserve">Continuation of Revolutionary Ideals: Equality, Meritocracy, and Institutional Reform</w:t>
      </w:r>
    </w:p>
    <w:p>
      <w:pPr>
        <w:spacing w:before="0" w:after="120"/>
        <w:jc w:val="both"/>
      </w:pPr>
      <w:r>
        <w:rPr>
          <w:rFonts w:ascii="Georgia" w:hAnsi="Georgia"/>
          <w:color w:val="1E293B"/>
          <w:sz w:val="20"/>
        </w:rPr>
        <w:t xml:space="preserve">In governance, Napoleon operated as the </w:t>
      </w:r>
      <w:r>
        <w:rPr>
          <w:rFonts w:ascii="Consolas" w:hAnsi="Consolas" w:cs="Consolas"/>
          <w:b/>
          <w:bCs/>
          <w:color w:val="1E293B"/>
          <w:sz w:val="18"/>
          <w:szCs w:val="18"/>
        </w:rPr>
        <w:t xml:space="preserve">'Son of the Revolution' </w:t>
      </w:r>
      <w:r>
        <w:rPr>
          <w:rFonts w:ascii="Georgia" w:hAnsi="Georgia"/>
          <w:color w:val="1E293B"/>
          <w:sz w:val="20"/>
        </w:rPr>
        <w:t xml:space="preserve">by solidifying its social conquests into enduring state institutions. His crowning achievement, the </w:t>
      </w:r>
      <w:r>
        <w:rPr>
          <w:rFonts w:ascii="Consolas" w:hAnsi="Consolas" w:cs="Consolas"/>
          <w:b/>
          <w:bCs/>
          <w:color w:val="1E293B"/>
          <w:sz w:val="18"/>
          <w:szCs w:val="18"/>
        </w:rPr>
        <w:t xml:space="preserve">Civil Code of 1804 (Code Napoléon)</w:t>
      </w:r>
      <w:r>
        <w:rPr>
          <w:rFonts w:ascii="Georgia" w:hAnsi="Georgia"/>
          <w:color w:val="1E293B"/>
          <w:sz w:val="20"/>
        </w:rPr>
        <w:t xml:space="preserve">, enshrined legal equality, abolished feudal privileges, recognized secular property rights, and guaranteed religious tolerance. Furthermore, Napoleon realized the revolutionary demand for meritocracy—'careers open to talents' (la carrière ouverte aux talents). Administrative posts, civil honors, and military ranks were awarded based on talent and loyalty rather than aristocratic lineage, symbolized by the prestigious Legion of Honour. Through the Concordat of 1801 with Pope Pius VII, Napoleon healed the religious schism while compelling the Papacy to accept the permanent confiscation of church estates and state supremacy, ensuring that the feudal privileges of the clergy could never be restored.</w:t>
      </w:r>
    </w:p>
    <w:p>
      <w:pPr>
        <w:spacing w:before="0" w:after="120"/>
        <w:jc w:val="both"/>
        <w:rPr>
          <w:rFonts w:ascii="Georgia" w:hAnsi="Georgia"/>
          <w:color w:val="1E293B"/>
          <w:sz w:val="20"/>
        </w:rPr>
      </w:pPr>
    </w:p>
    <w:p>
      <w:pPr>
        <w:spacing w:before="0" w:after="120"/>
        <w:jc w:val="both"/>
        <w:rPr>
          <w:rFonts w:ascii="Georgia" w:hAnsi="Georgia"/>
          <w:color w:val="1E293B"/>
          <w:sz w:val="20"/>
        </w:rPr>
      </w:pPr>
    </w:p>
    <w:p>
      <w:pPr>
        <w:spacing w:before="0" w:after="120"/>
        <w:jc w:val="both"/>
        <w:rPr>
          <w:rFonts w:ascii="Georgia" w:hAnsi="Georgia"/>
          <w:color w:val="1E293B"/>
          <w:sz w:val="20"/>
        </w:rPr>
      </w:pPr>
    </w:p>
    <w:p>
      <w:pPr>
        <w:spacing w:before="0" w:after="120"/>
        <w:jc w:val="both"/>
        <w:rPr>
          <w:rFonts w:ascii="Georgia" w:hAnsi="Georgia"/>
          <w:color w:val="1E293B"/>
          <w:sz w:val="20"/>
        </w:rPr>
      </w:pPr>
    </w:p>
    <w:p>
      <w:pPr>
        <w:pBdr>
          <w:top w:val="single" w:sz="4" w:space="1" w:color="auto"/>
          <w:left w:val="single" w:sz="4" w:space="1" w:color="auto"/>
          <w:bottom w:val="single" w:sz="4" w:space="1" w:color="auto"/>
          <w:right w:val="single" w:sz="4" w:space="1" w:color="auto"/>
        </w:pBdr>
        <w:shd w:val="clear" w:color="auto" w:fill="F2DCDB"/>
        <w:spacing w:before="240" w:after="60"/>
      </w:pPr>
      <w:r>
        <w:rPr>
          <w:rFonts w:ascii="Arial" w:hAnsi="Arial"/>
          <w:b/>
          <w:color w:val="0E2B50"/>
          <w:sz w:val="22"/>
        </w:rPr>
        <w:t xml:space="preserve">Betrayal of Revolutionary Ideals: Autocracy, Censorship, and the Destruction of Liberty</w:t>
      </w:r>
    </w:p>
    <w:p>
      <w:pPr>
        <w:spacing w:before="0" w:after="120"/>
        <w:jc w:val="both"/>
      </w:pPr>
      <w:r>
        <w:rPr>
          <w:rFonts w:ascii="Georgia" w:hAnsi="Georgia"/>
          <w:color w:val="1E293B"/>
          <w:sz w:val="20"/>
        </w:rPr>
        <w:t xml:space="preserve">Conversely, Napoleon ruthlessly liquidated the foremost </w:t>
      </w:r>
      <w:r>
        <w:rPr>
          <w:rFonts w:ascii="Georgia" w:hAnsi="Georgia"/>
          <w:b/>
          <w:bCs/>
          <w:color w:val="1E293B"/>
          <w:sz w:val="20"/>
          <w:u w:val="single"/>
        </w:rPr>
        <w:t xml:space="preserve">tenet of 1789: political Liberty.</w:t>
      </w:r>
      <w:r>
        <w:rPr>
          <w:rFonts w:ascii="Georgia" w:hAnsi="Georgia"/>
          <w:color w:val="1E293B"/>
          <w:sz w:val="20"/>
        </w:rPr>
        <w:t xml:space="preserve"> He dismantled parliamentary democracy, reducing representative assemblies to impotent advisory bodies and substituting genuine elections with stage-managed plebiscites. Freedom of the press was systematically erased; independent publications were suppressed until only four government-monitored mouthpieces survived in Paris. Through his minister of police, Joseph Fouché, political opponents, royalists, and republicans alike were subjected to arbitrary surveillance, imprisonment, and exile without trial. In 1804, Napoleon buried the Republic entirely by crowning himself hereditary Emperor of the French. Domestically, the Civil Code stripped women of revolutionary legal gains, re-imposing complete patriarchal subjugation. Finally, he revived aristocratic court hierarchy and practiced blatant dynastic nepotism, placing his siblings on satellite thrones across Europe.</w:t>
      </w:r>
    </w:p>
    <w:p>
      <w:pPr>
        <w:pBdr>
          <w:top w:val="single" w:sz="4" w:space="1" w:color="auto"/>
          <w:left w:val="single" w:sz="4" w:space="1" w:color="auto"/>
          <w:bottom w:val="single" w:sz="4" w:space="1" w:color="auto"/>
          <w:right w:val="single" w:sz="4" w:space="1" w:color="auto"/>
        </w:pBdr>
        <w:shd w:val="clear" w:color="auto" w:fill="F2DCDB"/>
        <w:spacing w:before="240" w:after="60"/>
      </w:pPr>
      <w:r>
        <w:rPr>
          <w:rFonts w:ascii="Arial" w:hAnsi="Arial"/>
          <w:b/>
          <w:color w:val="0E2B50"/>
          <w:sz w:val="22"/>
        </w:rPr>
        <w:t xml:space="preserve">Conclusion</w:t>
      </w:r>
    </w:p>
    <w:p>
      <w:pPr>
        <w:spacing w:before="0" w:after="120"/>
        <w:jc w:val="both"/>
      </w:pPr>
      <w:r>
        <w:rPr>
          <w:rFonts w:ascii="Georgia" w:hAnsi="Georgia"/>
          <w:color w:val="1E293B"/>
          <w:sz w:val="20"/>
        </w:rPr>
        <w:t xml:space="preserve">In final analysis, Napoleon Bonaparte was neither the </w:t>
      </w:r>
      <w:r>
        <w:rPr>
          <w:rFonts w:ascii="Georgia" w:hAnsi="Georgia"/>
          <w:b/>
          <w:bCs/>
          <w:color w:val="1E293B"/>
          <w:sz w:val="20"/>
        </w:rPr>
        <w:t xml:space="preserve">immaculate</w:t>
      </w:r>
      <w:r>
        <w:rPr>
          <w:rStyle w:val="FootnoteReference"/>
        </w:rPr>
        <w:footnoteReference w:id="6"/>
      </w:r>
      <w:r>
        <w:rPr>
          <w:rFonts w:ascii="Georgia" w:hAnsi="Georgia"/>
          <w:color w:val="1E293B"/>
          <w:sz w:val="20"/>
        </w:rPr>
        <w:t xml:space="preserve"> champion nor the mere assassin of the French Revolution; he was its authoritarian consolidator. He </w:t>
      </w:r>
      <w:r>
        <w:rPr>
          <w:rFonts w:ascii="Georgia" w:hAnsi="Georgia"/>
          <w:b/>
          <w:bCs/>
          <w:color w:val="1E293B"/>
          <w:sz w:val="20"/>
          <w:u w:val="single"/>
        </w:rPr>
        <w:t xml:space="preserve">astutely</w:t>
      </w:r>
      <w:r>
        <w:rPr>
          <w:rStyle w:val="FootnoteReference"/>
        </w:rPr>
        <w:footnoteReference w:id="7"/>
      </w:r>
      <w:r>
        <w:rPr>
          <w:rFonts w:ascii="Georgia" w:hAnsi="Georgia"/>
          <w:color w:val="1E293B"/>
          <w:sz w:val="20"/>
        </w:rPr>
        <w:t xml:space="preserve"> recognized that the vast majority of French citizens treasured the tangible social equality and economic security won in 1789 far more than the volatile political freedom that had brought forth the </w:t>
      </w:r>
      <w:r>
        <w:rPr>
          <w:rFonts w:ascii="Georgia" w:hAnsi="Georgia"/>
          <w:b/>
          <w:bCs/>
          <w:color w:val="1E293B"/>
          <w:sz w:val="20"/>
          <w:u w:val="single"/>
        </w:rPr>
        <w:t xml:space="preserve">guillotine</w:t>
      </w:r>
      <w:r>
        <w:rPr>
          <w:rStyle w:val="FootnoteReference"/>
        </w:rPr>
        <w:footnoteReference w:id="8"/>
      </w:r>
      <w:r>
        <w:rPr>
          <w:rFonts w:ascii="Georgia" w:hAnsi="Georgia"/>
          <w:color w:val="1E293B"/>
          <w:sz w:val="20"/>
        </w:rPr>
        <w:t xml:space="preserve">. By </w:t>
      </w:r>
      <w:r>
        <w:rPr>
          <w:rFonts w:ascii="Georgia" w:hAnsi="Georgia"/>
          <w:b/>
          <w:bCs/>
          <w:color w:val="1E293B"/>
          <w:sz w:val="20"/>
          <w:u w:val="single"/>
        </w:rPr>
        <w:t xml:space="preserve">entrenching</w:t>
      </w:r>
      <w:r>
        <w:rPr>
          <w:rStyle w:val="FootnoteReference"/>
        </w:rPr>
        <w:footnoteReference w:id="9"/>
      </w:r>
      <w:r>
        <w:t xml:space="preserve"> </w:t>
      </w:r>
      <w:r>
        <w:rPr>
          <w:rFonts w:ascii="Georgia" w:hAnsi="Georgia"/>
          <w:color w:val="1E293B"/>
          <w:sz w:val="20"/>
        </w:rPr>
        <w:t xml:space="preserve">civil equality, eradicating feudal bondage, and modernizing state administration, he rescued the revolutionary social order and exported it across the European continent. However, by sacrificing representative democracy and personal liberty upon the altar of personal ambition and imperial order, Napoleon proved that under his rule, the ideals of 1789 were selectively preserved only so far as they fortified his autocracy.</w:t>
      </w:r>
    </w:p>
    <w:p>
      <w:pPr>
        <w:spacing w:after="240"/>
      </w:pPr>
    </w:p>
    <w:p>
      <w:pPr>
        <w:spacing w:before="320" w:after="80"/>
      </w:pPr>
      <w:r>
        <w:rPr>
          <w:rFonts w:ascii="Arial" w:hAnsi="Arial"/>
          <w:b/>
          <w:color w:val="0E2B50"/>
          <w:sz w:val="24"/>
        </w:rPr>
        <w:t xml:space="preserve">4.  EXAMINER QUOTES</w:t>
      </w:r>
    </w:p>
    <w:tbl>
      <w:tblPr>
        <w:tblW w:w="0" w:type="auto"/>
        <w:jc w:val="center"/>
        <w:tblLayout w:type="fixed"/>
        <w:tblLook w:val="04A0" w:firstRow="1" w:lastRow="0" w:firstColumn="1" w:lastColumn="0" w:noHBand="0" w:noVBand="1"/>
      </w:tblPr>
      <w:tblGrid>
        <w:gridCol w:w="1834"/>
        <w:gridCol w:w="2342"/>
        <w:gridCol w:w="5760"/>
      </w:tblGrid>
      <w:tr>
        <w:tc>
          <w:tcPr>
            <w:tcW w:w="1834" w:type="dxa"/>
            <w:shd w:val="clear" w:color="auto" w:fill="0E2B50"/>
            <w:tcMar>
              <w:top w:w="60" w:type="dxa"/>
              <w:left w:w="80" w:type="dxa"/>
              <w:bottom w:w="60" w:type="dxa"/>
              <w:right w:w="80" w:type="dxa"/>
            </w:tcMar>
          </w:tcPr>
          <w:p>
            <w:r>
              <w:rPr>
                <w:rFonts w:ascii="Arial" w:hAnsi="Arial"/>
                <w:b/>
                <w:color w:val="FFFFFF"/>
                <w:sz w:val="18"/>
              </w:rPr>
              <w:t xml:space="preserve">HISTORIAN</w:t>
            </w:r>
          </w:p>
        </w:tc>
        <w:tc>
          <w:tcPr>
            <w:tcW w:w="2342" w:type="dxa"/>
            <w:shd w:val="clear" w:color="auto" w:fill="0E2B50"/>
            <w:tcMar>
              <w:top w:w="60" w:type="dxa"/>
              <w:left w:w="80" w:type="dxa"/>
              <w:bottom w:w="60" w:type="dxa"/>
              <w:right w:w="80" w:type="dxa"/>
            </w:tcMar>
          </w:tcPr>
          <w:p>
            <w:r>
              <w:rPr>
                <w:rFonts w:ascii="Arial" w:hAnsi="Arial"/>
                <w:b/>
                <w:color w:val="FFFFFF"/>
                <w:sz w:val="18"/>
              </w:rPr>
              <w:t xml:space="preserve">CRITICAL PERSPECTIVE</w:t>
            </w:r>
          </w:p>
        </w:tc>
        <w:tc>
          <w:tcPr>
            <w:tcW w:w="5760" w:type="dxa"/>
            <w:shd w:val="clear" w:color="auto" w:fill="0E2B50"/>
            <w:tcMar>
              <w:top w:w="60" w:type="dxa"/>
              <w:left w:w="80" w:type="dxa"/>
              <w:bottom w:w="60" w:type="dxa"/>
              <w:right w:w="80" w:type="dxa"/>
            </w:tcMar>
          </w:tcPr>
          <w:p>
            <w:r>
              <w:rPr>
                <w:rFonts w:ascii="Arial" w:hAnsi="Arial"/>
                <w:b/>
                <w:color w:val="FFFFFF"/>
                <w:sz w:val="18"/>
              </w:rPr>
              <w:t xml:space="preserve">EXACT QUOTABLE ARGUMENT</w:t>
            </w:r>
          </w:p>
        </w:tc>
      </w:tr>
      <w:tr>
        <w:tc>
          <w:tcPr>
            <w:tcW w:w="1834"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Georges Lefebvre</w:t>
            </w:r>
          </w:p>
        </w:tc>
        <w:tc>
          <w:tcPr>
            <w:tcW w:w="2342" w:type="dxa"/>
            <w:shd w:val="clear" w:color="auto" w:fill="F8FAFC"/>
            <w:tcMar>
              <w:top w:w="50" w:type="dxa"/>
              <w:left w:w="80" w:type="dxa"/>
              <w:bottom w:w="50" w:type="dxa"/>
              <w:right w:w="80" w:type="dxa"/>
            </w:tcMar>
          </w:tcPr>
          <w:p>
            <w:pPr>
              <w:spacing w:after="0"/>
            </w:pPr>
            <w:r>
              <w:rPr>
                <w:rFonts w:ascii="Georgia" w:hAnsi="Georgia"/>
                <w:color w:val="1E293B"/>
                <w:sz w:val="17"/>
              </w:rPr>
              <w:t xml:space="preserve">Marxist / Social Consolidator</w:t>
            </w:r>
          </w:p>
        </w:tc>
        <w:tc>
          <w:tcPr>
            <w:tcW w:w="5760" w:type="dxa"/>
            <w:shd w:val="clear" w:color="auto" w:fill="F8FAFC"/>
            <w:tcMar>
              <w:top w:w="50" w:type="dxa"/>
              <w:left w:w="80" w:type="dxa"/>
              <w:bottom w:w="50" w:type="dxa"/>
              <w:right w:w="80" w:type="dxa"/>
            </w:tcMar>
          </w:tcPr>
          <w:p>
            <w:pPr>
              <w:spacing w:after="0"/>
            </w:pPr>
            <w:r>
              <w:rPr>
                <w:rFonts w:ascii="Georgia" w:hAnsi="Georgia"/>
                <w:color w:val="1E293B"/>
                <w:sz w:val="17"/>
              </w:rPr>
              <w:t xml:space="preserve">Napoleon was an enlightened despot, the true son of the Revolution who reconciled social order with the legal conquests of 1789.</w:t>
            </w:r>
          </w:p>
        </w:tc>
      </w:tr>
      <w:tr>
        <w:tc>
          <w:tcPr>
            <w:tcW w:w="1834"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Albert Vandal</w:t>
            </w:r>
          </w:p>
        </w:tc>
        <w:tc>
          <w:tcPr>
            <w:tcW w:w="2342" w:type="dxa"/>
            <w:shd w:val="clear" w:color="auto" w:fill="FFFFFF"/>
            <w:tcMar>
              <w:top w:w="50" w:type="dxa"/>
              <w:left w:w="80" w:type="dxa"/>
              <w:bottom w:w="50" w:type="dxa"/>
              <w:right w:w="80" w:type="dxa"/>
            </w:tcMar>
          </w:tcPr>
          <w:p>
            <w:pPr>
              <w:spacing w:after="0"/>
            </w:pPr>
            <w:r>
              <w:rPr>
                <w:rFonts w:ascii="Georgia" w:hAnsi="Georgia"/>
                <w:color w:val="1E293B"/>
                <w:sz w:val="17"/>
              </w:rPr>
              <w:t xml:space="preserve">Political Realist</w:t>
            </w:r>
          </w:p>
        </w:tc>
        <w:tc>
          <w:tcPr>
            <w:tcW w:w="5760" w:type="dxa"/>
            <w:shd w:val="clear" w:color="auto" w:fill="FFFFFF"/>
            <w:tcMar>
              <w:top w:w="50" w:type="dxa"/>
              <w:left w:w="80" w:type="dxa"/>
              <w:bottom w:w="50" w:type="dxa"/>
              <w:right w:w="80" w:type="dxa"/>
            </w:tcMar>
          </w:tcPr>
          <w:p>
            <w:pPr>
              <w:spacing w:after="0"/>
            </w:pPr>
            <w:r>
              <w:rPr>
                <w:rFonts w:ascii="Georgia" w:hAnsi="Georgia"/>
                <w:color w:val="1E293B"/>
                <w:sz w:val="17"/>
              </w:rPr>
              <w:t xml:space="preserve">Napoleon did not destroy the Republic; the Republic had already exhausted and destroyed itself long before 18 Brumaire.</w:t>
            </w:r>
          </w:p>
        </w:tc>
      </w:tr>
      <w:tr>
        <w:tc>
          <w:tcPr>
            <w:tcW w:w="1834"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Pieter Geyl</w:t>
            </w:r>
          </w:p>
        </w:tc>
        <w:tc>
          <w:tcPr>
            <w:tcW w:w="2342" w:type="dxa"/>
            <w:shd w:val="clear" w:color="auto" w:fill="F8FAFC"/>
            <w:tcMar>
              <w:top w:w="50" w:type="dxa"/>
              <w:left w:w="80" w:type="dxa"/>
              <w:bottom w:w="50" w:type="dxa"/>
              <w:right w:w="80" w:type="dxa"/>
            </w:tcMar>
          </w:tcPr>
          <w:p>
            <w:pPr>
              <w:spacing w:after="0"/>
            </w:pPr>
            <w:r>
              <w:rPr>
                <w:rFonts w:ascii="Georgia" w:hAnsi="Georgia"/>
                <w:color w:val="1E293B"/>
                <w:sz w:val="17"/>
              </w:rPr>
              <w:t xml:space="preserve">Democratic Skeptic</w:t>
            </w:r>
          </w:p>
        </w:tc>
        <w:tc>
          <w:tcPr>
            <w:tcW w:w="5760" w:type="dxa"/>
            <w:shd w:val="clear" w:color="auto" w:fill="F8FAFC"/>
            <w:tcMar>
              <w:top w:w="50" w:type="dxa"/>
              <w:left w:w="80" w:type="dxa"/>
              <w:bottom w:w="50" w:type="dxa"/>
              <w:right w:w="80" w:type="dxa"/>
            </w:tcMar>
          </w:tcPr>
          <w:p>
            <w:pPr>
              <w:spacing w:after="0"/>
            </w:pPr>
            <w:r>
              <w:rPr>
                <w:rFonts w:ascii="Georgia" w:hAnsi="Georgia"/>
                <w:color w:val="1E293B"/>
                <w:sz w:val="17"/>
              </w:rPr>
              <w:t xml:space="preserve">Napoleon's rule was fundamentally a military dictatorship disguised in the trappings of Roman law and theatrical plebiscites.</w:t>
            </w:r>
          </w:p>
        </w:tc>
      </w:tr>
      <w:tr>
        <w:tc>
          <w:tcPr>
            <w:tcW w:w="1834"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Madame de Staël</w:t>
            </w:r>
          </w:p>
        </w:tc>
        <w:tc>
          <w:tcPr>
            <w:tcW w:w="2342" w:type="dxa"/>
            <w:shd w:val="clear" w:color="auto" w:fill="FFFFFF"/>
            <w:tcMar>
              <w:top w:w="50" w:type="dxa"/>
              <w:left w:w="80" w:type="dxa"/>
              <w:bottom w:w="50" w:type="dxa"/>
              <w:right w:w="80" w:type="dxa"/>
            </w:tcMar>
          </w:tcPr>
          <w:p>
            <w:pPr>
              <w:spacing w:after="0"/>
            </w:pPr>
            <w:r>
              <w:rPr>
                <w:rFonts w:ascii="Georgia" w:hAnsi="Georgia"/>
                <w:color w:val="1E293B"/>
                <w:sz w:val="17"/>
              </w:rPr>
              <w:t xml:space="preserve">Contemporary Liberal Critic</w:t>
            </w:r>
          </w:p>
        </w:tc>
        <w:tc>
          <w:tcPr>
            <w:tcW w:w="5760" w:type="dxa"/>
            <w:shd w:val="clear" w:color="auto" w:fill="FFFFFF"/>
            <w:tcMar>
              <w:top w:w="50" w:type="dxa"/>
              <w:left w:w="80" w:type="dxa"/>
              <w:bottom w:w="50" w:type="dxa"/>
              <w:right w:w="80" w:type="dxa"/>
            </w:tcMar>
          </w:tcPr>
          <w:p>
            <w:pPr>
              <w:spacing w:after="0"/>
            </w:pPr>
            <w:r>
              <w:rPr>
                <w:rFonts w:ascii="Georgia" w:hAnsi="Georgia"/>
                <w:color w:val="1E293B"/>
                <w:sz w:val="17"/>
              </w:rPr>
              <w:t xml:space="preserve">A man who divided all humanity into two categories: himself, and the instruments he used to achieve his absolute will.</w:t>
            </w:r>
          </w:p>
        </w:tc>
      </w:tr>
      <w:tr>
        <w:tc>
          <w:tcPr>
            <w:tcW w:w="1834"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Stuart T. Miller</w:t>
            </w:r>
          </w:p>
        </w:tc>
        <w:tc>
          <w:tcPr>
            <w:tcW w:w="2342" w:type="dxa"/>
            <w:shd w:val="clear" w:color="auto" w:fill="F8FAFC"/>
            <w:tcMar>
              <w:top w:w="50" w:type="dxa"/>
              <w:left w:w="80" w:type="dxa"/>
              <w:bottom w:w="50" w:type="dxa"/>
              <w:right w:w="80" w:type="dxa"/>
            </w:tcMar>
          </w:tcPr>
          <w:p>
            <w:pPr>
              <w:spacing w:after="0"/>
            </w:pPr>
            <w:r>
              <w:rPr>
                <w:rFonts w:ascii="Georgia" w:hAnsi="Georgia"/>
                <w:color w:val="1E293B"/>
                <w:sz w:val="17"/>
              </w:rPr>
              <w:t xml:space="preserve">Palgrave Modern History</w:t>
            </w:r>
          </w:p>
        </w:tc>
        <w:tc>
          <w:tcPr>
            <w:tcW w:w="5760" w:type="dxa"/>
            <w:shd w:val="clear" w:color="auto" w:fill="F8FAFC"/>
            <w:tcMar>
              <w:top w:w="50" w:type="dxa"/>
              <w:left w:w="80" w:type="dxa"/>
              <w:bottom w:w="50" w:type="dxa"/>
              <w:right w:w="80" w:type="dxa"/>
            </w:tcMar>
          </w:tcPr>
          <w:p>
            <w:pPr>
              <w:spacing w:after="0"/>
            </w:pPr>
            <w:r>
              <w:rPr>
                <w:rFonts w:ascii="Georgia" w:hAnsi="Georgia"/>
                <w:color w:val="1E293B"/>
                <w:sz w:val="17"/>
              </w:rPr>
              <w:t xml:space="preserve">The French wanted order and security above all else; Napoleon gave them both, but the price paid was total political submission.</w:t>
            </w:r>
          </w:p>
        </w:tc>
      </w:tr>
    </w:tbl>
    <w:p>
      <w:pPr>
        <w:spacing w:after="320"/>
      </w:pPr>
    </w:p>
    <w:p>
      <w:pPr>
        <w:jc w:val="center"/>
      </w:pPr>
      <w:r>
        <w:rPr>
          <w:rFonts w:ascii="Arial" w:hAnsi="Arial"/>
          <w:color w:val="94A3B8"/>
          <w:sz w:val="17"/>
        </w:rPr>
        <w:t xml:space="preserve">Khyber Pakhtunkhwa Public Service Commission (KPPSC)  PMS Competitive Examination Notes  European History</w:t>
      </w:r>
    </w:p>
    <w:sectPr>
      <w:type w:val="nextPage"/>
      <w:pgSz w:w="12240" w:h="15840"/>
      <w:pgMar w:top="720" w:right="720" w:bottom="720" w:left="720" w:header="720" w:footer="720" w:gutter="0"/>
      <w:pgBorders w:offsetFrom="text">
        <w:top w:val="single" w:sz="4" w:space="24" w:color="auto"/>
        <w:left w:val="single" w:sz="4" w:space="24" w:color="auto"/>
        <w:bottom w:val="single" w:sz="4" w:space="24" w:color="auto"/>
        <w:right w:val="single" w:sz="4" w:space="24" w:color="auto"/>
      </w:pgBorders>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w:t>
      </w:r>
      <w:r>
        <w:rPr>
          <w:rFonts w:ascii="Consolas" w:hAnsi="Consolas" w:cs="Consolas"/>
          <w:sz w:val="18"/>
          <w:szCs w:val="18"/>
        </w:rPr>
        <w:t xml:space="preserve">Campaign against a social issue e.g., a "</w:t>
      </w:r>
      <w:r>
        <w:rPr>
          <w:rFonts w:ascii="Consolas" w:hAnsi="Consolas" w:cs="Consolas"/>
          <w:b/>
          <w:bCs/>
          <w:sz w:val="18"/>
          <w:szCs w:val="18"/>
        </w:rPr>
        <w:t xml:space="preserve">crusade</w:t>
      </w:r>
      <w:r>
        <w:rPr>
          <w:rFonts w:ascii="Consolas" w:hAnsi="Consolas" w:cs="Consolas"/>
          <w:sz w:val="18"/>
          <w:szCs w:val="18"/>
        </w:rPr>
        <w:t xml:space="preserve"> against poverty"</w:t>
      </w:r>
    </w:p>
  </w:footnote>
  <w:footnote w:id="2">
    <w:p>
      <w:pPr>
        <w:pStyle w:val="FootnoteText"/>
        <w:rPr>
          <w:rFonts w:ascii="Consolas" w:hAnsi="Consolas" w:cs="Consolas"/>
          <w:sz w:val="16"/>
          <w:szCs w:val="16"/>
        </w:rPr>
      </w:pPr>
      <w:r>
        <w:rPr>
          <w:rStyle w:val="FootnoteReference"/>
          <w:rFonts w:ascii="Consolas" w:hAnsi="Consolas" w:cs="Consolas"/>
          <w:sz w:val="16"/>
          <w:szCs w:val="16"/>
        </w:rPr>
        <w:footnoteRef/>
      </w:r>
      <w:r>
        <w:rPr>
          <w:rFonts w:ascii="Consolas" w:hAnsi="Consolas" w:cs="Consolas"/>
          <w:sz w:val="16"/>
          <w:szCs w:val="16"/>
        </w:rPr>
        <w:t xml:space="preserve"> </w:t>
      </w:r>
      <w:r>
        <w:rPr>
          <w:rFonts w:ascii="Consolas" w:hAnsi="Consolas" w:cs="Consolas"/>
          <w:b/>
          <w:bCs/>
          <w:sz w:val="16"/>
          <w:szCs w:val="16"/>
        </w:rPr>
        <w:t xml:space="preserve">Servitude: </w:t>
      </w:r>
      <w:r>
        <w:rPr>
          <w:rFonts w:ascii="Consolas" w:hAnsi="Consolas" w:cs="Consolas"/>
          <w:sz w:val="16"/>
          <w:szCs w:val="16"/>
        </w:rPr>
        <w:t xml:space="preserve">refers to the state of being under another person’s complete control with no freedom (such as slavery, forced labor)</w:t>
      </w:r>
    </w:p>
  </w:footnote>
  <w:footnote w:id="3">
    <w:p>
      <w:pPr>
        <w:pStyle w:val="FootnoteText"/>
        <w:rPr>
          <w:rFonts w:ascii="Consolas" w:hAnsi="Consolas" w:cs="Consolas"/>
          <w:sz w:val="18"/>
          <w:szCs w:val="18"/>
        </w:rPr>
      </w:pPr>
      <w:r>
        <w:rPr>
          <w:rStyle w:val="FootnoteReference"/>
          <w:rFonts w:ascii="Consolas" w:hAnsi="Consolas" w:cs="Consolas"/>
          <w:sz w:val="18"/>
          <w:szCs w:val="18"/>
        </w:rPr>
        <w:footnoteRef/>
      </w:r>
      <w:r>
        <w:rPr>
          <w:rFonts w:ascii="Consolas" w:hAnsi="Consolas" w:cs="Consolas"/>
          <w:sz w:val="18"/>
          <w:szCs w:val="18"/>
        </w:rPr>
        <w:t xml:space="preserve"> </w:t>
      </w:r>
      <w:r>
        <w:rPr>
          <w:rFonts w:ascii="Consolas" w:hAnsi="Consolas" w:cs="Consolas"/>
          <w:b/>
          <w:bCs/>
          <w:sz w:val="18"/>
          <w:szCs w:val="18"/>
        </w:rPr>
        <w:t xml:space="preserve">Runaway inflation</w:t>
      </w:r>
      <w:r>
        <w:rPr>
          <w:rFonts w:ascii="Consolas" w:hAnsi="Consolas" w:cs="Consolas"/>
          <w:sz w:val="18"/>
          <w:szCs w:val="18"/>
        </w:rPr>
        <w:t xml:space="preserve">—also called galloping or rampant inflation</w:t>
      </w:r>
    </w:p>
  </w:footnote>
  <w:footnote w:id="4">
    <w:p>
      <w:pPr>
        <w:pStyle w:val="FootnoteText"/>
      </w:pPr>
      <w:r>
        <w:rPr>
          <w:rStyle w:val="FootnoteReference"/>
        </w:rPr>
        <w:footnoteRef/>
      </w:r>
      <w:r>
        <w:t xml:space="preserve"> </w:t>
      </w:r>
      <w:r>
        <w:rPr>
          <w:rFonts w:ascii="Consolas" w:hAnsi="Consolas" w:cs="Consolas"/>
          <w:sz w:val="18"/>
          <w:szCs w:val="18"/>
        </w:rPr>
        <w:t xml:space="preserve">A </w:t>
      </w:r>
      <w:r>
        <w:rPr>
          <w:rFonts w:ascii="Consolas" w:hAnsi="Consolas" w:cs="Consolas"/>
          <w:b/>
          <w:sz w:val="18"/>
          <w:szCs w:val="18"/>
        </w:rPr>
        <w:t xml:space="preserve">vacuum of stability</w:t>
      </w:r>
      <w:r>
        <w:rPr>
          <w:rFonts w:ascii="Consolas" w:hAnsi="Consolas" w:cs="Consolas"/>
          <w:sz w:val="18"/>
          <w:szCs w:val="18"/>
        </w:rPr>
        <w:t xml:space="preserve"> is a state of widespread chaos or uncertainty</w:t>
      </w:r>
    </w:p>
  </w:footnote>
  <w:footnote w:id="5">
    <w:p>
      <w:pPr>
        <w:pStyle w:val="FootnoteText"/>
      </w:pPr>
      <w:r>
        <w:rPr>
          <w:rStyle w:val="FootnoteReference"/>
        </w:rPr>
        <w:footnoteRef/>
      </w:r>
      <w:r>
        <w:t xml:space="preserve"> </w:t>
      </w:r>
      <w:r>
        <w:rPr>
          <w:rFonts w:ascii="Consolas" w:hAnsi="Consolas" w:cs="Consolas"/>
          <w:b/>
          <w:sz w:val="18"/>
          <w:szCs w:val="18"/>
        </w:rPr>
        <w:t xml:space="preserve">Extinguished</w:t>
      </w:r>
      <w:r>
        <w:rPr>
          <w:rFonts w:ascii="Consolas" w:hAnsi="Consolas" w:cs="Consolas"/>
          <w:sz w:val="18"/>
          <w:szCs w:val="18"/>
        </w:rPr>
        <w:t xml:space="preserve"> means </w:t>
      </w:r>
      <w:r>
        <w:rPr>
          <w:rFonts w:ascii="Consolas" w:hAnsi="Consolas" w:cs="Consolas"/>
          <w:sz w:val="18"/>
          <w:szCs w:val="18"/>
          <w:shd w:val="clear" w:color="auto" w:fill="FFFF00"/>
        </w:rPr>
        <w:t xml:space="preserve">put out, ended, or completely destroyed.</w:t>
      </w:r>
    </w:p>
  </w:footnote>
  <w:footnote w:id="6">
    <w:p>
      <w:pPr>
        <w:pStyle w:val="FootnoteText"/>
      </w:pPr>
      <w:r>
        <w:rPr>
          <w:rStyle w:val="FootnoteReference"/>
        </w:rPr>
        <w:footnoteRef/>
      </w:r>
      <w:r>
        <w:t xml:space="preserve"> </w:t>
      </w:r>
      <w:r>
        <w:rPr>
          <w:rFonts w:ascii="Consolas" w:hAnsi="Consolas" w:cs="Consolas"/>
          <w:b/>
          <w:sz w:val="18"/>
          <w:szCs w:val="18"/>
        </w:rPr>
        <w:t xml:space="preserve">Immaculate</w:t>
      </w:r>
      <w:r>
        <w:rPr>
          <w:rFonts w:ascii="Consolas" w:hAnsi="Consolas" w:cs="Consolas"/>
          <w:sz w:val="18"/>
          <w:szCs w:val="18"/>
        </w:rPr>
        <w:t xml:space="preserve"> means </w:t>
      </w:r>
      <w:r>
        <w:rPr>
          <w:rFonts w:ascii="Consolas" w:hAnsi="Consolas" w:cs="Consolas"/>
          <w:sz w:val="18"/>
          <w:szCs w:val="18"/>
          <w:shd w:val="clear" w:color="auto" w:fill="FFFF00"/>
        </w:rPr>
        <w:t xml:space="preserve">perfectly clean, neat, or flawless.</w:t>
      </w:r>
    </w:p>
  </w:footnote>
  <w:footnote w:id="7">
    <w:p>
      <w:pPr>
        <w:pStyle w:val="FootnoteText"/>
        <w:rPr>
          <w:rFonts w:ascii="Consolas" w:hAnsi="Consolas" w:cs="Consolas"/>
          <w:sz w:val="18"/>
          <w:szCs w:val="18"/>
        </w:rPr>
      </w:pPr>
      <w:r>
        <w:rPr>
          <w:rStyle w:val="FootnoteReference"/>
          <w:rFonts w:ascii="Consolas" w:hAnsi="Consolas" w:cs="Consolas"/>
          <w:sz w:val="18"/>
          <w:szCs w:val="18"/>
        </w:rPr>
        <w:footnoteRef/>
      </w:r>
      <w:r>
        <w:rPr>
          <w:rFonts w:ascii="Consolas" w:hAnsi="Consolas" w:cs="Consolas"/>
          <w:sz w:val="18"/>
          <w:szCs w:val="18"/>
        </w:rPr>
        <w:t xml:space="preserve"> </w:t>
      </w:r>
      <w:r>
        <w:rPr>
          <w:rFonts w:ascii="Consolas" w:hAnsi="Consolas" w:cs="Consolas"/>
          <w:b/>
          <w:sz w:val="18"/>
          <w:szCs w:val="18"/>
        </w:rPr>
        <w:t xml:space="preserve">Astutely</w:t>
      </w:r>
      <w:r>
        <w:rPr>
          <w:rFonts w:ascii="Consolas" w:hAnsi="Consolas" w:cs="Consolas"/>
          <w:sz w:val="18"/>
          <w:szCs w:val="18"/>
        </w:rPr>
        <w:t xml:space="preserve"> means </w:t>
      </w:r>
      <w:r>
        <w:rPr>
          <w:rFonts w:ascii="Consolas" w:hAnsi="Consolas" w:cs="Consolas"/>
          <w:sz w:val="18"/>
          <w:szCs w:val="18"/>
          <w:shd w:val="clear" w:color="auto" w:fill="FFFF00"/>
        </w:rPr>
        <w:t xml:space="preserve">cleverly, sharply, or accurately assessing a situation to gain an advantage.</w:t>
      </w:r>
    </w:p>
  </w:footnote>
  <w:footnote w:id="8">
    <w:p>
      <w:pPr>
        <w:pStyle w:val="FootnoteText"/>
      </w:pPr>
      <w:r>
        <w:rPr>
          <w:rStyle w:val="FootnoteReference"/>
        </w:rPr>
        <w:footnoteRef/>
      </w:r>
      <w:r>
        <w:t xml:space="preserve"> </w:t>
      </w:r>
      <w:r>
        <w:rPr>
          <w:rFonts w:ascii="Consolas" w:hAnsi="Consolas" w:cs="Consolas"/>
          <w:sz w:val="18"/>
          <w:szCs w:val="18"/>
        </w:rPr>
        <w:t xml:space="preserve">carrying out executions by beheading</w:t>
      </w:r>
    </w:p>
  </w:footnote>
  <w:footnote w:id="9">
    <w:p>
      <w:pPr>
        <w:pStyle w:val="FootnoteText"/>
        <w:rPr>
          <w:rFonts w:ascii="Consolas" w:hAnsi="Consolas" w:cs="Consolas"/>
          <w:sz w:val="18"/>
          <w:szCs w:val="18"/>
        </w:rPr>
      </w:pPr>
      <w:r>
        <w:rPr>
          <w:rStyle w:val="FootnoteReference"/>
          <w:rFonts w:ascii="Consolas" w:hAnsi="Consolas" w:cs="Consolas"/>
          <w:sz w:val="18"/>
          <w:szCs w:val="18"/>
        </w:rPr>
        <w:footnoteRef/>
      </w:r>
      <w:r>
        <w:rPr>
          <w:rFonts w:ascii="Consolas" w:hAnsi="Consolas" w:cs="Consolas"/>
          <w:sz w:val="18"/>
          <w:szCs w:val="18"/>
        </w:rPr>
        <w:t xml:space="preserve"> </w:t>
      </w:r>
      <w:r>
        <w:rPr>
          <w:rFonts w:ascii="Consolas" w:hAnsi="Consolas" w:cs="Consolas"/>
          <w:b/>
          <w:sz w:val="18"/>
          <w:szCs w:val="18"/>
        </w:rPr>
        <w:t xml:space="preserve">Entrenching</w:t>
      </w:r>
      <w:r>
        <w:rPr>
          <w:rFonts w:ascii="Consolas" w:hAnsi="Consolas" w:cs="Consolas"/>
          <w:sz w:val="18"/>
          <w:szCs w:val="18"/>
        </w:rPr>
        <w:t xml:space="preserve"> means </w:t>
      </w:r>
      <w:r>
        <w:rPr>
          <w:rFonts w:ascii="Consolas" w:hAnsi="Consolas" w:cs="Consolas"/>
          <w:sz w:val="18"/>
          <w:szCs w:val="18"/>
          <w:shd w:val="clear" w:color="auto" w:fill="FFFF00"/>
        </w:rPr>
        <w:t xml:space="preserve">establishing an idea, or position so firmly that change is very difficult.</w:t>
      </w:r>
      <w:r>
        <w:rPr>
          <w:rFonts w:ascii="Consolas" w:hAnsi="Consolas" w:cs="Consolas"/>
          <w:b/>
          <w:sz w:val="18"/>
          <w:szCs w:val="18"/>
        </w:rPr>
        <w:t xml:space="preserve">he firmly locked in and permanently protected</w:t>
      </w:r>
      <w:r>
        <w:rPr>
          <w:rFonts w:ascii="Consolas" w:hAnsi="Consolas" w:cs="Consolas"/>
          <w:sz w:val="18"/>
          <w:szCs w:val="18"/>
        </w:rPr>
        <w:t xml:space="preserve"> the new social rules of the revolution</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FFFFFF7C"/>
    <w:multiLevelType w:val="singleLevel"/>
    <w:tmpl w:val="C310EC42"/>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nsid w:val="FFFFFF7D"/>
    <w:multiLevelType w:val="singleLevel"/>
    <w:tmpl w:val="E4089024"/>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footnotePr>
    <w:numFmt w:val="decimal"/>
    <w:footnote w:id="-1"/>
    <w:footnote w:id="0"/>
  </w:footnotePr>
  <w:endnotePr>
    <w:numFmt w:val="lowerRoman"/>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mbria" w:hAnsi="Cambria"/>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Calibri" w:hAnsi="Calibri"/>
      <w:b/>
      <w:bCs/>
      <w:color w:val="376092"/>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color w:val="17375E"/>
      <w:spacing w:val="5"/>
      <w:kern w:val="28"/>
      <w:sz w:val="52"/>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tblStylePr w:type="firstCol">
      <w:rPr>
        <w:b/>
        <w:bCs/>
      </w:rPr>
    </w:tblStylePr>
    <w:tblStylePr w:type="lastCol">
      <w:rPr>
        <w:b/>
        <w:bCs/>
      </w:rPr>
    </w:tblStyle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style>
  <w:style w:type="table" w:styleId="LightShading-Accent1">
    <w:name w:val="Light Shading Accent 1"/>
    <w:basedOn w:val="TableNormal"/>
    <w:uiPriority w:val="60"/>
    <w:pPr>
      <w:spacing w:after="0" w:line="240" w:lineRule="auto"/>
    </w:pPr>
    <w:rPr>
      <w:color w:val="376092"/>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tblStylePr w:type="firstCol">
      <w:rPr>
        <w:b/>
        <w:bCs/>
      </w:rPr>
    </w:tblStylePr>
    <w:tblStylePr w:type="lastCol">
      <w:rPr>
        <w:b/>
        <w:bCs/>
      </w:rPr>
    </w:tblStyle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style>
  <w:style w:type="table" w:styleId="LightShading-Accent2">
    <w:name w:val="Light Shading Accent 2"/>
    <w:basedOn w:val="TableNormal"/>
    <w:uiPriority w:val="60"/>
    <w:pPr>
      <w:spacing w:after="0" w:line="240" w:lineRule="auto"/>
    </w:pPr>
    <w:rPr>
      <w:color w:val="953735"/>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tblStylePr w:type="firstCol">
      <w:rPr>
        <w:b/>
        <w:bCs/>
      </w:rPr>
    </w:tblStylePr>
    <w:tblStylePr w:type="lastCol">
      <w:rPr>
        <w:b/>
        <w:bCs/>
      </w:rPr>
    </w:tblStyle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style>
  <w:style w:type="table" w:styleId="LightShading-Accent3">
    <w:name w:val="Light Shading Accent 3"/>
    <w:basedOn w:val="TableNormal"/>
    <w:uiPriority w:val="60"/>
    <w:pPr>
      <w:spacing w:after="0" w:line="240" w:lineRule="auto"/>
    </w:pPr>
    <w:rPr>
      <w:color w:val="76933C"/>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tblStylePr w:type="firstCol">
      <w:rPr>
        <w:b/>
        <w:bCs/>
      </w:rPr>
    </w:tblStylePr>
    <w:tblStylePr w:type="lastCol">
      <w:rPr>
        <w:b/>
        <w:bCs/>
      </w:rPr>
    </w:tblStyle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style>
  <w:style w:type="table" w:styleId="LightShading-Accent4">
    <w:name w:val="Light Shading Accent 4"/>
    <w:basedOn w:val="TableNormal"/>
    <w:uiPriority w:val="60"/>
    <w:pPr>
      <w:spacing w:after="0" w:line="240" w:lineRule="auto"/>
    </w:pPr>
    <w:rPr>
      <w:color w:val="604A7B"/>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tblStylePr w:type="firstCol">
      <w:rPr>
        <w:b/>
        <w:bCs/>
      </w:rPr>
    </w:tblStylePr>
    <w:tblStylePr w:type="lastCol">
      <w:rPr>
        <w:b/>
        <w:bCs/>
      </w:rPr>
    </w:tblStyle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style>
  <w:style w:type="table" w:styleId="LightShading-Accent5">
    <w:name w:val="Light Shading Accent 5"/>
    <w:basedOn w:val="TableNormal"/>
    <w:uiPriority w:val="60"/>
    <w:pPr>
      <w:spacing w:after="0" w:line="240" w:lineRule="auto"/>
    </w:pPr>
    <w:rPr>
      <w:color w:val="31859B"/>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tblStylePr w:type="firstCol">
      <w:rPr>
        <w:b/>
        <w:bCs/>
      </w:rPr>
    </w:tblStylePr>
    <w:tblStylePr w:type="lastCol">
      <w:rPr>
        <w:b/>
        <w:bCs/>
      </w:rPr>
    </w:tblStyle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style>
  <w:style w:type="table" w:styleId="LightShading-Accent6">
    <w:name w:val="Light Shading Accent 6"/>
    <w:basedOn w:val="TableNormal"/>
    <w:uiPriority w:val="60"/>
    <w:pPr>
      <w:spacing w:after="0" w:line="240" w:lineRule="auto"/>
    </w:pPr>
    <w:rPr>
      <w:color w:val="E46C0A"/>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tblStylePr w:type="firstCol">
      <w:rPr>
        <w:b/>
        <w:bCs/>
      </w:rPr>
    </w:tblStylePr>
    <w:tblStylePr w:type="lastCol">
      <w:rPr>
        <w:b/>
        <w:bCs/>
      </w:rPr>
    </w:tblStyle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style>
  <w:style w:type="table" w:styleId="LightList">
    <w:name w:val="Light List"/>
    <w:basedOn w:val="TableNormal"/>
    <w:uiPriority w:val="61"/>
    <w:pPr>
      <w:spacing w:after="0" w:line="240" w:lineRule="auto"/>
    </w:p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tblStylePr w:type="band2Horz">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tblStylePr w:type="band2Horz">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tblStylePr w:type="band2Horz">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tblStylePr w:type="band2Horz">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tblStylePr w:type="band2Horz">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tblStylePr w:type="band2Horz">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style>
  <w:style w:type="table" w:styleId="MediumShading1-Accent1">
    <w:name w:val="Medium Shading 1 Accent 1"/>
    <w:basedOn w:val="TableNormal"/>
    <w:uiPriority w:val="63"/>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style>
  <w:style w:type="table" w:styleId="MediumShading1-Accent2">
    <w:name w:val="Medium Shading 1 Accent 2"/>
    <w:basedOn w:val="TableNormal"/>
    <w:uiPriority w:val="63"/>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style>
  <w:style w:type="table" w:styleId="MediumShading1-Accent3">
    <w:name w:val="Medium Shading 1 Accent 3"/>
    <w:basedOn w:val="TableNormal"/>
    <w:uiPriority w:val="63"/>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style>
  <w:style w:type="table" w:styleId="MediumShading1-Accent4">
    <w:name w:val="Medium Shading 1 Accent 4"/>
    <w:basedOn w:val="TableNormal"/>
    <w:uiPriority w:val="63"/>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style>
  <w:style w:type="table" w:styleId="MediumShading1-Accent5">
    <w:name w:val="Medium Shading 1 Accent 5"/>
    <w:basedOn w:val="TableNormal"/>
    <w:uiPriority w:val="63"/>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style>
  <w:style w:type="table" w:styleId="MediumShading1-Accent6">
    <w:name w:val="Medium Shading 1 Accent 6"/>
    <w:basedOn w:val="TableNormal"/>
    <w:uiPriority w:val="63"/>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style>
  <w:style w:type="table" w:styleId="MediumShading2">
    <w:name w:val="Medium Shading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1">
    <w:name w:val="Medium Shading 2 Accent 1"/>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2">
    <w:name w:val="Medium Shading 2 Accent 2"/>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3">
    <w:name w:val="Medium Shading 2 Accent 3"/>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4">
    <w:name w:val="Medium Shading 2 Accent 4"/>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5">
    <w:name w:val="Medium Shading 2 Accent 5"/>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6">
    <w:name w:val="Medium Shading 2 Accent 6"/>
    <w:basedOn w:val="TableNormal"/>
    <w:uiPriority w:val="64"/>
    <w:pPr>
      <w:spacing w:after="0" w:line="240" w:lineRule="auto"/>
    </w:pPr>
    <w:tblPr>
      <w:tblStyleRow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List1">
    <w:name w:val="Medium List 1"/>
    <w:basedOn w:val="TableNormal"/>
    <w:uiPriority w:val="65"/>
    <w:pPr>
      <w:spacing w:after="0" w:line="240" w:lineRule="auto"/>
    </w:pPr>
    <w:rPr>
      <w:color w:val="000000"/>
    </w:rPr>
    <w:tblPr>
      <w:tblStyleRowBandSize w:val="1"/>
      <w:tblBorders>
        <w:top w:val="single" w:sz="8" w:space="0" w:color="000000"/>
        <w:bottom w:val="single" w:sz="8" w:space="0" w:color="000000"/>
      </w:tblBorders>
      <w:tblCellMar>
        <w:top w:w="0" w:type="dxa"/>
        <w:left w:w="108" w:type="dxa"/>
        <w:bottom w:w="0" w:type="dxa"/>
        <w:right w:w="108" w:type="dxa"/>
      </w:tblCellMar>
    </w:tblPr>
    <w:tblStylePr w:type="band1Vert">
      <w:tcPr>
        <w:shd w:val="clear" w:color="auto" w:fill="C0C0C0"/>
      </w:tcPr>
    </w:tblStylePr>
    <w:tblStylePr w:type="band1Horz">
      <w:tcPr>
        <w:shd w:val="clear" w:color="auto" w:fill="C0C0C0"/>
      </w:tcPr>
    </w:tblStylePr>
    <w:tblStylePr w:type="firstCol">
      <w:rPr>
        <w:b/>
        <w:bCs/>
      </w:rPr>
    </w:tblStylePr>
    <w:tblStylePr w:type="lastCol">
      <w:rPr>
        <w:b/>
        <w:bCs/>
      </w:rPr>
      <w:tcPr>
        <w:tcBorders>
          <w:top w:val="single" w:sz="8" w:space="0" w:color="000000"/>
          <w:bottom w:val="single" w:sz="8" w:space="0" w:color="000000"/>
        </w:tcBorders>
      </w:tcPr>
    </w:tblStyle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style>
  <w:style w:type="table" w:styleId="MediumList1-Accent1">
    <w:name w:val="Medium List 1 Accent 1"/>
    <w:basedOn w:val="TableNormal"/>
    <w:uiPriority w:val="65"/>
    <w:pPr>
      <w:spacing w:after="0" w:line="240" w:lineRule="auto"/>
    </w:pPr>
    <w:rPr>
      <w:color w:val="000000"/>
    </w:rPr>
    <w:tblPr>
      <w:tblStyleRowBandSize w:val="1"/>
      <w:tblBorders>
        <w:top w:val="single" w:sz="8" w:space="0" w:color="4F81BD"/>
        <w:bottom w:val="single" w:sz="8" w:space="0" w:color="4F81BD"/>
      </w:tblBorders>
      <w:tblCellMar>
        <w:top w:w="0" w:type="dxa"/>
        <w:left w:w="108" w:type="dxa"/>
        <w:bottom w:w="0" w:type="dxa"/>
        <w:right w:w="108" w:type="dxa"/>
      </w:tblCellMar>
    </w:tblPr>
    <w:tblStylePr w:type="band1Vert">
      <w:tcPr>
        <w:shd w:val="clear" w:color="auto" w:fill="D4E0EF"/>
      </w:tcPr>
    </w:tblStylePr>
    <w:tblStylePr w:type="band1Horz">
      <w:tcPr>
        <w:shd w:val="clear" w:color="auto" w:fill="D4E0EF"/>
      </w:tcPr>
    </w:tblStylePr>
    <w:tblStylePr w:type="firstCol">
      <w:rPr>
        <w:b/>
        <w:bCs/>
      </w:rPr>
    </w:tblStylePr>
    <w:tblStylePr w:type="lastCol">
      <w:rPr>
        <w:b/>
        <w:bCs/>
      </w:rPr>
      <w:tcPr>
        <w:tcBorders>
          <w:top w:val="single" w:sz="8" w:space="0" w:color="4F81BD"/>
          <w:bottom w:val="single" w:sz="8" w:space="0" w:color="4F81BD"/>
        </w:tcBorders>
      </w:tcPr>
    </w:tblStyle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style>
  <w:style w:type="table" w:styleId="MediumList1-Accent2">
    <w:name w:val="Medium List 1 Accent 2"/>
    <w:basedOn w:val="TableNormal"/>
    <w:uiPriority w:val="65"/>
    <w:pPr>
      <w:spacing w:after="0" w:line="240" w:lineRule="auto"/>
    </w:pPr>
    <w:rPr>
      <w:color w:val="000000"/>
    </w:rPr>
    <w:tblPr>
      <w:tblStyleRowBandSize w:val="1"/>
      <w:tblBorders>
        <w:top w:val="single" w:sz="8" w:space="0" w:color="C0504D"/>
        <w:bottom w:val="single" w:sz="8" w:space="0" w:color="C0504D"/>
      </w:tblBorders>
      <w:tblCellMar>
        <w:top w:w="0" w:type="dxa"/>
        <w:left w:w="108" w:type="dxa"/>
        <w:bottom w:w="0" w:type="dxa"/>
        <w:right w:w="108" w:type="dxa"/>
      </w:tblCellMar>
    </w:tblPr>
    <w:tblStylePr w:type="band1Vert">
      <w:tcPr>
        <w:shd w:val="clear" w:color="auto" w:fill="EFD4D3"/>
      </w:tcPr>
    </w:tblStylePr>
    <w:tblStylePr w:type="band1Horz">
      <w:tcPr>
        <w:shd w:val="clear" w:color="auto" w:fill="EFD4D3"/>
      </w:tcPr>
    </w:tblStylePr>
    <w:tblStylePr w:type="firstCol">
      <w:rPr>
        <w:b/>
        <w:bCs/>
      </w:rPr>
    </w:tblStylePr>
    <w:tblStylePr w:type="lastCol">
      <w:rPr>
        <w:b/>
        <w:bCs/>
      </w:rPr>
      <w:tcPr>
        <w:tcBorders>
          <w:top w:val="single" w:sz="8" w:space="0" w:color="C0504D"/>
          <w:bottom w:val="single" w:sz="8" w:space="0" w:color="C0504D"/>
        </w:tcBorders>
      </w:tcPr>
    </w:tblStyle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style>
  <w:style w:type="table" w:styleId="MediumList1-Accent3">
    <w:name w:val="Medium List 1 Accent 3"/>
    <w:basedOn w:val="TableNormal"/>
    <w:uiPriority w:val="65"/>
    <w:pPr>
      <w:spacing w:after="0" w:line="240" w:lineRule="auto"/>
    </w:pPr>
    <w:rPr>
      <w:color w:val="000000"/>
    </w:rPr>
    <w:tblPr>
      <w:tblStyleRowBandSize w:val="1"/>
      <w:tblBorders>
        <w:top w:val="single" w:sz="8" w:space="0" w:color="9BBB59"/>
        <w:bottom w:val="single" w:sz="8" w:space="0" w:color="9BBB59"/>
      </w:tblBorders>
      <w:tblCellMar>
        <w:top w:w="0" w:type="dxa"/>
        <w:left w:w="108" w:type="dxa"/>
        <w:bottom w:w="0" w:type="dxa"/>
        <w:right w:w="108" w:type="dxa"/>
      </w:tblCellMar>
    </w:tblPr>
    <w:tblStylePr w:type="band1Vert">
      <w:tcPr>
        <w:shd w:val="clear" w:color="auto" w:fill="E6EED6"/>
      </w:tcPr>
    </w:tblStylePr>
    <w:tblStylePr w:type="band1Horz">
      <w:tcPr>
        <w:shd w:val="clear" w:color="auto" w:fill="E6EED6"/>
      </w:tcPr>
    </w:tblStylePr>
    <w:tblStylePr w:type="firstCol">
      <w:rPr>
        <w:b/>
        <w:bCs/>
      </w:rPr>
    </w:tblStylePr>
    <w:tblStylePr w:type="lastCol">
      <w:rPr>
        <w:b/>
        <w:bCs/>
      </w:rPr>
      <w:tcPr>
        <w:tcBorders>
          <w:top w:val="single" w:sz="8" w:space="0" w:color="9BBB59"/>
          <w:bottom w:val="single" w:sz="8" w:space="0" w:color="9BBB59"/>
        </w:tcBorders>
      </w:tcPr>
    </w:tblStyle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style>
  <w:style w:type="table" w:styleId="MediumList1-Accent4">
    <w:name w:val="Medium List 1 Accent 4"/>
    <w:basedOn w:val="TableNormal"/>
    <w:uiPriority w:val="65"/>
    <w:pPr>
      <w:spacing w:after="0" w:line="240" w:lineRule="auto"/>
    </w:pPr>
    <w:rPr>
      <w:color w:val="000000"/>
    </w:rPr>
    <w:tblPr>
      <w:tblStyleRowBandSize w:val="1"/>
      <w:tblBorders>
        <w:top w:val="single" w:sz="8" w:space="0" w:color="8064A2"/>
        <w:bottom w:val="single" w:sz="8" w:space="0" w:color="8064A2"/>
      </w:tblBorders>
      <w:tblCellMar>
        <w:top w:w="0" w:type="dxa"/>
        <w:left w:w="108" w:type="dxa"/>
        <w:bottom w:w="0" w:type="dxa"/>
        <w:right w:w="108" w:type="dxa"/>
      </w:tblCellMar>
    </w:tblPr>
    <w:tblStylePr w:type="band1Vert">
      <w:tcPr>
        <w:shd w:val="clear" w:color="auto" w:fill="E0D9E8"/>
      </w:tcPr>
    </w:tblStylePr>
    <w:tblStylePr w:type="band1Horz">
      <w:tcPr>
        <w:shd w:val="clear" w:color="auto" w:fill="E0D9E8"/>
      </w:tcPr>
    </w:tblStylePr>
    <w:tblStylePr w:type="firstCol">
      <w:rPr>
        <w:b/>
        <w:bCs/>
      </w:rPr>
    </w:tblStylePr>
    <w:tblStylePr w:type="lastCol">
      <w:rPr>
        <w:b/>
        <w:bCs/>
      </w:rPr>
      <w:tcPr>
        <w:tcBorders>
          <w:top w:val="single" w:sz="8" w:space="0" w:color="8064A2"/>
          <w:bottom w:val="single" w:sz="8" w:space="0" w:color="8064A2"/>
        </w:tcBorders>
      </w:tcPr>
    </w:tblStyle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style>
  <w:style w:type="table" w:styleId="MediumList1-Accent5">
    <w:name w:val="Medium List 1 Accent 5"/>
    <w:basedOn w:val="TableNormal"/>
    <w:uiPriority w:val="65"/>
    <w:pPr>
      <w:spacing w:after="0" w:line="240" w:lineRule="auto"/>
    </w:pPr>
    <w:rPr>
      <w:color w:val="000000"/>
    </w:rPr>
    <w:tblPr>
      <w:tblStyleRowBandSize w:val="1"/>
      <w:tblBorders>
        <w:top w:val="single" w:sz="8" w:space="0" w:color="4BACC6"/>
        <w:bottom w:val="single" w:sz="8" w:space="0" w:color="4BACC6"/>
      </w:tblBorders>
      <w:tblCellMar>
        <w:top w:w="0" w:type="dxa"/>
        <w:left w:w="108" w:type="dxa"/>
        <w:bottom w:w="0" w:type="dxa"/>
        <w:right w:w="108" w:type="dxa"/>
      </w:tblCellMar>
    </w:tblPr>
    <w:tblStylePr w:type="band1Vert">
      <w:tcPr>
        <w:shd w:val="clear" w:color="auto" w:fill="D3EAF1"/>
      </w:tcPr>
    </w:tblStylePr>
    <w:tblStylePr w:type="band1Horz">
      <w:tcPr>
        <w:shd w:val="clear" w:color="auto" w:fill="D3EAF1"/>
      </w:tcPr>
    </w:tblStylePr>
    <w:tblStylePr w:type="firstCol">
      <w:rPr>
        <w:b/>
        <w:bCs/>
      </w:rPr>
    </w:tblStylePr>
    <w:tblStylePr w:type="lastCol">
      <w:rPr>
        <w:b/>
        <w:bCs/>
      </w:rPr>
      <w:tcPr>
        <w:tcBorders>
          <w:top w:val="single" w:sz="8" w:space="0" w:color="4BACC6"/>
          <w:bottom w:val="single" w:sz="8" w:space="0" w:color="4BACC6"/>
        </w:tcBorders>
      </w:tcPr>
    </w:tblStyle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style>
  <w:style w:type="table" w:styleId="MediumList1-Accent6">
    <w:name w:val="Medium List 1 Accent 6"/>
    <w:basedOn w:val="TableNormal"/>
    <w:uiPriority w:val="65"/>
    <w:pPr>
      <w:spacing w:after="0" w:line="240" w:lineRule="auto"/>
    </w:pPr>
    <w:rPr>
      <w:color w:val="000000"/>
    </w:rPr>
    <w:tblPr>
      <w:tblStyleRowBandSize w:val="1"/>
      <w:tblBorders>
        <w:top w:val="single" w:sz="8" w:space="0" w:color="F79646"/>
        <w:bottom w:val="single" w:sz="8" w:space="0" w:color="F79646"/>
      </w:tblBorders>
      <w:tblCellMar>
        <w:top w:w="0" w:type="dxa"/>
        <w:left w:w="108" w:type="dxa"/>
        <w:bottom w:w="0" w:type="dxa"/>
        <w:right w:w="108" w:type="dxa"/>
      </w:tblCellMar>
    </w:tblPr>
    <w:tblStylePr w:type="band1Vert">
      <w:tcPr>
        <w:shd w:val="clear" w:color="auto" w:fill="FDE5D1"/>
      </w:tcPr>
    </w:tblStylePr>
    <w:tblStylePr w:type="band1Horz">
      <w:tcPr>
        <w:shd w:val="clear" w:color="auto" w:fill="FDE5D1"/>
      </w:tcPr>
    </w:tblStylePr>
    <w:tblStylePr w:type="firstCol">
      <w:rPr>
        <w:b/>
        <w:bCs/>
      </w:rPr>
    </w:tblStylePr>
    <w:tblStylePr w:type="lastCol">
      <w:rPr>
        <w:b/>
        <w:bCs/>
      </w:rPr>
      <w:tcPr>
        <w:tcBorders>
          <w:top w:val="single" w:sz="8" w:space="0" w:color="F79646"/>
          <w:bottom w:val="single" w:sz="8" w:space="0" w:color="F79646"/>
        </w:tcBorders>
      </w:tcPr>
    </w:tblStyle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Grid1">
    <w:name w:val="Medium Grid 1"/>
    <w:basedOn w:val="TableNormal"/>
    <w:uiPriority w:val="67"/>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404040"/>
        </w:tcBorders>
      </w:tcPr>
    </w:tblStylePr>
  </w:style>
  <w:style w:type="table" w:styleId="MediumGrid1-Accent1">
    <w:name w:val="Medium Grid 1 Accent 1"/>
    <w:basedOn w:val="TableNormal"/>
    <w:uiPriority w:val="67"/>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BA0CD"/>
        </w:tcBorders>
      </w:tcPr>
    </w:tblStylePr>
  </w:style>
  <w:style w:type="table" w:styleId="MediumGrid1-Accent2">
    <w:name w:val="Medium Grid 1 Accent 2"/>
    <w:basedOn w:val="TableNormal"/>
    <w:uiPriority w:val="67"/>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CF7B79"/>
        </w:tcBorders>
      </w:tcPr>
    </w:tblStylePr>
  </w:style>
  <w:style w:type="table" w:styleId="MediumGrid1-Accent3">
    <w:name w:val="Medium Grid 1 Accent 3"/>
    <w:basedOn w:val="TableNormal"/>
    <w:uiPriority w:val="67"/>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B3CC82"/>
        </w:tcBorders>
      </w:tcPr>
    </w:tblStylePr>
  </w:style>
  <w:style w:type="table" w:styleId="MediumGrid1-Accent4">
    <w:name w:val="Medium Grid 1 Accent 4"/>
    <w:basedOn w:val="TableNormal"/>
    <w:uiPriority w:val="67"/>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9F8AB9"/>
        </w:tcBorders>
      </w:tcPr>
    </w:tblStylePr>
  </w:style>
  <w:style w:type="table" w:styleId="MediumGrid1-Accent5">
    <w:name w:val="Medium Grid 1 Accent 5"/>
    <w:basedOn w:val="TableNormal"/>
    <w:uiPriority w:val="67"/>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8C0D4"/>
        </w:tcBorders>
      </w:tcPr>
    </w:tblStylePr>
  </w:style>
  <w:style w:type="table" w:styleId="MediumGrid1-Accent6">
    <w:name w:val="Medium Grid 1 Accent 6"/>
    <w:basedOn w:val="TableNormal"/>
    <w:uiPriority w:val="67"/>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F9B074"/>
        </w:tcBorders>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3">
    <w:name w:val="Medium Grid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style>
  <w:style w:type="table" w:styleId="MediumGrid3-Accent1">
    <w:name w:val="Medium Grid 3 Accent 1"/>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style>
  <w:style w:type="table" w:styleId="MediumGrid3-Accent2">
    <w:name w:val="Medium Grid 3 Accent 2"/>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style>
  <w:style w:type="table" w:styleId="MediumGrid3-Accent3">
    <w:name w:val="Medium Grid 3 Accent 3"/>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style>
  <w:style w:type="table" w:styleId="MediumGrid3-Accent4">
    <w:name w:val="Medium Grid 3 Accent 4"/>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style>
  <w:style w:type="table" w:styleId="MediumGrid3-Accent5">
    <w:name w:val="Medium Grid 3 Accent 5"/>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style>
  <w:style w:type="table" w:styleId="MediumGrid3-Accent6">
    <w:name w:val="Medium Grid 3 Accent 6"/>
    <w:basedOn w:val="TableNormal"/>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style>
  <w:style w:type="table" w:styleId="DarkList">
    <w:name w:val="Dark List"/>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style>
  <w:style w:type="table" w:styleId="DarkList-Accent2">
    <w:name w:val="Dark List Accent 2"/>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style>
  <w:style w:type="table" w:styleId="DarkList-Accent3">
    <w:name w:val="Dark List Accent 3"/>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style>
  <w:style w:type="table" w:styleId="DarkList-Accent4">
    <w:name w:val="Dark List Accent 4"/>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style>
  <w:style w:type="table" w:styleId="DarkList-Accent5">
    <w:name w:val="Dark List Accent 5"/>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style>
  <w:style w:type="table" w:styleId="DarkList-Accent6">
    <w:name w:val="Dark List Accent 6"/>
    <w:basedOn w:val="TableNormal"/>
    <w:uiPriority w:val="70"/>
    <w:pPr>
      <w:spacing w:after="0" w:line="240" w:lineRule="auto"/>
    </w:pPr>
    <w:rPr>
      <w:color w:val="FFFFFF"/>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style>
  <w:style w:type="table" w:styleId="ColorfulShading">
    <w:name w:val="Colorful Shading"/>
    <w:basedOn w:val="TableNormal"/>
    <w:uiPriority w:val="71"/>
    <w:pPr>
      <w:spacing w:after="0" w:line="240" w:lineRule="auto"/>
    </w:pPr>
    <w:rPr>
      <w:color w:val="000000"/>
    </w:rPr>
    <w:tblPr>
      <w:tblStyleRow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999999"/>
      </w:tcPr>
    </w:tblStylePr>
    <w:tblStylePr w:type="band1Horz">
      <w:tcPr>
        <w:shd w:val="clear" w:color="auto" w:fill="80808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9CDE5"/>
      </w:tcPr>
    </w:tblStylePr>
    <w:tblStylePr w:type="band1Horz">
      <w:tcPr>
        <w:shd w:val="clear" w:color="auto" w:fill="A7C0DE"/>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E6B9B8"/>
      </w:tcPr>
    </w:tblStylePr>
    <w:tblStylePr w:type="band1Horz">
      <w:tcPr>
        <w:shd w:val="clear" w:color="auto" w:fill="E0A8A6"/>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D7E4BD"/>
      </w:tcPr>
    </w:tblStylePr>
    <w:tblStylePr w:type="band1Horz">
      <w:tcPr>
        <w:shd w:val="clear" w:color="auto" w:fill="CDDDA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style>
  <w:style w:type="table" w:styleId="ColorfulShading-Accent4">
    <w:name w:val="Colorful Shading Accent 4"/>
    <w:basedOn w:val="TableNormal"/>
    <w:uiPriority w:val="71"/>
    <w:pPr>
      <w:spacing w:after="0" w:line="240" w:lineRule="auto"/>
    </w:pPr>
    <w:rPr>
      <w:color w:val="000000"/>
    </w:rPr>
    <w:tblPr>
      <w:tblStyleRow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CCC1DA"/>
      </w:tcPr>
    </w:tblStylePr>
    <w:tblStylePr w:type="band1Horz">
      <w:tcPr>
        <w:shd w:val="clear" w:color="auto" w:fill="C0B2D1"/>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7DEE8"/>
      </w:tcPr>
    </w:tblStylePr>
    <w:tblStylePr w:type="band1Horz">
      <w:tcPr>
        <w:shd w:val="clear" w:color="auto" w:fill="A5D6E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FCD5B5"/>
      </w:tcPr>
    </w:tblStylePr>
    <w:tblStylePr w:type="band1Horz">
      <w:tcPr>
        <w:shd w:val="clear" w:color="auto" w:fill="FBCBA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1">
    <w:name w:val="Colorful List Accent 1"/>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2">
    <w:name w:val="Colorful List Accent 2"/>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3">
    <w:name w:val="Colorful List Accent 3"/>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style>
  <w:style w:type="table" w:styleId="ColorfulList-Accent4">
    <w:name w:val="Colorful List Accent 4"/>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style>
  <w:style w:type="table" w:styleId="ColorfulList-Accent5">
    <w:name w:val="Colorful List Accent 5"/>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style>
  <w:style w:type="table" w:styleId="ColorfulList-Accent6">
    <w:name w:val="Colorful List Accent 6"/>
    <w:basedOn w:val="TableNormal"/>
    <w:uiPriority w:val="72"/>
    <w:pPr>
      <w:spacing w:after="0" w:line="240" w:lineRule="auto"/>
    </w:pPr>
    <w:rPr>
      <w:color w:val="000000"/>
    </w:rPr>
    <w:tblPr>
      <w:tblStyleRow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style>
  <w:style w:type="table" w:styleId="ColorfulGrid">
    <w:name w:val="Colorful Grid"/>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color w:val="FFFFFF"/>
      </w:rPr>
      <w:tcPr>
        <w:shd w:val="clear" w:color="auto" w:fill="000000"/>
      </w:tcPr>
    </w:tblStylePr>
    <w:tblStylePr w:type="lastCol">
      <w:rPr>
        <w:color w:val="FFFFFF"/>
      </w:rPr>
      <w:tcPr>
        <w:shd w:val="clear" w:color="auto" w:fill="000000"/>
      </w:tcPr>
    </w:tblStylePr>
    <w:tblStylePr w:type="firstRow">
      <w:rPr>
        <w:b/>
        <w:bCs/>
      </w:rPr>
      <w:tcPr>
        <w:shd w:val="clear" w:color="auto" w:fill="999999"/>
      </w:tcPr>
    </w:tblStylePr>
    <w:tblStylePr w:type="lastRow">
      <w:rPr>
        <w:b/>
        <w:bCs/>
        <w:color w:val="000000"/>
      </w:rPr>
      <w:tcPr>
        <w:shd w:val="clear" w:color="auto" w:fill="999999"/>
      </w:tcPr>
    </w:tblStylePr>
  </w:style>
  <w:style w:type="table" w:styleId="ColorfulGrid-Accent1">
    <w:name w:val="Colorful Grid Accent 1"/>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color w:val="FFFFFF"/>
      </w:rPr>
      <w:tcPr>
        <w:shd w:val="clear" w:color="auto" w:fill="376092"/>
      </w:tcPr>
    </w:tblStylePr>
    <w:tblStylePr w:type="lastCol">
      <w:rPr>
        <w:color w:val="FFFFFF"/>
      </w:rPr>
      <w:tcPr>
        <w:shd w:val="clear" w:color="auto" w:fill="376092"/>
      </w:tcPr>
    </w:tblStylePr>
    <w:tblStylePr w:type="firstRow">
      <w:rPr>
        <w:b/>
        <w:bCs/>
      </w:rPr>
      <w:tcPr>
        <w:shd w:val="clear" w:color="auto" w:fill="B9CDE5"/>
      </w:tcPr>
    </w:tblStylePr>
    <w:tblStylePr w:type="lastRow">
      <w:rPr>
        <w:b/>
        <w:bCs/>
        <w:color w:val="000000"/>
      </w:rPr>
      <w:tcPr>
        <w:shd w:val="clear" w:color="auto" w:fill="B9CDE5"/>
      </w:tcPr>
    </w:tblStylePr>
  </w:style>
  <w:style w:type="table" w:styleId="ColorfulGrid-Accent2">
    <w:name w:val="Colorful Grid Accent 2"/>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color w:val="FFFFFF"/>
      </w:rPr>
      <w:tcPr>
        <w:shd w:val="clear" w:color="auto" w:fill="953735"/>
      </w:tcPr>
    </w:tblStylePr>
    <w:tblStylePr w:type="lastCol">
      <w:rPr>
        <w:color w:val="FFFFFF"/>
      </w:rPr>
      <w:tcPr>
        <w:shd w:val="clear" w:color="auto" w:fill="953735"/>
      </w:tcPr>
    </w:tblStylePr>
    <w:tblStylePr w:type="firstRow">
      <w:rPr>
        <w:b/>
        <w:bCs/>
      </w:rPr>
      <w:tcPr>
        <w:shd w:val="clear" w:color="auto" w:fill="E6B9B8"/>
      </w:tcPr>
    </w:tblStylePr>
    <w:tblStylePr w:type="lastRow">
      <w:rPr>
        <w:b/>
        <w:bCs/>
        <w:color w:val="000000"/>
      </w:rPr>
      <w:tcPr>
        <w:shd w:val="clear" w:color="auto" w:fill="E6B9B8"/>
      </w:tcPr>
    </w:tblStylePr>
  </w:style>
  <w:style w:type="table" w:styleId="ColorfulGrid-Accent3">
    <w:name w:val="Colorful Grid Accent 3"/>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color w:val="FFFFFF"/>
      </w:rPr>
      <w:tcPr>
        <w:shd w:val="clear" w:color="auto" w:fill="76933C"/>
      </w:tcPr>
    </w:tblStylePr>
    <w:tblStylePr w:type="lastCol">
      <w:rPr>
        <w:color w:val="FFFFFF"/>
      </w:rPr>
      <w:tcPr>
        <w:shd w:val="clear" w:color="auto" w:fill="76933C"/>
      </w:tcPr>
    </w:tblStylePr>
    <w:tblStylePr w:type="firstRow">
      <w:rPr>
        <w:b/>
        <w:bCs/>
      </w:rPr>
      <w:tcPr>
        <w:shd w:val="clear" w:color="auto" w:fill="D7E4BD"/>
      </w:tcPr>
    </w:tblStylePr>
    <w:tblStylePr w:type="lastRow">
      <w:rPr>
        <w:b/>
        <w:bCs/>
        <w:color w:val="000000"/>
      </w:rPr>
      <w:tcPr>
        <w:shd w:val="clear" w:color="auto" w:fill="D7E4BD"/>
      </w:tcPr>
    </w:tblStylePr>
  </w:style>
  <w:style w:type="table" w:styleId="ColorfulGrid-Accent4">
    <w:name w:val="Colorful Grid Accent 4"/>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color w:val="FFFFFF"/>
      </w:rPr>
      <w:tcPr>
        <w:shd w:val="clear" w:color="auto" w:fill="604A7B"/>
      </w:tcPr>
    </w:tblStylePr>
    <w:tblStylePr w:type="lastCol">
      <w:rPr>
        <w:color w:val="FFFFFF"/>
      </w:rPr>
      <w:tcPr>
        <w:shd w:val="clear" w:color="auto" w:fill="604A7B"/>
      </w:tcPr>
    </w:tblStylePr>
    <w:tblStylePr w:type="firstRow">
      <w:rPr>
        <w:b/>
        <w:bCs/>
      </w:rPr>
      <w:tcPr>
        <w:shd w:val="clear" w:color="auto" w:fill="CCC1DA"/>
      </w:tcPr>
    </w:tblStylePr>
    <w:tblStylePr w:type="lastRow">
      <w:rPr>
        <w:b/>
        <w:bCs/>
        <w:color w:val="000000"/>
      </w:rPr>
      <w:tcPr>
        <w:shd w:val="clear" w:color="auto" w:fill="CCC1DA"/>
      </w:tcPr>
    </w:tblStylePr>
  </w:style>
  <w:style w:type="table" w:styleId="ColorfulGrid-Accent5">
    <w:name w:val="Colorful Grid Accent 5"/>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color w:val="FFFFFF"/>
      </w:rPr>
      <w:tcPr>
        <w:shd w:val="clear" w:color="auto" w:fill="31859B"/>
      </w:tcPr>
    </w:tblStylePr>
    <w:tblStylePr w:type="lastCol">
      <w:rPr>
        <w:color w:val="FFFFFF"/>
      </w:rPr>
      <w:tcPr>
        <w:shd w:val="clear" w:color="auto" w:fill="31859B"/>
      </w:tcPr>
    </w:tblStylePr>
    <w:tblStylePr w:type="firstRow">
      <w:rPr>
        <w:b/>
        <w:bCs/>
      </w:rPr>
      <w:tcPr>
        <w:shd w:val="clear" w:color="auto" w:fill="B7DEE8"/>
      </w:tcPr>
    </w:tblStylePr>
    <w:tblStylePr w:type="lastRow">
      <w:rPr>
        <w:b/>
        <w:bCs/>
        <w:color w:val="000000"/>
      </w:rPr>
      <w:tcPr>
        <w:shd w:val="clear" w:color="auto" w:fill="B7DEE8"/>
      </w:tcPr>
    </w:tblStylePr>
  </w:style>
  <w:style w:type="table" w:styleId="ColorfulGrid-Accent6">
    <w:name w:val="Colorful Grid Accent 6"/>
    <w:basedOn w:val="TableNormal"/>
    <w:uiPriority w:val="73"/>
    <w:pPr>
      <w:spacing w:after="0" w:line="240" w:lineRule="auto"/>
    </w:pPr>
    <w:rPr>
      <w:color w:val="000000"/>
    </w:rPr>
    <w:tblPr>
      <w:tblStyleRowBandSize w:val="1"/>
      <w:tblBorders>
        <w:insideH w:val="single" w:sz="4" w:space="0" w:color="FFFFFF"/>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color w:val="FFFFFF"/>
      </w:rPr>
      <w:tcPr>
        <w:shd w:val="clear" w:color="auto" w:fill="E46C0A"/>
      </w:tcPr>
    </w:tblStylePr>
    <w:tblStylePr w:type="lastCol">
      <w:rPr>
        <w:color w:val="FFFFFF"/>
      </w:rPr>
      <w:tcPr>
        <w:shd w:val="clear" w:color="auto" w:fill="E46C0A"/>
      </w:tcPr>
    </w:tblStylePr>
    <w:tblStylePr w:type="firstRow">
      <w:rPr>
        <w:b/>
        <w:bCs/>
      </w:rPr>
      <w:tcPr>
        <w:shd w:val="clear" w:color="auto" w:fill="FCD5B5"/>
      </w:tcPr>
    </w:tblStylePr>
    <w:tblStylePr w:type="lastRow">
      <w:rPr>
        <w:b/>
        <w:bCs/>
        <w:color w:val="000000"/>
      </w:rPr>
      <w:tcPr>
        <w:shd w:val="clear" w:color="auto" w:fill="FCD5B5"/>
      </w:tcPr>
    </w:tblStylePr>
  </w:style>
  <w:style w:type="character" w:styleId="Hyperlink">
    <w:name w:val="Hyperlink"/>
    <w:basedOn w:val="DefaultParagraphFont"/>
    <w:uiPriority w:val="99"/>
    <w:rPr>
      <w:color w:val="467886"/>
      <w:u w:val="single"/>
    </w:r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fontTable" Target="fontTable.xml"/><Relationship Id="rId7" Type="http://schemas.openxmlformats.org/officeDocument/2006/relationships/customXml" Target="../customXml/item1.xml"/><Relationship Id="rId8" Type="http://schemas.microsoft.com/office/2007/relationships/stylesWithEffects" Target="stylesWithEffects.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1278</Words>
  <Paragraphs>82</Paragraphs>
  <DocSecurity>0</DocSecurity>
  <Template>Normal.dotm</Template>
  <ScaleCrop>false</ScaleCrop>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ismail</cp:lastModifiedBy>
  <cp:revision>194</cp:revision>
  <dcterms:created xsi:type="dcterms:W3CDTF">2013-12-23T23:15:00Z</dcterms:created>
  <dcterms:modified xsi:type="dcterms:W3CDTF">2026-10-24T04:24:36Z</dcterms:modified>
</cp:coreProperties>
</file>