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More time for teaching</w:t>
      </w:r>
    </w:p>
    <w:p>
      <w:pPr>
        <w:pStyle w:val="Subtitle"/>
      </w:pPr>
      <w:r>
        <w:t xml:space="preserve">A proposed AI-supported classroom experience for Kota Buku</w:t>
      </w:r>
    </w:p>
    <w:p>
      <w:pPr>
        <w:pStyle w:val="Normal"/>
      </w:pPr>
      <w:r>
        <w:t xml:space="preserve">Delivered by Sifututor. Powered by Learnest Lab.</w:t>
      </w:r>
    </w:p>
    <w:p>
      <w:pPr>
        <w:pStyle w:val="Normal"/>
      </w:pPr>
      <w:r>
        <w:rPr>
          <w:b/>
        </w:rPr>
        <w:t xml:space="preserve">Discussion draft · 7 September 2026 · Version 0.3</w:t>
      </w:r>
    </w:p>
    <w:p>
      <w:pPr>
        <w:pStyle w:val="Normal"/>
      </w:pPr>
      <w:r>
        <w:t xml:space="preserve">Prepared for Kota Buku. Proposed solution and responsibilities, subject to agreement. The examples illustrate the intended experience, not an already-deployed product or measured classroom results. Commercial terms will be presented separately.</w:t>
      </w:r>
    </w:p>
    <w:p>
      <w:pPr>
        <w:pStyle w:val="Heading2"/>
      </w:pPr>
      <w:r>
        <w:t xml:space="preserve">How to read this document</w:t>
      </w:r>
    </w:p>
    <w:p>
      <w:pPr>
        <w:pStyle w:val="Normal"/>
      </w:pPr>
      <w:r>
        <w:t xml:space="preserve">Start with chapters 1–6 to understand the experience for teachers, students and parents. Chapters 7–10 explain Kota Buku's opportunity, delivery and safeguards. Chapters 11–12 cover relevant experience, evaluation and the next commercial discussion. The feature index and glossary provide a quick reference.</w:t>
      </w:r>
    </w:p>
    <w:p>
      <w:pPr>
        <w:pStyle w:val="Heading1"/>
        <w:pageBreakBefore/>
      </w:pPr>
      <w:r>
        <w:t xml:space="preserve">1. A connected experience, built around teaching</w:t>
      </w:r>
    </w:p>
    <w:p>
      <w:pPr>
        <w:pStyle w:val="Normal"/>
      </w:pPr>
      <w:r>
        <w:t xml:space="preserve">A teacher's work does not end when a lesson is prepared. The lesson needs suitable exercises, the responses need checking, and what students struggled with should inform the next lesson. Parents also need an understandable account of progress.</w:t>
      </w:r>
    </w:p>
    <w:p>
      <w:pPr>
        <w:pStyle w:val="Normal"/>
      </w:pPr>
      <w:r>
        <w:t xml:space="preserve">We propose a Kota Buku classroom application that connects those tasks. Teachers would use an iPad workspace to prepare, teach, review learning evidence and choose follow-up support. A separate, lightweight web experience would give parents and age-appropriate students access to suitable information on their own devices.</w:t>
      </w:r>
    </w:p>
    <w:p>
      <w:pPr>
        <w:pStyle w:val="Normal"/>
      </w:pPr>
      <w:r>
        <w:t xml:space="preserve">The aim is both practical and ambitious: give teachers more room for personal attention, not just faster content generation. The proposed teaching assistant would help them </w:t>
      </w:r>
      <w:r>
        <w:rPr>
          <w:b/>
        </w:rPr>
        <w:t xml:space="preserve">understand each student and the class → choose suitable support → follow up on progress</w:t>
      </w:r>
      <w:r>
        <w:t xml:space="preserve">. Recorded evidence and explainable rules provide the foundation; richer AI assistance would build on it in the stages described in chapter 5. Drafting exercises is one way to support a teaching decision, not the whole purpose. The teacher provides the personal touch and retains formal assessment judgement.</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Person</w:t>
            </w:r>
          </w:p>
        </w:tc>
        <w:tc>
          <w:tcPr>
            <w:tcW w:w="6500" w:type="dxa"/>
            <w:shd w:fill="EDF3EE"/>
          </w:tcPr>
          <w:p>
            <w:pPr>
              <w:pStyle w:val="TableText"/>
            </w:pPr>
            <w:r>
              <w:rPr>
                <w:b/>
              </w:rPr>
              <w:t xml:space="preserve">What the proposed experience makes possible</w:t>
            </w:r>
          </w:p>
        </w:tc>
      </w:tr>
      <w:tr>
        <w:trPr>
          <w:cantSplit/>
        </w:trPr>
        <w:tc>
          <w:tcPr>
            <w:tcW w:w="2700" w:type="dxa"/>
          </w:tcPr>
          <w:p>
            <w:pPr>
              <w:pStyle w:val="TableText"/>
            </w:pPr>
            <w:r>
              <w:t xml:space="preserve">Teacher</w:t>
            </w:r>
          </w:p>
        </w:tc>
        <w:tc>
          <w:tcPr>
            <w:tcW w:w="6500" w:type="dxa"/>
          </w:tcPr>
          <w:p>
            <w:pPr>
              <w:pStyle w:val="TableText"/>
            </w:pPr>
            <w:r>
              <w:t xml:space="preserve">Reuse lesson structures, prepare suitable practice, check structured answers and decide what to teach next from connected records.</w:t>
            </w:r>
          </w:p>
        </w:tc>
      </w:tr>
      <w:tr>
        <w:trPr>
          <w:cantSplit/>
        </w:trPr>
        <w:tc>
          <w:tcPr>
            <w:tcW w:w="2700" w:type="dxa"/>
          </w:tcPr>
          <w:p>
            <w:pPr>
              <w:pStyle w:val="TableText"/>
            </w:pPr>
            <w:r>
              <w:t xml:space="preserve">Student</w:t>
            </w:r>
          </w:p>
        </w:tc>
        <w:tc>
          <w:tcPr>
            <w:tcW w:w="6500" w:type="dxa"/>
          </w:tcPr>
          <w:p>
            <w:pPr>
              <w:pStyle w:val="TableText"/>
            </w:pPr>
            <w:r>
              <w:t xml:space="preserve">Receive clearer classroom support and suitable practice, including through paper-based activities without a personal device.</w:t>
            </w:r>
          </w:p>
        </w:tc>
      </w:tr>
      <w:tr>
        <w:trPr>
          <w:cantSplit/>
        </w:trPr>
        <w:tc>
          <w:tcPr>
            <w:tcW w:w="2700" w:type="dxa"/>
          </w:tcPr>
          <w:p>
            <w:pPr>
              <w:pStyle w:val="TableText"/>
            </w:pPr>
            <w:r>
              <w:t xml:space="preserve">Parent</w:t>
            </w:r>
          </w:p>
        </w:tc>
        <w:tc>
          <w:tcPr>
            <w:tcW w:w="6500" w:type="dxa"/>
          </w:tcPr>
          <w:p>
            <w:pPr>
              <w:pStyle w:val="TableText"/>
            </w:pPr>
            <w:r>
              <w:t xml:space="preserve">Receive a teacher-approved explanation of progress and a manageable way to support learning at home.</w:t>
            </w:r>
          </w:p>
        </w:tc>
      </w:tr>
      <w:tr>
        <w:trPr>
          <w:cantSplit/>
        </w:trPr>
        <w:tc>
          <w:tcPr>
            <w:tcW w:w="2700" w:type="dxa"/>
          </w:tcPr>
          <w:p>
            <w:pPr>
              <w:pStyle w:val="TableText"/>
            </w:pPr>
            <w:r>
              <w:t xml:space="preserve">Kota Buku</w:t>
            </w:r>
          </w:p>
        </w:tc>
        <w:tc>
          <w:tcPr>
            <w:tcW w:w="6500" w:type="dxa"/>
          </w:tcPr>
          <w:p>
            <w:pPr>
              <w:pStyle w:val="TableText"/>
            </w:pPr>
            <w:r>
              <w:t xml:space="preserve">Bring content, programme coordination and classroom use into a coherent proposed offer with Sifututor's product and technology delivery.</w:t>
            </w:r>
          </w:p>
        </w:tc>
      </w:tr>
    </w:tbl>
    <w:p/>
    <w:p>
      <w:pPr>
        <w:pStyle w:val="Normal"/>
      </w:pPr>
      <w:r>
        <w:t xml:space="preserve">This is a substantial six-part experience, not a collection of isolated AI prompts. It connects student learning records, classroom activities, content preparation, teaching support, everyday efficiency and family access. Chapter 8 distinguishes the proposed launch scope from subsequent expansion.</w:t>
      </w:r>
    </w:p>
    <w:p>
      <w:pPr>
        <w:pStyle w:val="Heading1"/>
        <w:pageBreakBefore/>
      </w:pPr>
      <w:r>
        <w:t xml:space="preserve">2. What would change in the teacher's day?</w:t>
      </w:r>
    </w:p>
    <w:p>
      <w:pPr>
        <w:pStyle w:val="Normal"/>
      </w:pPr>
      <w:r>
        <w:t xml:space="preserve">The useful question is not simply “Can AI write this?” It is “Which parts of this job can become easier, while preserving the teacher's judgement?”</w:t>
      </w:r>
    </w:p>
    <w:p>
      <w:pPr>
        <w:pStyle w:val="Normal"/>
      </w:pPr>
      <w:r>
        <w:t xml:space="preserve">The following is an illustrative workflow, not a finding that every school works in the same way or a measured time-saving claim.</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Task</w:t>
            </w:r>
          </w:p>
        </w:tc>
        <w:tc>
          <w:tcPr>
            <w:tcW w:w="3500" w:type="dxa"/>
            <w:shd w:fill="EDF3EE"/>
          </w:tcPr>
          <w:p>
            <w:pPr>
              <w:pStyle w:val="TableText"/>
            </w:pPr>
            <w:r>
              <w:rPr>
                <w:b/>
              </w:rPr>
              <w:t xml:space="preserve">Proposed improvement</w:t>
            </w:r>
          </w:p>
        </w:tc>
        <w:tc>
          <w:tcPr>
            <w:tcW w:w="3550" w:type="dxa"/>
            <w:shd w:fill="EDF3EE"/>
          </w:tcPr>
          <w:p>
            <w:pPr>
              <w:pStyle w:val="TableText"/>
            </w:pPr>
            <w:r>
              <w:rPr>
                <w:b/>
              </w:rPr>
              <w:t xml:space="preserve">What the teacher still does</w:t>
            </w:r>
          </w:p>
        </w:tc>
      </w:tr>
      <w:tr>
        <w:trPr>
          <w:cantSplit/>
        </w:trPr>
        <w:tc>
          <w:tcPr>
            <w:tcW w:w="2150" w:type="dxa"/>
          </w:tcPr>
          <w:p>
            <w:pPr>
              <w:pStyle w:val="TableText"/>
            </w:pPr>
            <w:r>
              <w:t xml:space="preserve">Prepare a lesson</w:t>
            </w:r>
          </w:p>
        </w:tc>
        <w:tc>
          <w:tcPr>
            <w:tcW w:w="3500" w:type="dxa"/>
          </w:tcPr>
          <w:p>
            <w:pPr>
              <w:pStyle w:val="TableText"/>
            </w:pPr>
            <w:r>
              <w:t xml:space="preserve">Start with a reusable lesson structure and selected curriculum objective.</w:t>
            </w:r>
          </w:p>
        </w:tc>
        <w:tc>
          <w:tcPr>
            <w:tcW w:w="3550" w:type="dxa"/>
          </w:tcPr>
          <w:p>
            <w:pPr>
              <w:pStyle w:val="TableText"/>
            </w:pPr>
            <w:r>
              <w:t xml:space="preserve">Set the purpose, sequence and suitability of the lesson.</w:t>
            </w:r>
          </w:p>
        </w:tc>
      </w:tr>
      <w:tr>
        <w:trPr>
          <w:cantSplit/>
        </w:trPr>
        <w:tc>
          <w:tcPr>
            <w:tcW w:w="2150" w:type="dxa"/>
          </w:tcPr>
          <w:p>
            <w:pPr>
              <w:pStyle w:val="TableText"/>
            </w:pPr>
            <w:r>
              <w:t xml:space="preserve">Prepare different practice</w:t>
            </w:r>
          </w:p>
        </w:tc>
        <w:tc>
          <w:tcPr>
            <w:tcW w:w="3500" w:type="dxa"/>
          </w:tcPr>
          <w:p>
            <w:pPr>
              <w:pStyle w:val="TableText"/>
            </w:pPr>
            <w:r>
              <w:t xml:space="preserve">Ask for draft questions or a simpler explanation tied to the objective.</w:t>
            </w:r>
          </w:p>
        </w:tc>
        <w:tc>
          <w:tcPr>
            <w:tcW w:w="3550" w:type="dxa"/>
          </w:tcPr>
          <w:p>
            <w:pPr>
              <w:pStyle w:val="TableText"/>
            </w:pPr>
            <w:r>
              <w:t xml:space="preserve">Check correctness, language and difficulty before use.</w:t>
            </w:r>
          </w:p>
        </w:tc>
      </w:tr>
      <w:tr>
        <w:trPr>
          <w:cantSplit/>
        </w:trPr>
        <w:tc>
          <w:tcPr>
            <w:tcW w:w="2150" w:type="dxa"/>
          </w:tcPr>
          <w:p>
            <w:pPr>
              <w:pStyle w:val="TableText"/>
            </w:pPr>
            <w:r>
              <w:t xml:space="preserve">Review structured answers</w:t>
            </w:r>
          </w:p>
        </w:tc>
        <w:tc>
          <w:tcPr>
            <w:tcW w:w="3500" w:type="dxa"/>
          </w:tcPr>
          <w:p>
            <w:pPr>
              <w:pStyle w:val="TableText"/>
            </w:pPr>
            <w:r>
              <w:t xml:space="preserve">Capture supported multiple-choice answer sheets and check answers against a key.</w:t>
            </w:r>
          </w:p>
        </w:tc>
        <w:tc>
          <w:tcPr>
            <w:tcW w:w="3550" w:type="dxa"/>
          </w:tcPr>
          <w:p>
            <w:pPr>
              <w:pStyle w:val="TableText"/>
            </w:pPr>
            <w:r>
              <w:t xml:space="preserve">Resolve unclear captures and interpret what the answers mean.</w:t>
            </w:r>
          </w:p>
        </w:tc>
      </w:tr>
      <w:tr>
        <w:trPr>
          <w:cantSplit/>
        </w:trPr>
        <w:tc>
          <w:tcPr>
            <w:tcW w:w="2150" w:type="dxa"/>
          </w:tcPr>
          <w:p>
            <w:pPr>
              <w:pStyle w:val="TableText"/>
            </w:pPr>
            <w:r>
              <w:t xml:space="preserve">Plan follow-up</w:t>
            </w:r>
          </w:p>
        </w:tc>
        <w:tc>
          <w:tcPr>
            <w:tcW w:w="3500" w:type="dxa"/>
          </w:tcPr>
          <w:p>
            <w:pPr>
              <w:pStyle w:val="TableText"/>
            </w:pPr>
            <w:r>
              <w:t xml:space="preserve">Review a student's recorded strengths and difficulties with a traceable suggestion.</w:t>
            </w:r>
          </w:p>
        </w:tc>
        <w:tc>
          <w:tcPr>
            <w:tcW w:w="3550" w:type="dxa"/>
          </w:tcPr>
          <w:p>
            <w:pPr>
              <w:pStyle w:val="TableText"/>
            </w:pPr>
            <w:r>
              <w:t xml:space="preserve">Decide whether to reteach, change the exercise or gather more evidence.</w:t>
            </w:r>
          </w:p>
        </w:tc>
      </w:tr>
      <w:tr>
        <w:trPr>
          <w:cantSplit/>
        </w:trPr>
        <w:tc>
          <w:tcPr>
            <w:tcW w:w="2150" w:type="dxa"/>
          </w:tcPr>
          <w:p>
            <w:pPr>
              <w:pStyle w:val="TableText"/>
            </w:pPr>
            <w:r>
              <w:t xml:space="preserve">Update parents</w:t>
            </w:r>
          </w:p>
        </w:tc>
        <w:tc>
          <w:tcPr>
            <w:tcW w:w="3500" w:type="dxa"/>
          </w:tcPr>
          <w:p>
            <w:pPr>
              <w:pStyle w:val="TableText"/>
            </w:pPr>
            <w:r>
              <w:t xml:space="preserve">Adapt a communication template and share a curated progress summary.</w:t>
            </w:r>
          </w:p>
        </w:tc>
        <w:tc>
          <w:tcPr>
            <w:tcW w:w="3550" w:type="dxa"/>
          </w:tcPr>
          <w:p>
            <w:pPr>
              <w:pStyle w:val="TableText"/>
            </w:pPr>
            <w:r>
              <w:t xml:space="preserve">Decide what is appropriate to share and approve it.</w:t>
            </w:r>
          </w:p>
        </w:tc>
      </w:tr>
    </w:tbl>
    <w:p/>
    <w:p>
      <w:pPr>
        <w:pStyle w:val="Normal"/>
      </w:pPr>
      <w:r>
        <w:t xml:space="preserve">The intended reduction is in repeated drafting, manual collation and preparing similar information in several places. It is not a promise to remove every administrative task. The first phase would operate independently of Ministry of Education systems. Generic exports can support review and record handling, but required official entry may still need to be completed separately.</w:t>
      </w:r>
    </w:p>
    <w:p>
      <w:pPr>
        <w:pStyle w:val="Normal"/>
      </w:pPr>
      <w:r>
        <w:t xml:space="preserve">We would measure the whole task, including AI corrections, capture checks and remaining duplicate entry. A faster draft is only useful if the final material is suitable and the overall workflow actually helps the teacher.</w:t>
      </w:r>
    </w:p>
    <w:p>
      <w:pPr>
        <w:pStyle w:val="Heading1"/>
        <w:pageBreakBefore/>
      </w:pPr>
      <w:r>
        <w:t xml:space="preserve">3. Prepare a lesson and suitable exercises</w:t>
      </w:r>
    </w:p>
    <w:p>
      <w:pPr>
        <w:pStyle w:val="Normal"/>
      </w:pPr>
      <w:r>
        <w:t xml:space="preserve">Consider Cikgu Farah preparing a fractions lesson for 4 Bestari. All names and records in this example are fictional. It illustrates the interaction, not a certified curriculum mapping, an official lesson-plan template or an operating app screenshot.</w:t>
      </w:r>
    </w:p>
    <w:p>
      <w:pPr>
        <w:pStyle w:val="Heading2"/>
      </w:pPr>
      <w:r>
        <w:t xml:space="preserve">Start with what students should understand</w:t>
      </w:r>
    </w:p>
    <w:p>
      <w:pPr>
        <w:pStyle w:val="Normal"/>
      </w:pPr>
      <w:r>
        <w:t xml:space="preserve">The teacher selects the subject, year and relevant learning objective. The application would organise curriculum choices using the applicable </w:t>
      </w:r>
      <w:r>
        <w:rPr>
          <w:b/>
        </w:rPr>
        <w:t xml:space="preserve">DSKP</w:t>
      </w:r>
      <w:r>
        <w:t xml:space="preserve">, the Malaysian curriculum and assessment standards documents. The teacher can then complete a structured </w:t>
      </w:r>
      <w:r>
        <w:rPr>
          <w:b/>
        </w:rPr>
        <w:t xml:space="preserve">RPH</w:t>
      </w:r>
      <w:r>
        <w:t xml:space="preserve">, or daily lesson plan, rather than recreate the layout each time.</w:t>
      </w:r>
    </w:p>
    <w:p>
      <w:pPr>
        <w:pStyle w:val="Quote"/>
      </w:pPr>
      <w:r>
        <w:rPr>
          <w:b/>
        </w:rPr>
        <w:t xml:space="preserve">Concept illustration · proposed general launch</w:t>
      </w:r>
    </w:p>
    <w:p>
      <w:pPr>
        <w:pStyle w:val="Quote"/>
      </w:pPr>
      <w:r>
        <w:t xml:space="preserve">Lesson focus: comparing simple fractions using equal-sized wholes.</w:t>
      </w:r>
    </w:p>
    <w:p>
      <w:pPr>
        <w:pStyle w:val="Quote"/>
      </w:pPr>
      <w:r>
        <w:t xml:space="preserve">Opening: ask students to compare two pictures with the same whole divided differently.</w:t>
      </w:r>
    </w:p>
    <w:p>
      <w:pPr>
        <w:pStyle w:val="Quote"/>
      </w:pPr>
      <w:r>
        <w:t xml:space="preserve">Practice request: draft a short multiple-choice exercise and a more supported version using pictures.</w:t>
      </w:r>
    </w:p>
    <w:p>
      <w:pPr>
        <w:pStyle w:val="Quote"/>
      </w:pPr>
      <w:r>
        <w:t xml:space="preserve">Teacher check: confirm the pictures, answer key, wording and suitability before printing.</w:t>
      </w:r>
    </w:p>
    <w:p>
      <w:pPr>
        <w:pStyle w:val="Normal"/>
      </w:pPr>
      <w:r>
        <w:t xml:space="preserve">The proposed workflow is: </w:t>
      </w:r>
      <w:r>
        <w:rPr>
          <w:b/>
        </w:rPr>
        <w:t xml:space="preserve">choose an objective → use a template → request practice → check and adapt → teach</w:t>
      </w:r>
      <w:r>
        <w:t xml:space="preserve">. A shared lesson-plan library would let teachers reuse suitable structures and improve them over time.</w:t>
      </w:r>
    </w:p>
    <w:p>
      <w:pPr>
        <w:pStyle w:val="Heading2"/>
      </w:pPr>
      <w:r>
        <w:t xml:space="preserve">Give the teacher a useful draft, not a final answer</w:t>
      </w:r>
    </w:p>
    <w:p>
      <w:pPr>
        <w:pStyle w:val="Normal"/>
      </w:pPr>
      <w:r>
        <w:t xml:space="preserve">AI-generated practice and reading-level adaptation are part of the proposed general-launch experience. The teacher checks that an item has a valid answer, that its explanation is correct and that the wording suits the class. Unsuitable material can be edited, rejected or replaced with an existing teacher-approved resource.</w:t>
      </w:r>
    </w:p>
    <w:p>
      <w:pPr>
        <w:pStyle w:val="Normal"/>
      </w:pPr>
      <w:r>
        <w:t xml:space="preserve">Full AI-drafted lesson plans would also be built for the same launch, but initially exposed through a </w:t>
      </w:r>
      <w:r>
        <w:rPr>
          <w:b/>
        </w:rPr>
        <w:t xml:space="preserve">guided beta for selected teachers</w:t>
      </w:r>
      <w:r>
        <w:t xml:space="preserve">. This means supervised early use with quality feedback before broader availability. It is not a separate later build, nor a promise that every teacher receives full-plan generation immediately.</w:t>
      </w:r>
    </w:p>
    <w:p>
      <w:pPr>
        <w:pStyle w:val="Normal"/>
      </w:pPr>
      <w:r>
        <w:t xml:space="preserve">The initial grounding approach uses public curriculum documents rather than depending on Kota Buku textbook ingestion. Exact source-use terms still need verification. Textbook-based drafting would follow only where rights and usable access are established. Teacher validation of generated materials is required before launch.</w:t>
      </w:r>
    </w:p>
    <w:p>
      <w:pPr>
        <w:pStyle w:val="Heading1"/>
        <w:pageBreakBefore/>
      </w:pPr>
      <w:r>
        <w:t xml:space="preserve">4. Teach, collect responses and check understanding</w:t>
      </w:r>
    </w:p>
    <w:p>
      <w:pPr>
        <w:pStyle w:val="Normal"/>
      </w:pPr>
      <w:r>
        <w:t xml:space="preserve">The iPad would support the lesson, not require every student to own a device. A teacher could present an activity using available classroom display equipment, use printed practice, or allow eligible students to respond on their own devices where access and connectivity permit.</w:t>
      </w:r>
    </w:p>
    <w:p>
      <w:pPr>
        <w:pStyle w:val="Normal"/>
      </w:pPr>
      <w:r>
        <w:t xml:space="preserve">These routes produce different kinds of evidence: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Classroom route</w:t>
            </w:r>
          </w:p>
        </w:tc>
        <w:tc>
          <w:tcPr>
            <w:tcW w:w="3500" w:type="dxa"/>
            <w:shd w:fill="EDF3EE"/>
          </w:tcPr>
          <w:p>
            <w:pPr>
              <w:pStyle w:val="TableText"/>
            </w:pPr>
            <w:r>
              <w:rPr>
                <w:b/>
              </w:rPr>
              <w:t xml:space="preserve">What it can support</w:t>
            </w:r>
          </w:p>
        </w:tc>
        <w:tc>
          <w:tcPr>
            <w:tcW w:w="3550" w:type="dxa"/>
            <w:shd w:fill="EDF3EE"/>
          </w:tcPr>
          <w:p>
            <w:pPr>
              <w:pStyle w:val="TableText"/>
            </w:pPr>
            <w:r>
              <w:rPr>
                <w:b/>
              </w:rPr>
              <w:t xml:space="preserve">Important boundary</w:t>
            </w:r>
          </w:p>
        </w:tc>
      </w:tr>
      <w:tr>
        <w:trPr>
          <w:cantSplit/>
        </w:trPr>
        <w:tc>
          <w:tcPr>
            <w:tcW w:w="2150" w:type="dxa"/>
          </w:tcPr>
          <w:p>
            <w:pPr>
              <w:pStyle w:val="TableText"/>
            </w:pPr>
            <w:r>
              <w:t xml:space="preserve">Teacher-led discussion or projected question</w:t>
            </w:r>
          </w:p>
        </w:tc>
        <w:tc>
          <w:tcPr>
            <w:tcW w:w="3500" w:type="dxa"/>
          </w:tcPr>
          <w:p>
            <w:pPr>
              <w:pStyle w:val="TableText"/>
            </w:pPr>
            <w:r>
              <w:t xml:space="preserve">Shared explanation and discussion.</w:t>
            </w:r>
          </w:p>
        </w:tc>
        <w:tc>
          <w:tcPr>
            <w:tcW w:w="3550" w:type="dxa"/>
          </w:tcPr>
          <w:p>
            <w:pPr>
              <w:pStyle w:val="TableText"/>
            </w:pPr>
            <w:r>
              <w:t xml:space="preserve">Participation alone does not create an identified answer record for every student.</w:t>
            </w:r>
          </w:p>
        </w:tc>
      </w:tr>
      <w:tr>
        <w:trPr>
          <w:cantSplit/>
        </w:trPr>
        <w:tc>
          <w:tcPr>
            <w:tcW w:w="2150" w:type="dxa"/>
          </w:tcPr>
          <w:p>
            <w:pPr>
              <w:pStyle w:val="TableText"/>
            </w:pPr>
            <w:r>
              <w:t xml:space="preserve">Supported bubble/tick multiple-choice sheet</w:t>
            </w:r>
          </w:p>
        </w:tc>
        <w:tc>
          <w:tcPr>
            <w:tcW w:w="3500" w:type="dxa"/>
          </w:tcPr>
          <w:p>
            <w:pPr>
              <w:pStyle w:val="TableText"/>
            </w:pPr>
            <w:r>
              <w:t xml:space="preserve">Capture a structured response and check it against the answer key.</w:t>
            </w:r>
          </w:p>
        </w:tc>
        <w:tc>
          <w:tcPr>
            <w:tcW w:w="3550" w:type="dxa"/>
          </w:tcPr>
          <w:p>
            <w:pPr>
              <w:pStyle w:val="TableText"/>
            </w:pPr>
            <w:r>
              <w:t xml:space="preserve">The teacher must resolve uncertain marks and confirm the student-to-sheet match.</w:t>
            </w:r>
          </w:p>
        </w:tc>
      </w:tr>
      <w:tr>
        <w:trPr>
          <w:cantSplit/>
        </w:trPr>
        <w:tc>
          <w:tcPr>
            <w:tcW w:w="2150" w:type="dxa"/>
          </w:tcPr>
          <w:p>
            <w:pPr>
              <w:pStyle w:val="TableText"/>
            </w:pPr>
            <w:r>
              <w:t xml:space="preserve">In-app quiz using available student devices</w:t>
            </w:r>
          </w:p>
        </w:tc>
        <w:tc>
          <w:tcPr>
            <w:tcW w:w="3500" w:type="dxa"/>
          </w:tcPr>
          <w:p>
            <w:pPr>
              <w:pStyle w:val="TableText"/>
            </w:pPr>
            <w:r>
              <w:t xml:space="preserve">Attributable responses where the student is appropriately identified.</w:t>
            </w:r>
          </w:p>
        </w:tc>
        <w:tc>
          <w:tcPr>
            <w:tcW w:w="3550" w:type="dxa"/>
          </w:tcPr>
          <w:p>
            <w:pPr>
              <w:pStyle w:val="TableText"/>
            </w:pPr>
            <w:r>
              <w:t xml:space="preserve">Requires suitable access, devices and connectivity; these are not supplied to students through this proposal.</w:t>
            </w:r>
          </w:p>
        </w:tc>
      </w:tr>
    </w:tbl>
    <w:p/>
    <w:p>
      <w:pPr>
        <w:pStyle w:val="Normal"/>
      </w:pPr>
      <w:r>
        <w:t xml:space="preserve">For the paper route, the intended sequence is </w:t>
      </w:r>
      <w:r>
        <w:rPr>
          <w:b/>
        </w:rPr>
        <w:t xml:space="preserve">capture → review unclear marks → confirm identity → check answers → save learning evidence</w:t>
      </w:r>
      <w:r>
        <w:t xml:space="preserve">. This is structured marking, not an AI judgement about a child's ability.</w:t>
      </w:r>
    </w:p>
    <w:p>
      <w:pPr>
        <w:pStyle w:val="Normal"/>
      </w:pPr>
      <w:r>
        <w:t xml:space="preserve">Handwritten words, free-form calculations and essays are a different problem. Handwriting capture requires a validated recognition workflow and is not a general-launch promise. Later essay assistance would remain teacher-reviewed, never an automatic final grade.</w:t>
      </w:r>
    </w:p>
    <w:p>
      <w:pPr>
        <w:pStyle w:val="Normal"/>
      </w:pPr>
      <w:r>
        <w:t xml:space="preserve">Downloaded resources, a local register and supported local marking are intended to remain usable with limited connectivity. New cloud-generated content, networked responses and synchronisation require a connection. The teacher needs clear saved/pending status so work is not mistaken for a successfully shared record.</w:t>
      </w:r>
    </w:p>
    <w:p>
      <w:pPr>
        <w:pStyle w:val="Heading1"/>
        <w:pageBreakBefore/>
      </w:pPr>
      <w:r>
        <w:t xml:space="preserve">5. Turn learning evidence into a next teaching step</w:t>
      </w:r>
    </w:p>
    <w:p>
      <w:pPr>
        <w:pStyle w:val="Normal"/>
      </w:pPr>
      <w:r>
        <w:t xml:space="preserve">A score by itself does not tell the teacher what to do next. The proposed teaching assistant would help the teacher evaluate recorded learning evidence, understand what needs attention and decide how to respond. It supports the teacher's understanding of a child; it does not claim to know the whole child from a score.</w:t>
      </w:r>
    </w:p>
    <w:p>
      <w:pPr>
        <w:pStyle w:val="Quote"/>
      </w:pPr>
      <w:r>
        <w:rPr>
          <w:b/>
        </w:rPr>
        <w:t xml:space="preserve">Concept illustration · proposed general launch</w:t>
      </w:r>
    </w:p>
    <w:p>
      <w:pPr>
        <w:pStyle w:val="Quote"/>
      </w:pPr>
      <w:r>
        <w:t xml:space="preserve">Observed in this fictional exercise: Aiman Hakim can identify equal parts but struggles when comparing two fractions.</w:t>
      </w:r>
    </w:p>
    <w:p>
      <w:pPr>
        <w:pStyle w:val="Quote"/>
      </w:pPr>
      <w:r>
        <w:t xml:space="preserve">Suggested next step: revisit equal-sized wholes with a picture-based task.</w:t>
      </w:r>
    </w:p>
    <w:p>
      <w:pPr>
        <w:pStyle w:val="Quote"/>
      </w:pPr>
      <w:r>
        <w:t xml:space="preserve">Teacher decision: use the suggestion, adapt it, or check understanding through a short conversation first.</w:t>
      </w:r>
    </w:p>
    <w:p>
      <w:pPr>
        <w:pStyle w:val="Normal"/>
      </w:pPr>
      <w:r>
        <w:t xml:space="preserve">At general launch, these suggestions would be based on explainable rules and recorded evidence. They are not a diagnosis or proof of mastery. A wrong answer may reflect wording, an unclear scan, distraction or a missing concept; the teacher interprets it in context.</w:t>
      </w:r>
    </w:p>
    <w:p>
      <w:pPr>
        <w:pStyle w:val="Normal"/>
      </w:pPr>
      <w:r>
        <w:t xml:space="preserve">The intended loop is </w:t>
      </w:r>
      <w:r>
        <w:rPr>
          <w:b/>
        </w:rPr>
        <w:t xml:space="preserve">understand → support → follow up</w:t>
      </w:r>
      <w:r>
        <w:t xml:space="preserve">, grounded in recorded evidence and teacher judgement. For an individual student, the teacher could review a difficulty, try a different explanation or a short personal conversation, then check another response. A generated exercise would serve that chosen action. New evidence helps the teacher review progress; it does not by itself prove what caused a change.</w:t>
      </w:r>
    </w:p>
    <w:p>
      <w:pPr>
        <w:pStyle w:val="Normal"/>
      </w:pPr>
      <w:r>
        <w:t xml:space="preserve">Formal </w:t>
      </w:r>
      <w:r>
        <w:rPr>
          <w:b/>
        </w:rPr>
        <w:t xml:space="preserve">Tahap Penguasaan</w:t>
      </w:r>
      <w:r>
        <w:t xml:space="preserve">, or mastery-level judgements, remain the teacher's responsibility. Attendance alone must not be treated as evidence of learning mastery.</w:t>
      </w:r>
    </w:p>
    <w:p>
      <w:pPr>
        <w:pStyle w:val="Normal"/>
      </w:pPr>
      <w:r>
        <w:t xml:space="preserve">For groups and the whole class, the proposed general-launch class view would surface shared difficulties through explainable rules. For example, a teacher might choose a small-group explanation when several students struggle with the same concept, or revisit it with the class. These are illustrative teacher choices, not automatic grouping or fixed ability labels. Class views, rule-based flags and suggestions are planned for all teachers at launch. Plain-language AI analysis, teacher assistant conversations and AI-written administrative drafts enter a guided trial with selected teachers at that same launch. Automatic history-based individualised material at scale remains Fast-follow. All require reliable records and validation; teachers choose the response.</w:t>
      </w:r>
    </w:p>
    <w:p>
      <w:pPr>
        <w:pStyle w:val="Heading1"/>
        <w:pageBreakBefore/>
      </w:pPr>
      <w:r>
        <w:t xml:space="preserve">6. Make progress understandable for students and parents</w:t>
      </w:r>
    </w:p>
    <w:p>
      <w:pPr>
        <w:pStyle w:val="Normal"/>
      </w:pPr>
      <w:r>
        <w:t xml:space="preserve">Family access should help learning, not become continuous surveillance. The proposed family surface would show selected information about the parent's own child, including curated progress, attendance and announcements. Summaries would be periodic and teacher-approved rather than a live stream of every mistake.</w:t>
      </w:r>
    </w:p>
    <w:p>
      <w:pPr>
        <w:pStyle w:val="Quote"/>
      </w:pPr>
      <w:r>
        <w:rPr>
          <w:b/>
        </w:rPr>
        <w:t xml:space="preserve">Concept illustration · proposed general launch</w:t>
      </w:r>
    </w:p>
    <w:p>
      <w:pPr>
        <w:pStyle w:val="Quote"/>
      </w:pPr>
      <w:r>
        <w:rPr>
          <w:b/>
        </w:rPr>
        <w:t xml:space="preserve">What we practised:</w:t>
      </w:r>
      <w:r>
        <w:t xml:space="preserve"> comparing fractions with pictures.</w:t>
      </w:r>
    </w:p>
    <w:p>
      <w:pPr>
        <w:pStyle w:val="Quote"/>
      </w:pPr>
      <w:r>
        <w:rPr>
          <w:b/>
        </w:rPr>
        <w:t xml:space="preserve">What is becoming clearer:</w:t>
      </w:r>
      <w:r>
        <w:t xml:space="preserve"> identifying equal parts of a whole.</w:t>
      </w:r>
    </w:p>
    <w:p>
      <w:pPr>
        <w:pStyle w:val="Quote"/>
      </w:pPr>
      <w:r>
        <w:rPr>
          <w:b/>
        </w:rPr>
        <w:t xml:space="preserve">What still needs practice:</w:t>
      </w:r>
      <w:r>
        <w:t xml:space="preserve"> comparing fractions when the pictures look different.</w:t>
      </w:r>
    </w:p>
    <w:p>
      <w:pPr>
        <w:pStyle w:val="Quote"/>
      </w:pPr>
      <w:r>
        <w:rPr>
          <w:b/>
        </w:rPr>
        <w:t xml:space="preserve">Try together:</w:t>
      </w:r>
      <w:r>
        <w:t xml:space="preserve"> draw two equal-sized rectangles, shade half of one and a quarter of the other, and ask your child to explain the difference.</w:t>
      </w:r>
    </w:p>
    <w:p>
      <w:pPr>
        <w:pStyle w:val="Quote"/>
      </w:pPr>
      <w:r>
        <w:t xml:space="preserve">Prepared for review by the teacher before sharing. Fictional example, not a real student record.</w:t>
      </w:r>
    </w:p>
    <w:p>
      <w:pPr>
        <w:pStyle w:val="Normal"/>
      </w:pPr>
      <w:r>
        <w:t xml:space="preserve">Younger students can benefit through classroom support and parent-guided activities without their own account. Age-appropriate student access is part of the proposed Core family experience; exact age bands and permissions still need to be settled. Older students should receive an appropriate view of their own learning, not unrestricted access to other records.</w:t>
      </w:r>
    </w:p>
    <w:p>
      <w:pPr>
        <w:pStyle w:val="Normal"/>
      </w:pPr>
      <w:r>
        <w:t xml:space="preserve">Parents and students would use their own suitable devices. No student device supply is included. The teacher's classroom and paper-based routes remain important where home access is limited.</w:t>
      </w:r>
    </w:p>
    <w:p>
      <w:pPr>
        <w:pStyle w:val="Normal"/>
      </w:pPr>
      <w:r>
        <w:t xml:space="preserve">Direct parent–teacher messaging is Fast-follow, not a launch claim. A full raw gradebook is not the starting family experience. The priority is a clear explanation of learning and a useful next action.</w:t>
      </w:r>
    </w:p>
    <w:p>
      <w:pPr>
        <w:pStyle w:val="Heading1"/>
        <w:pageBreakBefore/>
      </w:pPr>
      <w:r>
        <w:t xml:space="preserve">7. A meaningful opportunity for Kota Buku</w:t>
      </w:r>
    </w:p>
    <w:p>
      <w:pPr>
        <w:pStyle w:val="Normal"/>
      </w:pPr>
      <w:r>
        <w:t xml:space="preserve">Kota Buku's published remit includes digital infrastructure for book-related activity and access to books. We see an opportunity to connect that role more closely to everyday teaching: helping a teacher move from a learning objective or permitted content resource to an activity, suitable practice and an understandable follow-up. This is our proposed extension of that role, not a claim of an existing classroom-product mandate. </w:t>
      </w:r>
      <w:hyperlink r:id="rId3">
        <w:r>
          <w:rPr>
            <w:color w:val="216854"/>
            <w:u w:val="single"/>
          </w:rPr>
          <w:t xml:space="preserve">Kota Buku's published remit</w:t>
        </w:r>
      </w:hyperlink>
      <w:r>
        <w:t xml:space="preserve">, checked 7 September 2026.</w:t>
      </w:r>
    </w:p>
    <w:p>
      <w:pPr>
        <w:pStyle w:val="Heading2"/>
      </w:pPr>
      <w:r>
        <w:t xml:space="preserve">Proposed partnership</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Kota Buku</w:t>
            </w:r>
          </w:p>
        </w:tc>
        <w:tc>
          <w:tcPr>
            <w:tcW w:w="6500" w:type="dxa"/>
            <w:shd w:fill="EDF3EE"/>
          </w:tcPr>
          <w:p>
            <w:pPr>
              <w:pStyle w:val="TableText"/>
            </w:pPr>
            <w:r>
              <w:rPr>
                <w:b/>
              </w:rPr>
              <w:t xml:space="preserve">Sifututor, powered by Learnest Lab</w:t>
            </w:r>
          </w:p>
        </w:tc>
      </w:tr>
      <w:tr>
        <w:trPr>
          <w:cantSplit/>
        </w:trPr>
        <w:tc>
          <w:tcPr>
            <w:tcW w:w="2700" w:type="dxa"/>
          </w:tcPr>
          <w:p>
            <w:pPr>
              <w:pStyle w:val="TableText"/>
            </w:pPr>
            <w:r>
              <w:t xml:space="preserve">Programme engagement and outward-facing delivery coordination.</w:t>
            </w:r>
          </w:p>
        </w:tc>
        <w:tc>
          <w:tcPr>
            <w:tcW w:w="6500" w:type="dxa"/>
          </w:tcPr>
          <w:p>
            <w:pPr>
              <w:pStyle w:val="TableText"/>
            </w:pPr>
            <w:r>
              <w:t xml:space="preserve">Product direction, design, development and platform operation.</w:t>
            </w:r>
          </w:p>
        </w:tc>
      </w:tr>
      <w:tr>
        <w:trPr>
          <w:cantSplit/>
        </w:trPr>
        <w:tc>
          <w:tcPr>
            <w:tcW w:w="2700" w:type="dxa"/>
          </w:tcPr>
          <w:p>
            <w:pPr>
              <w:pStyle w:val="TableText"/>
            </w:pPr>
            <w:r>
              <w:t xml:space="preserve">Coordination with participating schools and relevant programme stakeholders.</w:t>
            </w:r>
          </w:p>
        </w:tc>
        <w:tc>
          <w:tcPr>
            <w:tcW w:w="6500" w:type="dxa"/>
          </w:tcPr>
          <w:p>
            <w:pPr>
              <w:pStyle w:val="TableText"/>
            </w:pPr>
            <w:r>
              <w:t xml:space="preserve">A concrete teaching experience, technical delivery and product enablement.</w:t>
            </w:r>
          </w:p>
        </w:tc>
      </w:tr>
      <w:tr>
        <w:trPr>
          <w:cantSplit/>
        </w:trPr>
        <w:tc>
          <w:tcPr>
            <w:tcW w:w="2700" w:type="dxa"/>
          </w:tcPr>
          <w:p>
            <w:pPr>
              <w:pStyle w:val="TableText"/>
            </w:pPr>
            <w:r>
              <w:t xml:space="preserve">Coordination of relevant content access and rights discussions.</w:t>
            </w:r>
          </w:p>
        </w:tc>
        <w:tc>
          <w:tcPr>
            <w:tcW w:w="6500" w:type="dxa"/>
          </w:tcPr>
          <w:p>
            <w:pPr>
              <w:pStyle w:val="TableText"/>
            </w:pPr>
            <w:r>
              <w:t xml:space="preserve">Content use within confirmed permissions and validated workflows.</w:t>
            </w:r>
          </w:p>
        </w:tc>
      </w:tr>
    </w:tbl>
    <w:p/>
    <w:p>
      <w:pPr>
        <w:pStyle w:val="Normal"/>
      </w:pPr>
      <w:r>
        <w:t xml:space="preserve">We bring the product recommendation; Kota Buku does not need to design the software. The partnership would combine programme coordination with specialist product and technology delivery. These are proposed responsibilities subject to agreement, not an appointment or an implied joint venture.</w:t>
      </w:r>
    </w:p>
    <w:p>
      <w:pPr>
        <w:pStyle w:val="Heading2"/>
      </w:pPr>
      <w:r>
        <w:t xml:space="preserve">From reading material to teaching material</w:t>
      </w:r>
    </w:p>
    <w:p>
      <w:pPr>
        <w:pStyle w:val="Normal"/>
      </w:pPr>
      <w:r>
        <w:t xml:space="preserve">Where permitted, a later experience could let a teacher select a textbook chapter, prepare a discussion prompt and generate draft practice grounded in that content. The content's origin should remain understandable and the teacher would still check the result.</w:t>
      </w:r>
    </w:p>
    <w:p>
      <w:pPr>
        <w:pStyle w:val="Normal"/>
      </w:pPr>
      <w:r>
        <w:t xml:space="preserve">This depends on explicit rights and usable access for the intended processing, not merely the ability to open an e-book. The general-launch curriculum-led experience remains the starting route while those arrangements are resolved.</w:t>
      </w:r>
    </w:p>
    <w:p>
      <w:pPr>
        <w:pStyle w:val="Heading1"/>
        <w:pageBreakBefore/>
      </w:pPr>
      <w:r>
        <w:t xml:space="preserve">8. One complete vision, with a clear delivery journey</w:t>
      </w:r>
    </w:p>
    <w:p>
      <w:pPr>
        <w:pStyle w:val="Normal"/>
      </w:pPr>
      <w:r>
        <w:t xml:space="preserve">The product is proposed, not an already-deployed classroom application. The stages below explain intended availability; they do not assert completed development or fixed rollout dates.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Stage</w:t>
            </w:r>
          </w:p>
        </w:tc>
        <w:tc>
          <w:tcPr>
            <w:tcW w:w="3500" w:type="dxa"/>
            <w:shd w:fill="EDF3EE"/>
          </w:tcPr>
          <w:p>
            <w:pPr>
              <w:pStyle w:val="TableText"/>
            </w:pPr>
            <w:r>
              <w:rPr>
                <w:b/>
              </w:rPr>
              <w:t xml:space="preserve">Intended experience</w:t>
            </w:r>
          </w:p>
        </w:tc>
        <w:tc>
          <w:tcPr>
            <w:tcW w:w="3550" w:type="dxa"/>
            <w:shd w:fill="EDF3EE"/>
          </w:tcPr>
          <w:p>
            <w:pPr>
              <w:pStyle w:val="TableText"/>
            </w:pPr>
            <w:r>
              <w:rPr>
                <w:b/>
              </w:rPr>
              <w:t xml:space="preserve">Release condition</w:t>
            </w:r>
          </w:p>
        </w:tc>
      </w:tr>
      <w:tr>
        <w:trPr>
          <w:cantSplit/>
        </w:trPr>
        <w:tc>
          <w:tcPr>
            <w:tcW w:w="2150" w:type="dxa"/>
          </w:tcPr>
          <w:p>
            <w:pPr>
              <w:pStyle w:val="TableText"/>
            </w:pPr>
            <w:r>
              <w:t xml:space="preserve">General launch: Core</w:t>
            </w:r>
          </w:p>
        </w:tc>
        <w:tc>
          <w:tcPr>
            <w:tcW w:w="3500" w:type="dxa"/>
          </w:tcPr>
          <w:p>
            <w:pPr>
              <w:pStyle w:val="TableText"/>
            </w:pPr>
            <w:r>
              <w:t xml:space="preserve">Template-assisted lesson planning, AI practice, structured assessment, student summaries, class views with rule-based flags/suggestions, notice/reminder templates, classroom tools, shared resources and curated family access.</w:t>
            </w:r>
          </w:p>
        </w:tc>
        <w:tc>
          <w:tcPr>
            <w:tcW w:w="3550" w:type="dxa"/>
          </w:tcPr>
          <w:p>
            <w:pPr>
              <w:pStyle w:val="TableText"/>
            </w:pPr>
            <w:r>
              <w:t xml:space="preserve">Teaching quality, supported device workflows, safeguarding, accessibility and operational readiness validated.</w:t>
            </w:r>
          </w:p>
        </w:tc>
      </w:tr>
      <w:tr>
        <w:trPr>
          <w:cantSplit/>
        </w:trPr>
        <w:tc>
          <w:tcPr>
            <w:tcW w:w="2150" w:type="dxa"/>
          </w:tcPr>
          <w:p>
            <w:pPr>
              <w:pStyle w:val="TableText"/>
            </w:pPr>
            <w:r>
              <w:t xml:space="preserve">Guided beta at the same launch</w:t>
            </w:r>
          </w:p>
        </w:tc>
        <w:tc>
          <w:tcPr>
            <w:tcW w:w="3500" w:type="dxa"/>
          </w:tcPr>
          <w:p>
            <w:pPr>
              <w:pStyle w:val="TableText"/>
            </w:pPr>
            <w:r>
              <w:t xml:space="preserve">Full AI-drafted lesson plans, plain-language AI analysis, teacher assistant conversations and AI-written administrative drafts for selected teachers, through shared underlying services.</w:t>
            </w:r>
          </w:p>
        </w:tc>
        <w:tc>
          <w:tcPr>
            <w:tcW w:w="3550" w:type="dxa"/>
          </w:tcPr>
          <w:p>
            <w:pPr>
              <w:pStyle w:val="TableText"/>
            </w:pPr>
            <w:r>
              <w:t xml:space="preserve">Supervised use, documented quality review and feedback; broader access only after evaluation.</w:t>
            </w:r>
          </w:p>
        </w:tc>
      </w:tr>
      <w:tr>
        <w:trPr>
          <w:cantSplit/>
        </w:trPr>
        <w:tc>
          <w:tcPr>
            <w:tcW w:w="2150" w:type="dxa"/>
          </w:tcPr>
          <w:p>
            <w:pPr>
              <w:pStyle w:val="TableText"/>
            </w:pPr>
            <w:r>
              <w:t xml:space="preserve">Fast-follow</w:t>
            </w:r>
          </w:p>
        </w:tc>
        <w:tc>
          <w:tcPr>
            <w:tcW w:w="3500" w:type="dxa"/>
          </w:tcPr>
          <w:p>
            <w:pPr>
              <w:pStyle w:val="TableText"/>
            </w:pPr>
            <w:r>
              <w:t xml:space="preserve">Automatic history-based individualised material, direct messaging and dependency-bound content/capture features.</w:t>
            </w:r>
          </w:p>
        </w:tc>
        <w:tc>
          <w:tcPr>
            <w:tcW w:w="3550" w:type="dxa"/>
          </w:tcPr>
          <w:p>
            <w:pPr>
              <w:pStyle w:val="TableText"/>
            </w:pPr>
            <w:r>
              <w:t xml:space="preserve">Relevant product quality, data, rights, permissions and support readiness established.</w:t>
            </w:r>
          </w:p>
        </w:tc>
      </w:tr>
      <w:tr>
        <w:trPr>
          <w:cantSplit/>
        </w:trPr>
        <w:tc>
          <w:tcPr>
            <w:tcW w:w="2150" w:type="dxa"/>
          </w:tcPr>
          <w:p>
            <w:pPr>
              <w:pStyle w:val="TableText"/>
            </w:pPr>
            <w:r>
              <w:t xml:space="preserve">Later</w:t>
            </w:r>
          </w:p>
        </w:tc>
        <w:tc>
          <w:tcPr>
            <w:tcW w:w="3500" w:type="dxa"/>
          </w:tcPr>
          <w:p>
            <w:pPr>
              <w:pStyle w:val="TableText"/>
            </w:pPr>
            <w:r>
              <w:t xml:space="preserve">More advanced assistance, such as teacher-reviewed essay support and carefully governed early-warning tools.</w:t>
            </w:r>
          </w:p>
        </w:tc>
        <w:tc>
          <w:tcPr>
            <w:tcW w:w="3550" w:type="dxa"/>
          </w:tcPr>
          <w:p>
            <w:pPr>
              <w:pStyle w:val="TableText"/>
            </w:pPr>
            <w:r>
              <w:t xml:space="preserve">Separate validation of usefulness, safety and a real follow-up process.</w:t>
            </w:r>
          </w:p>
        </w:tc>
      </w:tr>
    </w:tbl>
    <w:p/>
    <w:p>
      <w:pPr>
        <w:pStyle w:val="Heading2"/>
      </w:pPr>
      <w:r>
        <w:t xml:space="preserve">What belongs in Core</w:t>
      </w:r>
    </w:p>
    <w:p>
      <w:pPr>
        <w:pStyle w:val="Normal"/>
      </w:pPr>
      <w:r>
        <w:t xml:space="preserve">All six pillars contribute to the proposed first release:</w:t>
      </w:r>
    </w:p>
    <w:p>
      <w:pPr>
        <w:pStyle w:val="Normal"/>
        <w:numPr>
          <w:ilvl w:val="0"/>
          <w:numId w:val="1"/>
        </w:numPr>
      </w:pPr>
      <w:r>
        <w:rPr>
          <w:b/>
        </w:rPr>
        <w:t xml:space="preserve">Learning records:</w:t>
      </w:r>
      <w:r>
        <w:t xml:space="preserve"> formative checks, structured multiple-choice marking, a standalone attendance register and teacher-maintained mastery records.</w:t>
      </w:r>
    </w:p>
    <w:p>
      <w:pPr>
        <w:pStyle w:val="Normal"/>
        <w:numPr>
          <w:ilvl w:val="0"/>
          <w:numId w:val="1"/>
        </w:numPr>
      </w:pPr>
      <w:r>
        <w:rPr>
          <w:b/>
        </w:rPr>
        <w:t xml:space="preserve">Classroom activity:</w:t>
      </w:r>
      <w:r>
        <w:t xml:space="preserve"> teacher-led polls/quizzes and offline access to supported local tasks and downloaded resources.</w:t>
      </w:r>
    </w:p>
    <w:p>
      <w:pPr>
        <w:pStyle w:val="Normal"/>
        <w:numPr>
          <w:ilvl w:val="0"/>
          <w:numId w:val="1"/>
        </w:numPr>
      </w:pPr>
      <w:r>
        <w:rPr>
          <w:b/>
        </w:rPr>
        <w:t xml:space="preserve">Preparation:</w:t>
      </w:r>
      <w:r>
        <w:t xml:space="preserve"> curriculum-linked practice drafts, reading-level adaptation, lesson-plan templates and the same-launch full-plan beta.</w:t>
      </w:r>
    </w:p>
    <w:p>
      <w:pPr>
        <w:pStyle w:val="Normal"/>
        <w:numPr>
          <w:ilvl w:val="0"/>
          <w:numId w:val="1"/>
        </w:numPr>
      </w:pPr>
      <w:r>
        <w:rPr>
          <w:b/>
        </w:rPr>
        <w:t xml:space="preserve">Teaching support:</w:t>
      </w:r>
      <w:r>
        <w:t xml:space="preserve"> student summaries, class views and rule-based flags with explainable follow-up suggestions.</w:t>
      </w:r>
    </w:p>
    <w:p>
      <w:pPr>
        <w:pStyle w:val="Normal"/>
        <w:numPr>
          <w:ilvl w:val="0"/>
          <w:numId w:val="1"/>
        </w:numPr>
      </w:pPr>
      <w:r>
        <w:rPr>
          <w:b/>
        </w:rPr>
        <w:t xml:space="preserve">Everyday efficiency:</w:t>
      </w:r>
      <w:r>
        <w:t xml:space="preserve"> communication templates and reusable lesson-plan sharing.</w:t>
      </w:r>
    </w:p>
    <w:p>
      <w:pPr>
        <w:pStyle w:val="Normal"/>
        <w:numPr>
          <w:ilvl w:val="0"/>
          <w:numId w:val="1"/>
        </w:numPr>
      </w:pPr>
      <w:r>
        <w:rPr>
          <w:b/>
        </w:rPr>
        <w:t xml:space="preserve">Family access:</w:t>
      </w:r>
      <w:r>
        <w:t xml:space="preserve"> curated progress, attendance, announcements and age-appropriate periodic visibility.</w:t>
      </w:r>
    </w:p>
    <w:p>
      <w:pPr>
        <w:pStyle w:val="Normal"/>
      </w:pPr>
      <w:r>
        <w:t xml:space="preserve">The proposed product requirement covers BM, English, Mandarin and Tamil, including onboarding and generated output. Each requires its own quality validation. The broader intended scope spans Standard 1 to Form 5; precise year, subject and language readiness must be mapped before rollout promises. This is not a claim that every curriculum combination is already complete.</w:t>
      </w:r>
    </w:p>
    <w:p>
      <w:pPr>
        <w:pStyle w:val="Normal"/>
      </w:pPr>
      <w:r>
        <w:t xml:space="preserve">For device planning, we recommend an M1-or-later iPad, with A16 as the proposed minimum supported model. The application must be validated on both target categories; core usefulness must not depend on every device having the same on-device AI capability. Final hardware and deployment arrangements remain with the relevant programme parties. Device prices are outside this document.</w:t>
      </w:r>
    </w:p>
    <w:p>
      <w:pPr>
        <w:pStyle w:val="Normal"/>
      </w:pPr>
      <w:r>
        <w:t xml:space="preserve">Accessibility is a Core acceptance requirement: readable text, suitable contrast, keyboard/input alternatives and assistive-technology testing. WCAG 2.2 AA is the target for the web experience, complemented by native iPad testing. This is a requirement to demonstrate, not a certification claim. </w:t>
      </w:r>
      <w:hyperlink r:id="rId4">
        <w:r>
          <w:rPr>
            <w:color w:val="216854"/>
            <w:u w:val="single"/>
          </w:rPr>
          <w:t xml:space="preserve">W3C WCAG 2.2</w:t>
        </w:r>
      </w:hyperlink>
      <w:r>
        <w:t xml:space="preserve">, checked 7 September 2026.</w:t>
      </w:r>
    </w:p>
    <w:p>
      <w:pPr>
        <w:pStyle w:val="Heading1"/>
        <w:pageBreakBefore/>
      </w:pPr>
      <w:r>
        <w:t xml:space="preserve">9. Help teachers start, and keep helping them</w:t>
      </w:r>
    </w:p>
    <w:p>
      <w:pPr>
        <w:pStyle w:val="Normal"/>
      </w:pPr>
      <w:r>
        <w:t xml:space="preserve">Introducing an application is not the same as making it useful in a busy school. The proposed onboarding should guide a teacher through real first tasks: record attendance, prepare an exercise, check a response and create a lesson plan.</w:t>
      </w:r>
    </w:p>
    <w:p>
      <w:pPr>
        <w:pStyle w:val="Normal"/>
      </w:pPr>
      <w:r>
        <w:t xml:space="preserve">Short in-app guidance, reusable training material and school-level champions would support that first-use experience. Teachers should be able to ask for help without becoming software specialists.</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Proposed responsibility</w:t>
            </w:r>
          </w:p>
        </w:tc>
        <w:tc>
          <w:tcPr>
            <w:tcW w:w="6500" w:type="dxa"/>
            <w:shd w:fill="EDF3EE"/>
          </w:tcPr>
          <w:p>
            <w:pPr>
              <w:pStyle w:val="TableText"/>
            </w:pPr>
            <w:r>
              <w:rPr>
                <w:b/>
              </w:rPr>
              <w:t xml:space="preserve">Lead proposed for discussion</w:t>
            </w:r>
          </w:p>
        </w:tc>
      </w:tr>
      <w:tr>
        <w:trPr>
          <w:cantSplit/>
        </w:trPr>
        <w:tc>
          <w:tcPr>
            <w:tcW w:w="2700" w:type="dxa"/>
          </w:tcPr>
          <w:p>
            <w:pPr>
              <w:pStyle w:val="TableText"/>
            </w:pPr>
            <w:r>
              <w:t xml:space="preserve">Product onboarding materials and trainer guidance</w:t>
            </w:r>
          </w:p>
        </w:tc>
        <w:tc>
          <w:tcPr>
            <w:tcW w:w="6500" w:type="dxa"/>
          </w:tcPr>
          <w:p>
            <w:pPr>
              <w:pStyle w:val="TableText"/>
            </w:pPr>
            <w:r>
              <w:t xml:space="preserve">Sifututor / Learnest Lab</w:t>
            </w:r>
          </w:p>
        </w:tc>
      </w:tr>
      <w:tr>
        <w:trPr>
          <w:cantSplit/>
        </w:trPr>
        <w:tc>
          <w:tcPr>
            <w:tcW w:w="2700" w:type="dxa"/>
          </w:tcPr>
          <w:p>
            <w:pPr>
              <w:pStyle w:val="TableText"/>
            </w:pPr>
            <w:r>
              <w:t xml:space="preserve">Platform issues, technical escalation and fixes</w:t>
            </w:r>
          </w:p>
        </w:tc>
        <w:tc>
          <w:tcPr>
            <w:tcW w:w="6500" w:type="dxa"/>
          </w:tcPr>
          <w:p>
            <w:pPr>
              <w:pStyle w:val="TableText"/>
            </w:pPr>
            <w:r>
              <w:t xml:space="preserve">Sifututor / Learnest Lab</w:t>
            </w:r>
          </w:p>
        </w:tc>
      </w:tr>
      <w:tr>
        <w:trPr>
          <w:cantSplit/>
        </w:trPr>
        <w:tc>
          <w:tcPr>
            <w:tcW w:w="2700" w:type="dxa"/>
          </w:tcPr>
          <w:p>
            <w:pPr>
              <w:pStyle w:val="TableText"/>
            </w:pPr>
            <w:r>
              <w:t xml:space="preserve">School participation and training arrangements</w:t>
            </w:r>
          </w:p>
        </w:tc>
        <w:tc>
          <w:tcPr>
            <w:tcW w:w="6500" w:type="dxa"/>
          </w:tcPr>
          <w:p>
            <w:pPr>
              <w:pStyle w:val="TableText"/>
            </w:pPr>
            <w:r>
              <w:t xml:space="preserve">Kota Buku</w:t>
            </w:r>
          </w:p>
        </w:tc>
      </w:tr>
      <w:tr>
        <w:trPr>
          <w:cantSplit/>
        </w:trPr>
        <w:tc>
          <w:tcPr>
            <w:tcW w:w="2700" w:type="dxa"/>
          </w:tcPr>
          <w:p>
            <w:pPr>
              <w:pStyle w:val="TableText"/>
            </w:pPr>
            <w:r>
              <w:t xml:space="preserve">First-line enquiries and routing unresolved issues</w:t>
            </w:r>
          </w:p>
        </w:tc>
        <w:tc>
          <w:tcPr>
            <w:tcW w:w="6500" w:type="dxa"/>
          </w:tcPr>
          <w:p>
            <w:pPr>
              <w:pStyle w:val="TableText"/>
            </w:pPr>
            <w:r>
              <w:t xml:space="preserve">Kota Buku</w:t>
            </w:r>
          </w:p>
        </w:tc>
      </w:tr>
      <w:tr>
        <w:trPr>
          <w:cantSplit/>
        </w:trPr>
        <w:tc>
          <w:tcPr>
            <w:tcW w:w="2700" w:type="dxa"/>
          </w:tcPr>
          <w:p>
            <w:pPr>
              <w:pStyle w:val="TableText"/>
            </w:pPr>
            <w:r>
              <w:t xml:space="preserve">Review of successful use and adoption difficulties</w:t>
            </w:r>
          </w:p>
        </w:tc>
        <w:tc>
          <w:tcPr>
            <w:tcW w:w="6500" w:type="dxa"/>
          </w:tcPr>
          <w:p>
            <w:pPr>
              <w:pStyle w:val="TableText"/>
            </w:pPr>
            <w:r>
              <w:t xml:space="preserve">Joint review</w:t>
            </w:r>
          </w:p>
        </w:tc>
      </w:tr>
    </w:tbl>
    <w:p/>
    <w:p>
      <w:pPr>
        <w:pStyle w:val="Normal"/>
      </w:pPr>
      <w:r>
        <w:t xml:space="preserve">The help journey should be straightforward: </w:t>
      </w:r>
      <w:r>
        <w:rPr>
          <w:b/>
        </w:rPr>
        <w:t xml:space="preserve">teacher asks → first-line support resolves or routes → technical team investigates where needed → teacher receives an answer → recurring issues inform improvement</w:t>
      </w:r>
      <w:r>
        <w:t xml:space="preserve">.</w:t>
      </w:r>
    </w:p>
    <w:p>
      <w:pPr>
        <w:pStyle w:val="Normal"/>
      </w:pPr>
      <w:r>
        <w:t xml:space="preserve">This division is our proposed operating arrangement. Staffing capacity, training schedules, response times and service levels still require agreement. Device, connectivity and distribution delivery are outside our software commitment and need their own named support routes. No outside training body's delivery capacity is assumed.</w:t>
      </w:r>
    </w:p>
    <w:p>
      <w:pPr>
        <w:pStyle w:val="Normal"/>
      </w:pPr>
      <w:r>
        <w:t xml:space="preserve">Joint reviews should ask whether teachers can complete useful tasks, whether material needs excessive correction and whether support problems recur. Account creation and login counts alone would not establish adoption. Whether adoption is mandatory or optional remains for Kota Buku and the relevant education authorities to determine.</w:t>
      </w:r>
    </w:p>
    <w:p>
      <w:pPr>
        <w:pStyle w:val="Heading1"/>
        <w:pageBreakBefore/>
      </w:pPr>
      <w:r>
        <w:t xml:space="preserve">10. Keep teachers in control and information protected</w:t>
      </w:r>
    </w:p>
    <w:p>
      <w:pPr>
        <w:pStyle w:val="Normal"/>
      </w:pPr>
      <w:r>
        <w:t xml:space="preserve">The proposed design uses learning information to support teaching and suitable reporting. It does not require collecting every available fact about a student or using teacher activity as a performance-ranking tool.</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Information</w:t>
            </w:r>
          </w:p>
        </w:tc>
        <w:tc>
          <w:tcPr>
            <w:tcW w:w="6500" w:type="dxa"/>
            <w:shd w:fill="EDF3EE"/>
          </w:tcPr>
          <w:p>
            <w:pPr>
              <w:pStyle w:val="TableText"/>
            </w:pPr>
            <w:r>
              <w:rPr>
                <w:b/>
              </w:rPr>
              <w:t xml:space="preserve">Proposed access boundary</w:t>
            </w:r>
          </w:p>
        </w:tc>
      </w:tr>
      <w:tr>
        <w:trPr>
          <w:cantSplit/>
        </w:trPr>
        <w:tc>
          <w:tcPr>
            <w:tcW w:w="2700" w:type="dxa"/>
          </w:tcPr>
          <w:p>
            <w:pPr>
              <w:pStyle w:val="TableText"/>
            </w:pPr>
            <w:r>
              <w:t xml:space="preserve">Student learning records</w:t>
            </w:r>
          </w:p>
        </w:tc>
        <w:tc>
          <w:tcPr>
            <w:tcW w:w="6500" w:type="dxa"/>
          </w:tcPr>
          <w:p>
            <w:pPr>
              <w:pStyle w:val="TableText"/>
            </w:pPr>
            <w:r>
              <w:t xml:space="preserve">Relevant teachers see their own students; school leadership access is tied to a documented duty.</w:t>
            </w:r>
          </w:p>
        </w:tc>
      </w:tr>
      <w:tr>
        <w:trPr>
          <w:cantSplit/>
        </w:trPr>
        <w:tc>
          <w:tcPr>
            <w:tcW w:w="2700" w:type="dxa"/>
          </w:tcPr>
          <w:p>
            <w:pPr>
              <w:pStyle w:val="TableText"/>
            </w:pPr>
            <w:r>
              <w:t xml:space="preserve">Parent or student view</w:t>
            </w:r>
          </w:p>
        </w:tc>
        <w:tc>
          <w:tcPr>
            <w:tcW w:w="6500" w:type="dxa"/>
          </w:tcPr>
          <w:p>
            <w:pPr>
              <w:pStyle w:val="TableText"/>
            </w:pPr>
            <w:r>
              <w:t xml:space="preserve">Their own permitted, curated information with age-appropriate controls.</w:t>
            </w:r>
          </w:p>
        </w:tc>
      </w:tr>
      <w:tr>
        <w:trPr>
          <w:cantSplit/>
        </w:trPr>
        <w:tc>
          <w:tcPr>
            <w:tcW w:w="2700" w:type="dxa"/>
          </w:tcPr>
          <w:p>
            <w:pPr>
              <w:pStyle w:val="TableText"/>
            </w:pPr>
            <w:r>
              <w:t xml:space="preserve">Individual teacher workflow information</w:t>
            </w:r>
          </w:p>
        </w:tc>
        <w:tc>
          <w:tcPr>
            <w:tcW w:w="6500" w:type="dxa"/>
          </w:tcPr>
          <w:p>
            <w:pPr>
              <w:pStyle w:val="TableText"/>
            </w:pPr>
            <w:r>
              <w:t xml:space="preserve">The teacher and immediate school leader only for reporting; no above-school individual teacher drill-down.</w:t>
            </w:r>
          </w:p>
        </w:tc>
      </w:tr>
      <w:tr>
        <w:trPr>
          <w:cantSplit/>
        </w:trPr>
        <w:tc>
          <w:tcPr>
            <w:tcW w:w="2700" w:type="dxa"/>
          </w:tcPr>
          <w:p>
            <w:pPr>
              <w:pStyle w:val="TableText"/>
            </w:pPr>
            <w:r>
              <w:t xml:space="preserve">Wider education reporting</w:t>
            </w:r>
          </w:p>
        </w:tc>
        <w:tc>
          <w:tcPr>
            <w:tcW w:w="6500" w:type="dxa"/>
          </w:tcPr>
          <w:p>
            <w:pPr>
              <w:pStyle w:val="TableText"/>
            </w:pPr>
            <w:r>
              <w:t xml:space="preserve">Aggregated views; any individual student access requires a separately authorised purpose and logged process. This does not widen access to individual teacher workflow information.</w:t>
            </w:r>
          </w:p>
        </w:tc>
      </w:tr>
    </w:tbl>
    <w:p/>
    <w:p>
      <w:pPr>
        <w:pStyle w:val="Normal"/>
      </w:pPr>
      <w:r>
        <w:t xml:space="preserve">Teacher workflow information must not feed appraisal, disciplinary action or individual rankings. These restrictions belong in contracts as well as access controls. Public school or class league tables are not part of the proposed offer.</w:t>
      </w:r>
    </w:p>
    <w:p>
      <w:pPr>
        <w:pStyle w:val="Normal"/>
      </w:pPr>
      <w:r>
        <w:t xml:space="preserve">Identifiable information must remain in Malaysia throughout processing, including AI processing, logs and backups. That requirement has to be verified for the actual services selected; a provider's local presence alone is insufficient. Exceptional service or security access must be limited, logged and reviewed.</w:t>
      </w:r>
    </w:p>
    <w:p>
      <w:pPr>
        <w:pStyle w:val="Normal"/>
      </w:pPr>
      <w:r>
        <w:t xml:space="preserve">The delivery arrangements must identify who controls the data and who processes it on their instructions, the reasons for collection, suitable parent/student notices, retention rules, correction/export routes and incident responsibilities. Those legal and operational schedules are not settled by this proposal. No sale of student data or independent vendor reuse is proposed.</w:t>
      </w:r>
    </w:p>
    <w:p>
      <w:pPr>
        <w:pStyle w:val="Normal"/>
      </w:pPr>
      <w:r>
        <w:t xml:space="preserve">If a record is wrong or a family has a concern, there must be an understandable way to raise it and a named route for response. Trust is part of the intended daily experience, not a legal document hidden behind it.</w:t>
      </w:r>
    </w:p>
    <w:p>
      <w:pPr>
        <w:pStyle w:val="Heading1"/>
        <w:pageBreakBefore/>
      </w:pPr>
      <w:r>
        <w:t xml:space="preserve">11. Relevant experience, followed by product-specific proof</w:t>
      </w:r>
    </w:p>
    <w:p>
      <w:pPr>
        <w:pStyle w:val="Normal"/>
      </w:pPr>
      <w:r>
        <w:t xml:space="preserve">Sifututor brings education-platform experience; Learnest Lab provides the visible product technology. Our internal review dated 6 September 2026 identified relevant patterns in attendance handling, controlled parent views, teacher-led learning services and checks around AI-generated outputs.</w:t>
      </w:r>
    </w:p>
    <w:p>
      <w:pPr>
        <w:pStyle w:val="Normal"/>
      </w:pPr>
      <w:r>
        <w:t xml:space="preserve">That experience informs this proposal. It does not mean an existing product can simply be renamed as the Kota Buku classroom app. The native iPad experience, offline behaviour, school/curriculum model and content-grounding workflows require new development and validation for this use case.</w:t>
      </w:r>
    </w:p>
    <w:p>
      <w:pPr>
        <w:pStyle w:val="Heading2"/>
      </w:pPr>
      <w:r>
        <w:t xml:space="preserve">What the research supports</w:t>
      </w:r>
    </w:p>
    <w:p>
      <w:pPr>
        <w:pStyle w:val="Normal"/>
      </w:pPr>
      <w:r>
        <w:t xml:space="preserve">A December 2024 EEF/NFER trial in secondary-school science in England found lower preparation time with guided ChatGPT use, with no detected difference in sampled resource quality. It supports investigating this approach, not promising the same result for Malaysian teachers or this proposed product. </w:t>
      </w:r>
      <w:hyperlink r:id="rId5">
        <w:r>
          <w:rPr>
            <w:color w:val="216854"/>
            <w:u w:val="single"/>
          </w:rPr>
          <w:t xml:space="preserve">Evaluation report, executive summary</w:t>
        </w:r>
      </w:hyperlink>
      <w:r>
        <w:t xml:space="preserve">, checked 7 September 2026.</w:t>
      </w:r>
    </w:p>
    <w:p>
      <w:pPr>
        <w:pStyle w:val="Heading2"/>
      </w:pPr>
      <w:r>
        <w:t xml:space="preserve">What we would demonstrate here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Evaluation question</w:t>
            </w:r>
          </w:p>
        </w:tc>
        <w:tc>
          <w:tcPr>
            <w:tcW w:w="6500" w:type="dxa"/>
            <w:shd w:fill="EDF3EE"/>
          </w:tcPr>
          <w:p>
            <w:pPr>
              <w:pStyle w:val="TableText"/>
            </w:pPr>
            <w:r>
              <w:rPr>
                <w:b/>
              </w:rPr>
              <w:t xml:space="preserve">Proposed evidence</w:t>
            </w:r>
          </w:p>
        </w:tc>
      </w:tr>
      <w:tr>
        <w:trPr>
          <w:cantSplit/>
        </w:trPr>
        <w:tc>
          <w:tcPr>
            <w:tcW w:w="2700" w:type="dxa"/>
          </w:tcPr>
          <w:p>
            <w:pPr>
              <w:pStyle w:val="TableText"/>
            </w:pPr>
            <w:r>
              <w:t xml:space="preserve">Can a teacher finish the task more easily?</w:t>
            </w:r>
          </w:p>
        </w:tc>
        <w:tc>
          <w:tcPr>
            <w:tcW w:w="6500" w:type="dxa"/>
          </w:tcPr>
          <w:p>
            <w:pPr>
              <w:pStyle w:val="TableText"/>
            </w:pPr>
            <w:r>
              <w:t xml:space="preserve">Compare the complete task before and during use, including corrections, setup and remaining official entry.</w:t>
            </w:r>
          </w:p>
        </w:tc>
      </w:tr>
      <w:tr>
        <w:trPr>
          <w:cantSplit/>
        </w:trPr>
        <w:tc>
          <w:tcPr>
            <w:tcW w:w="2700" w:type="dxa"/>
          </w:tcPr>
          <w:p>
            <w:pPr>
              <w:pStyle w:val="TableText"/>
            </w:pPr>
            <w:r>
              <w:t xml:space="preserve">Are generated resources suitable?</w:t>
            </w:r>
          </w:p>
        </w:tc>
        <w:tc>
          <w:tcPr>
            <w:tcW w:w="6500" w:type="dxa"/>
          </w:tcPr>
          <w:p>
            <w:pPr>
              <w:pStyle w:val="TableText"/>
            </w:pPr>
            <w:r>
              <w:t xml:space="preserve">Teacher review of correctness, curriculum fit, language and difficulty before broader exposure.</w:t>
            </w:r>
          </w:p>
        </w:tc>
      </w:tr>
      <w:tr>
        <w:trPr>
          <w:cantSplit/>
        </w:trPr>
        <w:tc>
          <w:tcPr>
            <w:tcW w:w="2700" w:type="dxa"/>
          </w:tcPr>
          <w:p>
            <w:pPr>
              <w:pStyle w:val="TableText"/>
            </w:pPr>
            <w:r>
              <w:t xml:space="preserve">Does captured information support a sensible next action?</w:t>
            </w:r>
          </w:p>
        </w:tc>
        <w:tc>
          <w:tcPr>
            <w:tcW w:w="6500" w:type="dxa"/>
          </w:tcPr>
          <w:p>
            <w:pPr>
              <w:pStyle w:val="TableText"/>
            </w:pPr>
            <w:r>
              <w:t xml:space="preserve">Check capture quality, traceability and the teacher's interpretation of follow-up suggestions.</w:t>
            </w:r>
          </w:p>
        </w:tc>
      </w:tr>
      <w:tr>
        <w:trPr>
          <w:cantSplit/>
        </w:trPr>
        <w:tc>
          <w:tcPr>
            <w:tcW w:w="2700" w:type="dxa"/>
          </w:tcPr>
          <w:p>
            <w:pPr>
              <w:pStyle w:val="TableText"/>
            </w:pPr>
            <w:r>
              <w:t xml:space="preserve">Does use continue after introduction?</w:t>
            </w:r>
          </w:p>
        </w:tc>
        <w:tc>
          <w:tcPr>
            <w:tcW w:w="6500" w:type="dxa"/>
          </w:tcPr>
          <w:p>
            <w:pPr>
              <w:pStyle w:val="TableText"/>
            </w:pPr>
            <w:r>
              <w:t xml:space="preserve">Completed workflows, repeat use, support needs and feedback across participating contexts.</w:t>
            </w:r>
          </w:p>
        </w:tc>
      </w:tr>
      <w:tr>
        <w:trPr>
          <w:cantSplit/>
        </w:trPr>
        <w:tc>
          <w:tcPr>
            <w:tcW w:w="2700" w:type="dxa"/>
          </w:tcPr>
          <w:p>
            <w:pPr>
              <w:pStyle w:val="TableText"/>
            </w:pPr>
            <w:r>
              <w:t xml:space="preserve">Do students and parents understand the information?</w:t>
            </w:r>
          </w:p>
        </w:tc>
        <w:tc>
          <w:tcPr>
            <w:tcW w:w="6500" w:type="dxa"/>
          </w:tcPr>
          <w:p>
            <w:pPr>
              <w:pStyle w:val="TableText"/>
            </w:pPr>
            <w:r>
              <w:t xml:space="preserve">Appropriate comprehension checks and feedback, not just portal visits.</w:t>
            </w:r>
          </w:p>
        </w:tc>
      </w:tr>
    </w:tbl>
    <w:p/>
    <w:p>
      <w:pPr>
        <w:pStyle w:val="Normal"/>
      </w:pPr>
      <w:r>
        <w:t xml:space="preserve">Success criteria and review responsibilities should be agreed before evaluation. Learning gains require their own suitable evaluation; they cannot be inferred from faster planning or more frequent logins. The offer is a concrete product direction with a path to evidence, not a guaranteed outcome.</w:t>
      </w:r>
    </w:p>
    <w:p>
      <w:pPr>
        <w:pStyle w:val="Heading1"/>
        <w:pageBreakBefore/>
      </w:pPr>
      <w:r>
        <w:t xml:space="preserve">12. From interest to a commercial discussion</w:t>
      </w:r>
    </w:p>
    <w:p>
      <w:pPr>
        <w:pStyle w:val="Normal"/>
      </w:pPr>
      <w:r>
        <w:t xml:space="preserve">Our recommendation is to progress this connected classroom experience with Kota Buku as the proposed programme partner and Sifututor as the product and technology delivery lead, powered by Learnest Lab.</w:t>
      </w:r>
    </w:p>
    <w:p>
      <w:pPr>
        <w:pStyle w:val="Normal"/>
      </w:pPr>
      <w:r>
        <w:t xml:space="preserve">The next commercial package should translate the experience into a defined offer:</w:t>
      </w:r>
    </w:p>
    <w:p>
      <w:pPr>
        <w:pStyle w:val="Normal"/>
        <w:numPr>
          <w:ilvl w:val="0"/>
          <w:numId w:val="2"/>
        </w:numPr>
      </w:pPr>
      <w:r>
        <w:t xml:space="preserve">Included scope and explicit exclusions, with the same launch and guided-beta distinction.</w:t>
      </w:r>
    </w:p>
    <w:p>
      <w:pPr>
        <w:pStyle w:val="Normal"/>
        <w:numPr>
          <w:ilvl w:val="0"/>
          <w:numId w:val="2"/>
        </w:numPr>
      </w:pPr>
      <w:r>
        <w:t xml:space="preserve">Proposed responsibilities, including training, first-line support, technical support and device-related boundaries.</w:t>
      </w:r>
    </w:p>
    <w:p>
      <w:pPr>
        <w:pStyle w:val="Normal"/>
        <w:numPr>
          <w:ilvl w:val="0"/>
          <w:numId w:val="2"/>
        </w:numPr>
      </w:pPr>
      <w:r>
        <w:t xml:space="preserve">Delivery milestones, acceptance evidence and the handling of unmet dependencies.</w:t>
      </w:r>
    </w:p>
    <w:p>
      <w:pPr>
        <w:pStyle w:val="Normal"/>
        <w:numPr>
          <w:ilvl w:val="0"/>
          <w:numId w:val="2"/>
        </w:numPr>
      </w:pPr>
      <w:r>
        <w:t xml:space="preserve">Service arrangements, pricing, payment terms and change control.</w:t>
      </w:r>
    </w:p>
    <w:p>
      <w:pPr>
        <w:pStyle w:val="Normal"/>
        <w:numPr>
          <w:ilvl w:val="0"/>
          <w:numId w:val="2"/>
        </w:numPr>
      </w:pPr>
      <w:r>
        <w:t xml:space="preserve">Content, data, deployment and contractual responsibilities that must be agreed before delivery.</w:t>
      </w:r>
    </w:p>
    <w:p>
      <w:pPr>
        <w:pStyle w:val="Normal"/>
      </w:pPr>
      <w:r>
        <w:t xml:space="preserve">Commercial figures will be provided in a separate, reconciled offer. This document is not a quotation and does not establish a funding award, procurement approval or signed partnership.</w:t>
      </w:r>
    </w:p>
    <w:p>
      <w:pPr>
        <w:pStyle w:val="Normal"/>
      </w:pPr>
      <w:r>
        <w:t xml:space="preserve">The immediate purpose is for Kota Buku to understand the value and consider progressing the proposed programme arrangement into a scoped commercial discussion. Sifututor will bring the product recommendation and its delivery logic; the discussion can then focus on the arrangement needed to make it work.</w:t>
      </w:r>
    </w:p>
    <w:p>
      <w:pPr>
        <w:pStyle w:val="Heading1"/>
        <w:pageBreakBefore/>
      </w:pPr>
      <w:r>
        <w:t xml:space="preserve">Appendix A. Feature-stage reference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Proposed stage</w:t>
            </w:r>
          </w:p>
        </w:tc>
        <w:tc>
          <w:tcPr>
            <w:tcW w:w="6500" w:type="dxa"/>
            <w:shd w:fill="EDF3EE"/>
          </w:tcPr>
          <w:p>
            <w:pPr>
              <w:pStyle w:val="TableText"/>
            </w:pPr>
            <w:r>
              <w:rPr>
                <w:b/>
              </w:rPr>
              <w:t xml:space="preserve">Features and boundaries</w:t>
            </w:r>
          </w:p>
        </w:tc>
      </w:tr>
      <w:tr>
        <w:trPr>
          <w:cantSplit/>
        </w:trPr>
        <w:tc>
          <w:tcPr>
            <w:tcW w:w="2700" w:type="dxa"/>
          </w:tcPr>
          <w:p>
            <w:pPr>
              <w:pStyle w:val="TableText"/>
            </w:pPr>
            <w:r>
              <w:t xml:space="preserve">Core: teacher</w:t>
            </w:r>
          </w:p>
        </w:tc>
        <w:tc>
          <w:tcPr>
            <w:tcW w:w="6500" w:type="dxa"/>
          </w:tcPr>
          <w:p>
            <w:pPr>
              <w:pStyle w:val="TableText"/>
            </w:pPr>
            <w:r>
              <w:t xml:space="preserve">Standalone attendance/generic export; formative checks; supported MCQ marking; teacher-maintained mastery; polls/quizzes; downloaded resources/local tasks; curriculum-linked AI practice; reading-level adaptation; lesson templates and sharing; student summaries; class views and rule-based flags/suggestions; communication templates.</w:t>
            </w:r>
          </w:p>
        </w:tc>
      </w:tr>
      <w:tr>
        <w:trPr>
          <w:cantSplit/>
        </w:trPr>
        <w:tc>
          <w:tcPr>
            <w:tcW w:w="2700" w:type="dxa"/>
          </w:tcPr>
          <w:p>
            <w:pPr>
              <w:pStyle w:val="TableText"/>
            </w:pPr>
            <w:r>
              <w:t xml:space="preserve">Core: family and enablement</w:t>
            </w:r>
          </w:p>
        </w:tc>
        <w:tc>
          <w:tcPr>
            <w:tcW w:w="6500" w:type="dxa"/>
          </w:tcPr>
          <w:p>
            <w:pPr>
              <w:pStyle w:val="TableText"/>
            </w:pPr>
            <w:r>
              <w:t xml:space="preserve">Curated age-appropriate progress; attendance/announcements; periodic visibility; first-use coaching; four product languages; accessibility acceptance. No supplied student devices.</w:t>
            </w:r>
          </w:p>
        </w:tc>
      </w:tr>
      <w:tr>
        <w:trPr>
          <w:cantSplit/>
        </w:trPr>
        <w:tc>
          <w:tcPr>
            <w:tcW w:w="2700" w:type="dxa"/>
          </w:tcPr>
          <w:p>
            <w:pPr>
              <w:pStyle w:val="TableText"/>
            </w:pPr>
            <w:r>
              <w:t xml:space="preserve">Same-launch guided beta</w:t>
            </w:r>
          </w:p>
        </w:tc>
        <w:tc>
          <w:tcPr>
            <w:tcW w:w="6500" w:type="dxa"/>
          </w:tcPr>
          <w:p>
            <w:pPr>
              <w:pStyle w:val="TableText"/>
            </w:pPr>
            <w:r>
              <w:t xml:space="preserve">Full AI-drafted RPH, plain-language AI analysis, teacher assistant conversations and AI-written administrative drafts for selected teachers; general access follows quality evaluation.</w:t>
            </w:r>
          </w:p>
        </w:tc>
      </w:tr>
      <w:tr>
        <w:trPr>
          <w:cantSplit/>
        </w:trPr>
        <w:tc>
          <w:tcPr>
            <w:tcW w:w="2700" w:type="dxa"/>
          </w:tcPr>
          <w:p>
            <w:pPr>
              <w:pStyle w:val="TableText"/>
            </w:pPr>
            <w:r>
              <w:t xml:space="preserve">Fast-follow</w:t>
            </w:r>
          </w:p>
        </w:tc>
        <w:tc>
          <w:tcPr>
            <w:tcW w:w="6500" w:type="dxa"/>
          </w:tcPr>
          <w:p>
            <w:pPr>
              <w:pStyle w:val="TableText"/>
            </w:pPr>
            <w:r>
              <w:t xml:space="preserve">Automatic history-based student-specific material; rubric drafts; simple activity-game templates; direct messaging. Textbook-based teaching/practice depends on rights/access; handwritten capture on validation; official-system connectors on permission and separately defined scope, never Phase 1.</w:t>
            </w:r>
          </w:p>
        </w:tc>
      </w:tr>
      <w:tr>
        <w:trPr>
          <w:cantSplit/>
        </w:trPr>
        <w:tc>
          <w:tcPr>
            <w:tcW w:w="2700" w:type="dxa"/>
          </w:tcPr>
          <w:p>
            <w:pPr>
              <w:pStyle w:val="TableText"/>
            </w:pPr>
            <w:r>
              <w:t xml:space="preserve">Later</w:t>
            </w:r>
          </w:p>
        </w:tc>
        <w:tc>
          <w:tcPr>
            <w:tcW w:w="6500" w:type="dxa"/>
          </w:tcPr>
          <w:p>
            <w:pPr>
              <w:pStyle w:val="TableText"/>
            </w:pPr>
            <w:r>
              <w:t xml:space="preserve">Teacher-reviewed essay support; early-warning tools with intervention arrangements; carefully evaluated wellbeing/behaviour features; any fuller family record view only after need and governance are established.</w:t>
            </w:r>
          </w:p>
        </w:tc>
      </w:tr>
      <w:tr>
        <w:trPr>
          <w:cantSplit/>
        </w:trPr>
        <w:tc>
          <w:tcPr>
            <w:tcW w:w="2700" w:type="dxa"/>
          </w:tcPr>
          <w:p>
            <w:pPr>
              <w:pStyle w:val="TableText"/>
            </w:pPr>
            <w:r>
              <w:t xml:space="preserve">Not an autonomous promise</w:t>
            </w:r>
          </w:p>
        </w:tc>
        <w:tc>
          <w:tcPr>
            <w:tcW w:w="6500" w:type="dxa"/>
          </w:tcPr>
          <w:p>
            <w:pPr>
              <w:pStyle w:val="TableText"/>
            </w:pPr>
            <w:r>
              <w:t xml:space="preserve">No AI-finalised formal grade, teacher-free learning-path assignment, continuous raw family surveillance or guaranteed learning/time outcome.</w:t>
            </w:r>
          </w:p>
        </w:tc>
      </w:tr>
    </w:tbl>
    <w:p/>
    <w:p>
      <w:pPr>
        <w:pStyle w:val="Heading1"/>
        <w:pageBreakBefore/>
      </w:pPr>
      <w:r>
        <w:t xml:space="preserve">Appendix B. Plain-language glossary</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Term</w:t>
            </w:r>
          </w:p>
        </w:tc>
        <w:tc>
          <w:tcPr>
            <w:tcW w:w="6500" w:type="dxa"/>
            <w:shd w:fill="EDF3EE"/>
          </w:tcPr>
          <w:p>
            <w:pPr>
              <w:pStyle w:val="TableText"/>
            </w:pPr>
            <w:r>
              <w:rPr>
                <w:b/>
              </w:rPr>
              <w:t xml:space="preserve">Meaning here</w:t>
            </w:r>
          </w:p>
        </w:tc>
      </w:tr>
      <w:tr>
        <w:trPr>
          <w:cantSplit/>
        </w:trPr>
        <w:tc>
          <w:tcPr>
            <w:tcW w:w="2700" w:type="dxa"/>
          </w:tcPr>
          <w:p>
            <w:pPr>
              <w:pStyle w:val="TableText"/>
            </w:pPr>
            <w:r>
              <w:t xml:space="preserve">AI-assisted</w:t>
            </w:r>
          </w:p>
        </w:tc>
        <w:tc>
          <w:tcPr>
            <w:tcW w:w="6500" w:type="dxa"/>
          </w:tcPr>
          <w:p>
            <w:pPr>
              <w:pStyle w:val="TableText"/>
            </w:pPr>
            <w:r>
              <w:t xml:space="preserve">Software helps draft or adapt material; the teacher checks and decides.</w:t>
            </w:r>
          </w:p>
        </w:tc>
      </w:tr>
      <w:tr>
        <w:trPr>
          <w:cantSplit/>
        </w:trPr>
        <w:tc>
          <w:tcPr>
            <w:tcW w:w="2700" w:type="dxa"/>
          </w:tcPr>
          <w:p>
            <w:pPr>
              <w:pStyle w:val="TableText"/>
            </w:pPr>
            <w:r>
              <w:t xml:space="preserve">RPH</w:t>
            </w:r>
          </w:p>
        </w:tc>
        <w:tc>
          <w:tcPr>
            <w:tcW w:w="6500" w:type="dxa"/>
          </w:tcPr>
          <w:p>
            <w:pPr>
              <w:pStyle w:val="TableText"/>
            </w:pPr>
            <w:r>
              <w:t xml:space="preserve">Rancangan Pengajaran Harian: the daily lesson plan.</w:t>
            </w:r>
          </w:p>
        </w:tc>
      </w:tr>
      <w:tr>
        <w:trPr>
          <w:cantSplit/>
        </w:trPr>
        <w:tc>
          <w:tcPr>
            <w:tcW w:w="2700" w:type="dxa"/>
          </w:tcPr>
          <w:p>
            <w:pPr>
              <w:pStyle w:val="TableText"/>
            </w:pPr>
            <w:r>
              <w:t xml:space="preserve">DSKP</w:t>
            </w:r>
          </w:p>
        </w:tc>
        <w:tc>
          <w:tcPr>
            <w:tcW w:w="6500" w:type="dxa"/>
          </w:tcPr>
          <w:p>
            <w:pPr>
              <w:pStyle w:val="TableText"/>
            </w:pPr>
            <w:r>
              <w:t xml:space="preserve">Dokumen Standard Kurikulum dan Pentaksiran: curriculum and assessment standards used to organise objectives.</w:t>
            </w:r>
          </w:p>
        </w:tc>
      </w:tr>
      <w:tr>
        <w:trPr>
          <w:cantSplit/>
        </w:trPr>
        <w:tc>
          <w:tcPr>
            <w:tcW w:w="2700" w:type="dxa"/>
          </w:tcPr>
          <w:p>
            <w:pPr>
              <w:pStyle w:val="TableText"/>
            </w:pPr>
            <w:r>
              <w:t xml:space="preserve">TP</w:t>
            </w:r>
          </w:p>
        </w:tc>
        <w:tc>
          <w:tcPr>
            <w:tcW w:w="6500" w:type="dxa"/>
          </w:tcPr>
          <w:p>
            <w:pPr>
              <w:pStyle w:val="TableText"/>
            </w:pPr>
            <w:r>
              <w:t xml:space="preserve">Tahap Penguasaan: a formal mastery-level judgement that remains with the teacher.</w:t>
            </w:r>
          </w:p>
        </w:tc>
      </w:tr>
      <w:tr>
        <w:trPr>
          <w:cantSplit/>
        </w:trPr>
        <w:tc>
          <w:tcPr>
            <w:tcW w:w="2700" w:type="dxa"/>
          </w:tcPr>
          <w:p>
            <w:pPr>
              <w:pStyle w:val="TableText"/>
            </w:pPr>
            <w:r>
              <w:t xml:space="preserve">Core</w:t>
            </w:r>
          </w:p>
        </w:tc>
        <w:tc>
          <w:tcPr>
            <w:tcW w:w="6500" w:type="dxa"/>
          </w:tcPr>
          <w:p>
            <w:pPr>
              <w:pStyle w:val="TableText"/>
            </w:pPr>
            <w:r>
              <w:t xml:space="preserve">Proposed general-launch scope, subject to validation; not a claim of completed software.</w:t>
            </w:r>
          </w:p>
        </w:tc>
      </w:tr>
      <w:tr>
        <w:trPr>
          <w:cantSplit/>
        </w:trPr>
        <w:tc>
          <w:tcPr>
            <w:tcW w:w="2700" w:type="dxa"/>
          </w:tcPr>
          <w:p>
            <w:pPr>
              <w:pStyle w:val="TableText"/>
            </w:pPr>
            <w:r>
              <w:t xml:space="preserve">Guided beta</w:t>
            </w:r>
          </w:p>
        </w:tc>
        <w:tc>
          <w:tcPr>
            <w:tcW w:w="6500" w:type="dxa"/>
          </w:tcPr>
          <w:p>
            <w:pPr>
              <w:pStyle w:val="TableText"/>
            </w:pPr>
            <w:r>
              <w:t xml:space="preserve">Supervised early use by selected teachers, at the same launch for full plans, AI analysis, the teacher assistant and AI-written admin drafts.</w:t>
            </w:r>
          </w:p>
        </w:tc>
      </w:tr>
      <w:tr>
        <w:trPr>
          <w:cantSplit/>
        </w:trPr>
        <w:tc>
          <w:tcPr>
            <w:tcW w:w="2700" w:type="dxa"/>
          </w:tcPr>
          <w:p>
            <w:pPr>
              <w:pStyle w:val="TableText"/>
            </w:pPr>
            <w:r>
              <w:t xml:space="preserve">Fast-follow</w:t>
            </w:r>
          </w:p>
        </w:tc>
        <w:tc>
          <w:tcPr>
            <w:tcW w:w="6500" w:type="dxa"/>
          </w:tcPr>
          <w:p>
            <w:pPr>
              <w:pStyle w:val="TableText"/>
            </w:pPr>
            <w:r>
              <w:t xml:space="preserve">A subsequent stage, after the relevant validation or dependency is resolved.</w:t>
            </w:r>
          </w:p>
        </w:tc>
      </w:tr>
      <w:tr>
        <w:trPr>
          <w:cantSplit/>
        </w:trPr>
        <w:tc>
          <w:tcPr>
            <w:tcW w:w="2700" w:type="dxa"/>
          </w:tcPr>
          <w:p>
            <w:pPr>
              <w:pStyle w:val="TableText"/>
            </w:pPr>
            <w:r>
              <w:t xml:space="preserve">Grounded content</w:t>
            </w:r>
          </w:p>
        </w:tc>
        <w:tc>
          <w:tcPr>
            <w:tcW w:w="6500" w:type="dxa"/>
          </w:tcPr>
          <w:p>
            <w:pPr>
              <w:pStyle w:val="TableText"/>
            </w:pPr>
            <w:r>
              <w:t xml:space="preserve">A draft uses selected source material; this reduces neither the need for permission nor teacher checking.</w:t>
            </w:r>
          </w:p>
        </w:tc>
      </w:tr>
      <w:tr>
        <w:trPr>
          <w:cantSplit/>
        </w:trPr>
        <w:tc>
          <w:tcPr>
            <w:tcW w:w="2700" w:type="dxa"/>
          </w:tcPr>
          <w:p>
            <w:pPr>
              <w:pStyle w:val="TableText"/>
            </w:pPr>
            <w:r>
              <w:t xml:space="preserve">Controller / processor</w:t>
            </w:r>
          </w:p>
        </w:tc>
        <w:tc>
          <w:tcPr>
            <w:tcW w:w="6500" w:type="dxa"/>
          </w:tcPr>
          <w:p>
            <w:pPr>
              <w:pStyle w:val="TableText"/>
            </w:pPr>
            <w:r>
              <w:t xml:space="preserve">The party determining permitted purposes and the party handling data on its instructions; exact roles require agreement.</w:t>
            </w:r>
          </w:p>
        </w:tc>
      </w:tr>
    </w:tbl>
    <w:p/>
    <w:p>
      <w:pPr>
        <w:pStyle w:val="Heading1"/>
        <w:pageBreakBefore/>
      </w:pPr>
      <w:r>
        <w:t xml:space="preserve">Appendix C. Sources and document status</w:t>
      </w:r>
    </w:p>
    <w:p>
      <w:pPr>
        <w:pStyle w:val="Normal"/>
      </w:pPr>
      <w:r>
        <w:t xml:space="preserve">The product experience and proposed role split are Sifututor's proposal as at 7 September 2026. Classroom examples are synthetic. External evidence is limited to the claims cited beside it: </w:t>
      </w:r>
      <w:hyperlink r:id="rId6">
        <w:r>
          <w:rPr>
            <w:color w:val="216854"/>
            <w:u w:val="single"/>
          </w:rPr>
          <w:t xml:space="preserve">Kota Buku's published remit</w:t>
        </w:r>
      </w:hyperlink>
      <w:r>
        <w:t xml:space="preserve">, the </w:t>
      </w:r>
      <w:hyperlink r:id="rId7">
        <w:r>
          <w:rPr>
            <w:color w:val="216854"/>
            <w:u w:val="single"/>
          </w:rPr>
          <w:t xml:space="preserve">December 2024 EEF/NFER evaluation</w:t>
        </w:r>
      </w:hyperlink>
      <w:r>
        <w:t xml:space="preserve">, and </w:t>
      </w:r>
      <w:hyperlink r:id="rId8">
        <w:r>
          <w:rPr>
            <w:color w:val="216854"/>
            <w:u w:val="single"/>
          </w:rPr>
          <w:t xml:space="preserve">W3C WCAG 2.2</w:t>
        </w:r>
      </w:hyperlink>
      <w:r>
        <w:t xml:space="preserve">. These sources do not endorse this product.</w:t>
      </w:r>
    </w:p>
    <w:p>
      <w:pPr>
        <w:pStyle w:val="Normal"/>
      </w:pPr>
      <w:r>
        <w:t xml:space="preserve">Document owner: Hafiz / Sifututor. Review scope, evidence, permissions, readiness and proposed responsibilities before circulation or a commercial commitment. This edition is a discussion draft for owner review, not approved for distribution.</w:t>
      </w:r>
    </w:p>
    <w:sectPr>
      <w:pgSz w:w="11906" w:h="16838"/>
      <w:pgMar w:top="1000" w:right="1353" w:bottom="1000" w:left="1353" w:header="400" w:footer="40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360"/>
        </w:tabs>
        <w:ind w:left="360" w:hanging="360"/>
      </w:pPr>
    </w:lvl>
  </w:abstractNum>
  <w:num w:numId="1">
    <w:abstractNumId w:val="1"/>
  </w:num>
  <w:abstractNum w:abstractNumId="2">
    <w:multiLevelType w:val="singleLevel"/>
    <w:lvl w:ilvl="0">
      <w:start w:val="1"/>
      <w:numFmt w:val="bullet"/>
      <w:lvlText w:val="•"/>
      <w:lvlJc w:val="left"/>
      <w:pPr>
        <w:tabs>
          <w:tab w:val="num" w:pos="360"/>
        </w:tabs>
        <w:ind w:left="360" w:hanging="360"/>
      </w:pPr>
    </w:lvl>
  </w:abstractNum>
  <w:num w:numId="2">
    <w:abstractNumId w:val="2"/>
  </w:num>
</w:numbering>
</file>

<file path=word/styles.xml><?xml version="1.0" encoding="utf-8"?>
<w:styles xmlns:w="http://schemas.openxmlformats.org/wordprocessingml/2006/main">
  <w:docDefaults>
    <w:rPrDefault>
      <w:rPr>
        <w:rFonts w:ascii="Arial" w:hAnsi="Arial"/>
        <w:sz w:val="22"/>
        <w:lang w:val="en-GB"/>
      </w:rPr>
    </w:rPrDefault>
    <w:pPrDefault>
      <w:pPr>
        <w:spacing w:after="160" w:line="300" w:lineRule="auto"/>
        <w:widowControl/>
      </w:pPr>
    </w:pPrDefault>
  </w:docDefaults>
  <w:style w:type="paragraph" w:default="1" w:styleId="Normal">
    <w:name w:val="Normal"/>
  </w:style>
  <w:style w:type="paragraph" w:styleId="Title">
    <w:name w:val="Title"/>
    <w:basedOn w:val="Normal"/>
    <w:pPr>
      <w:spacing w:after="480"/>
      <w:keepNext/>
    </w:pPr>
    <w:rPr>
      <w:sz w:val="64"/>
      <w:b/>
      <w:color w:val="20332F"/>
    </w:rPr>
  </w:style>
  <w:style w:type="paragraph" w:styleId="Subtitle">
    <w:name w:val="Subtitle"/>
    <w:basedOn w:val="Normal"/>
    <w:pPr>
      <w:spacing w:after="350"/>
      <w:keepNext/>
    </w:pPr>
    <w:rPr>
      <w:sz w:val="32"/>
      <w:color w:val="20332F"/>
    </w:rPr>
  </w:style>
  <w:style w:type="paragraph" w:styleId="Heading1">
    <w:name w:val="Heading1"/>
    <w:basedOn w:val="Normal"/>
    <w:pPr>
      <w:spacing w:after="300"/>
      <w:keepNext/>
      <w:outlineLvl w:val="0"/>
    </w:pPr>
    <w:rPr>
      <w:sz w:val="36"/>
      <w:b/>
      <w:color w:val="20332F"/>
    </w:rPr>
  </w:style>
  <w:style w:type="paragraph" w:styleId="Heading2">
    <w:name w:val="Heading2"/>
    <w:basedOn w:val="Normal"/>
    <w:pPr>
      <w:spacing w:after="220"/>
      <w:keepNext/>
      <w:outlineLvl w:val="1"/>
    </w:pPr>
    <w:rPr>
      <w:sz w:val="26"/>
      <w:b/>
      <w:color w:val="20332F"/>
    </w:rPr>
  </w:style>
  <w:style w:type="paragraph" w:styleId="Quote">
    <w:name w:val="Quote"/>
    <w:basedOn w:val="Normal"/>
    <w:pPr>
      <w:spacing w:after="180"/>
      <w:ind w:left="300" w:right="200"/>
      <w:shd w:fill="F0F5EF"/>
    </w:pPr>
    <w:rPr>
      <w:sz w:val="22"/>
      <w:color w:val="294438"/>
    </w:rPr>
  </w:style>
  <w:style w:type="paragraph" w:styleId="TableText">
    <w:name w:val="TableText"/>
    <w:basedOn w:val="Normal"/>
    <w:pPr>
      <w:spacing w:after="100"/>
    </w:pPr>
    <w:rPr>
      <w:sz w:val="20"/>
      <w:color w:val="20332F"/>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otabuku.my/about-kota-buku" TargetMode="External"/><Relationship Id="rId4" Type="http://schemas.openxmlformats.org/officeDocument/2006/relationships/hyperlink" Target="https://www.w3.org/TR/WCAG22/" TargetMode="External"/><Relationship Id="rId5" Type="http://schemas.openxmlformats.org/officeDocument/2006/relationships/hyperlink" Target="https://d2tic4wvo1iusb.cloudfront.net/production/documents/projects/chatgpt_in_lesson_planning_-_evaluation_report.pdf" TargetMode="External"/><Relationship Id="rId6" Type="http://schemas.openxmlformats.org/officeDocument/2006/relationships/hyperlink" Target="https://www.kotabuku.my/about-kota-buku" TargetMode="External"/><Relationship Id="rId7" Type="http://schemas.openxmlformats.org/officeDocument/2006/relationships/hyperlink" Target="https://d2tic4wvo1iusb.cloudfront.net/production/documents/projects/chatgpt_in_lesson_planning_-_evaluation_report.pdf" TargetMode="External"/><Relationship Id="rId8" Type="http://schemas.openxmlformats.org/officeDocument/2006/relationships/hyperlink" Target="https://www.w3.org/TR/WCAG22/" TargetMode="External"/></Relationships>
</file>

<file path=docProps/core.xml><?xml version="1.0" encoding="utf-8"?>
<cp:coreProperties xmlns:cp="http://schemas.openxmlformats.org/package/2006/metadata/core-properties" xmlns:dc="http://purl.org/dc/elements/1.1/">
  <dc:title>More time for teaching</dc:title>
  <dc:creator>Sifututor</dc:creator>
  <dc:language>en-GB</dc:language>
  <dc:description>Discussion draft, 7 September 2026. Not approved for distribution.</dc:description>
</cp:coreProperties>
</file>