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850" w:right="680" w:bottom="850" w:left="680" w:header="undefined" w:footer="undefined" w:gutter="undefined"/>
      <w:footerReference r:id="rId36" w:type="default"/>
    </w:sectPr>
    <w:p>
      <w:pPr>
        <w:spacing w:lineRule="auto"/>
      </w:pPr>
      <w:r>
        <w:rPr/>
        <w:t xml:space="preserve"/>
      </w:r>
    </w:p>
    <w:p>
      <w:pPr>
        <w:spacing w:lineRule="auto"/>
      </w:pPr>
      <w:r>
        <w:rPr/>
        <w:t xml:space="preserve">Collection Growth Partnership</w:t>
      </w:r>
    </w:p>
    <w:p>
      <w:pPr>
        <w:pStyle w:val="Heading1"/>
        <w:spacing w:lineRule="auto"/>
      </w:pPr>
      <w:r>
        <w:rPr/>
        <w:t xml:space="preserve">TEKUN Corporation Integrated Collection Growth Partnership</w:t>
      </w:r>
    </w:p>
    <w:p>
      <w:pPr>
        <w:ind w:left="284"/>
        <w:jc w:val="both"/>
        <w:spacing w:lineRule="auto"/>
      </w:pPr>
      <w:r>
        <w:rPr>
          <w:b/>
        </w:rPr>
        <w:t xml:space="preserve">Platform, managed operations, governance and measurable growth capability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Governed sourcebook — locally reviewed edition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Prospective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Sdn Bhd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Hafiz / designated proposal 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reviewed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 August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 — internal and controlled stakeholder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document is not legal advice; applicability and authorisation require confirmation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Commercial 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price, guaranteed result or final commercial commitment is made</w:t>
            </w:r>
          </w:p>
        </w:tc>
      </w:tr>
    </w:tbl>
    <w:p>
      <w:pPr>
        <w:spacing w:lineRule="auto"/>
      </w:pPr>
      <w:r>
        <w:rPr/>
      </w:r>
    </w:p>
    <w:p>
      <w:pPr>
        <w:pStyle w:val="Heading2"/>
        <w:spacing w:lineRule="auto"/>
      </w:pPr>
      <w:r>
        <w:rPr/>
        <w:t xml:space="preserve">How to use this sourcebook</w:t>
      </w:r>
    </w:p>
    <w:p>
      <w:pPr>
        <w:spacing w:lineRule="auto"/>
      </w:pPr>
      <w:r>
        <w:rPr/>
        <w:t xml:space="preserve">This is the knowledge source behind future discussions and presentations. It is deliberately more complete than a slide deck. Presentation creators may select and arrange material for their audience, but they should preserve the claim labels, limitations and ownership boundaries.</w:t>
      </w:r>
    </w:p>
    <w:p>
      <w:pPr>
        <w:spacing w:lineRule="auto"/>
      </w:pPr>
      <w:r>
        <w:rPr/>
        <w:t xml:space="preserve">Every substantial section follows three layers:</w:t>
      </w:r>
    </w:p>
    <w:p>
      <w:pPr>
        <w:numPr>
          <w:ilvl w:val="0"/>
          <w:numId w:val="1"/>
        </w:numPr>
        <w:spacing w:lineRule="auto"/>
      </w:pPr>
      <w:r>
        <w:rPr>
          <w:b/>
        </w:rPr>
        <w:t xml:space="preserve">In one minute</w:t>
      </w:r>
      <w:r>
        <w:rPr/>
        <w:t xml:space="preserve"> explains the business meaning.</w:t>
      </w:r>
    </w:p>
    <w:p>
      <w:pPr>
        <w:numPr>
          <w:ilvl w:val="0"/>
          <w:numId w:val="1"/>
        </w:numPr>
        <w:spacing w:lineRule="auto"/>
      </w:pPr>
      <w:r>
        <w:rPr>
          <w:b/>
        </w:rPr>
        <w:t xml:space="preserve">How it works</w:t>
      </w:r>
      <w:r>
        <w:rPr/>
        <w:t xml:space="preserve"> explains people, process and system relationships.</w:t>
      </w:r>
    </w:p>
    <w:p>
      <w:pPr>
        <w:numPr>
          <w:ilvl w:val="0"/>
          <w:numId w:val="1"/>
        </w:numPr>
        <w:spacing w:lineRule="auto"/>
      </w:pPr>
      <w:r>
        <w:rPr>
          <w:b/>
        </w:rPr>
        <w:t xml:space="preserve">Control and evidence</w:t>
      </w:r>
      <w:r>
        <w:rPr/>
        <w:t xml:space="preserve"> gives technical, regulatory or measurement depth.</w:t>
      </w:r>
    </w:p>
    <w:p>
      <w:pPr>
        <w:pStyle w:val="Heading3"/>
        <w:spacing w:lineRule="auto"/>
      </w:pPr>
      <w:r>
        <w:rPr/>
        <w:t xml:space="preserve">Claim convention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Supported by TEKUN Corporation public evidence or existing Sifututor operating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Publicly stated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Attributed to the organisation that published it; may require freshness checking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Proposed design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partnership would create; not a current TEKUN Corporation capability claim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Conditional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discovery, portfolio facts, legal interpretation or approval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Strategic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 capability governed by an evidence gate, not a launch promise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Illustrative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example used to explain a possible model; not a representation of current operations</w:t>
            </w:r>
          </w:p>
        </w:tc>
      </w:tr>
    </w:tbl>
    <w:p>
      <w:pPr>
        <w:spacing w:lineRule="auto"/>
      </w:pPr>
      <w:r>
        <w:rPr/>
      </w:r>
    </w:p>
    <w:p>
      <w:pPr>
        <w:pStyle w:val="Heading3"/>
        <w:spacing w:lineRule="auto"/>
      </w:pPr>
      <w:r>
        <w:rPr/>
        <w:t xml:space="preserve">Suggested reading paths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path</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or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orientation; Chapters 1–4, 19–25 and 28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4–7, 9–12, 15–17 and 20–24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legal or 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2, 5, 7, 11–14, 16, 20–21 and 26–27; Appendices C/F/G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and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3, 6, 12, 19–22 and 24; Appendix 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 data or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8–14, 17–18 and 24; Appendices B/C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 or partnership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Chapters 4–5, 7 and 21–28</w:t>
            </w:r>
          </w:p>
        </w:tc>
      </w:tr>
    </w:tbl>
    <w:p>
      <w:pPr>
        <w:spacing w:lineRule="auto"/>
      </w:pPr>
      <w:r>
        <w:rPr/>
      </w:r>
    </w:p>
    <w:p>
      <w:pPr>
        <w:pStyle w:val="Heading2"/>
        <w:spacing w:lineRule="auto"/>
      </w:pPr>
      <w:r>
        <w:rPr/>
        <w:t xml:space="preserve">Executive orientation</w:t>
      </w:r>
    </w:p>
    <w:p>
      <w:pPr>
        <w:pStyle w:val="Heading3"/>
        <w:spacing w:lineRule="auto"/>
      </w:pPr>
      <w:r>
        <w:rPr/>
        <w:t xml:space="preserve">The proposition in one sentence</w:t>
      </w:r>
    </w:p>
    <w:p>
      <w:pPr>
        <w:ind w:left="284"/>
        <w:jc w:val="both"/>
        <w:spacing w:lineRule="auto"/>
      </w:pPr>
      <w:r>
        <w:rPr/>
        <w:t xml:space="preserve">Modernise, integrate, scale and continuously improve TEKUN Corporation's established credit-management and recovery business through a </w:t>
      </w:r>
      <w:r>
        <w:rPr>
          <w:b/>
        </w:rPr>
        <w:t xml:space="preserve">TEKUN Corporation-owned and governed platform</w:t>
      </w:r>
      <w:r>
        <w:rPr/>
        <w:t xml:space="preserve">, built and operated by our team together with an authorised managed collection service.</w:t>
      </w:r>
    </w:p>
    <w:p>
      <w:pPr>
        <w:pStyle w:val="Heading3"/>
        <w:spacing w:lineRule="auto"/>
      </w:pPr>
      <w:r>
        <w:rPr/>
        <w:t xml:space="preserve">What the evidence says</w:t>
      </w:r>
    </w:p>
    <w:p>
      <w:pPr>
        <w:spacing w:lineRule="auto"/>
      </w:pPr>
      <w:r>
        <w:rPr/>
        <w:t xml:space="preserve">TEKUN Corporation is not beginning from zero. It states that it established its Customer Call Centre for debt collection on 15 September 2015, that it is registered with the Ministry of Finance under field code 221105, and that around 30 agencies and companies have appointed it. TCorp's own figure is undated and may already include the appointments below. Public announcements show Awqaf Education and MOCCIS collection or recovery appointments during 2026. </w:t>
      </w:r>
      <w:r>
        <w:rPr/>
        <w:t xml:space="preserve">[CLM-003–006] [CLM-013–016]</w:t>
      </w:r>
    </w:p>
    <w:p>
      <w:pPr>
        <w:spacing w:lineRule="auto"/>
      </w:pPr>
      <w:r>
        <w:rPr/>
        <w:t xml:space="preserve">The opportunity is therefore not to “fix a broken collector.” It is to give an established operator a stronger digital operating spine: one that can coordinate multiple principals, make customer treatment provable, connect payment evidence to case outcomes, give management reliable portfolio intelligence and support safe expansion.</w:t>
      </w:r>
    </w:p>
    <w:p>
      <w:pPr>
        <w:pStyle w:val="Heading3"/>
        <w:spacing w:lineRule="auto"/>
      </w:pPr>
      <w:r>
        <w:rPr/>
        <w:t xml:space="preserve">What the partnership combines</w:t>
      </w:r>
    </w:p>
    <w:p>
      <w:pPr>
        <w:spacing w:lineRule="auto"/>
      </w:pPr>
      <w:r>
        <w:rPr/>
        <w:drawing>
          <wp:inline distB="0" distL="0" distR="0" distT="0">
            <wp:extent cx="6696710" cy="900255"/>
            <wp:effectExtent b="0" l="0" r="0" t="0"/>
            <wp:docPr id="2" name="image-Q8mvQCiTPXTFEBXiAJcnf.png"/>
            <a:graphic>
              <a:graphicData uri="http://schemas.openxmlformats.org/drawingml/2006/picture">
                <pic:pic>
                  <pic:nvPicPr>
                    <pic:cNvPr id="2" name="image-Q8mvQCiTPXTFEBXiAJcnf.png" descr="Collection partnership diagram 1"/>
                    <pic:cNvPicPr/>
                  </pic:nvPicPr>
                  <pic:blipFill>
                    <a:blip r:embed="rId7" cstate="print"/>
                    <a:srcRect b="0" l="0" r="0" t="0"/>
                    <a:stretch>
                      <a:fillRect/>
                    </a:stretch>
                  </pic:blipFill>
                  <pic:spPr>
                    <a:xfrm>
                      <a:off x="0" y="0"/>
                      <a:ext cx="6696710" cy="900255"/>
                    </a:xfrm>
                    <a:prstGeom prst="rect"/>
                  </pic:spPr>
                </pic:pic>
              </a:graphicData>
            </a:graphic>
          </wp:inline>
        </w:drawing>
      </w:r>
    </w:p>
    <w:p>
      <w:pPr>
        <w:pStyle w:val="Heading3"/>
        <w:spacing w:lineRule="auto"/>
      </w:pPr>
      <w:r>
        <w:rPr/>
        <w:t xml:space="preserve">Ownership and accountability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governs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team delivers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Jointly governed</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and principal relationships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design, build, operation and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Discovery, implementation priorities and service levels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risk appetite and authority 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collection execution or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 scorecard and pilot evaluation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relationship and legal 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operational evidence and continuous improvement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forums and roadmap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onboarding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and operating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conduct and change escalation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consequential authority as agreed with principals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Recommendations within approved 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Expansion after evidence gates</w:t>
            </w:r>
          </w:p>
        </w:tc>
      </w:tr>
    </w:tbl>
    <w:p>
      <w:pPr>
        <w:spacing w:lineRule="auto"/>
      </w:pPr>
      <w:r>
        <w:rPr/>
      </w:r>
    </w:p>
    <w:p>
      <w:pPr>
        <w:spacing w:lineRule="auto"/>
      </w:pPr>
      <w:r>
        <w:rPr/>
        <w:t xml:space="preserve">The exact legal responsibilities, data roles and authority chain must be confirmed with TEKUN Corporation's compliance function and qualified Malaysian counsel. The platform can enforce and evidence controls; it cannot itself declare legal compliance.</w:t>
      </w:r>
    </w:p>
    <w:p>
      <w:pPr>
        <w:pStyle w:val="Heading3"/>
        <w:spacing w:lineRule="auto"/>
      </w:pPr>
      <w:r>
        <w:rPr/>
        <w:t xml:space="preserve">The value pathway</w:t>
      </w:r>
    </w:p>
    <w:p>
      <w:pPr>
        <w:spacing w:lineRule="auto"/>
      </w:pPr>
      <w:r>
        <w:rPr/>
        <w:drawing>
          <wp:inline distB="0" distL="0" distR="0" distT="0">
            <wp:extent cx="6696710" cy="1010425"/>
            <wp:effectExtent b="0" l="0" r="0" t="0"/>
            <wp:docPr id="4" name="image-yj_yLCPFu3kPXuif13scz.png"/>
            <a:graphic>
              <a:graphicData uri="http://schemas.openxmlformats.org/drawingml/2006/picture">
                <pic:pic>
                  <pic:nvPicPr>
                    <pic:cNvPr id="4" name="image-yj_yLCPFu3kPXuif13scz.png" descr="Collection partnership diagram 2"/>
                    <pic:cNvPicPr/>
                  </pic:nvPicPr>
                  <pic:blipFill>
                    <a:blip r:embed="rId9" cstate="print"/>
                    <a:srcRect b="0" l="0" r="0" t="0"/>
                    <a:stretch>
                      <a:fillRect/>
                    </a:stretch>
                  </pic:blipFill>
                  <pic:spPr>
                    <a:xfrm>
                      <a:off x="0" y="0"/>
                      <a:ext cx="6696710" cy="1010425"/>
                    </a:xfrm>
                    <a:prstGeom prst="rect"/>
                  </pic:spPr>
                </pic:pic>
              </a:graphicData>
            </a:graphic>
          </wp:inline>
        </w:drawing>
      </w:r>
    </w:p>
    <w:p>
      <w:pPr>
        <w:spacing w:lineRule="auto"/>
      </w:pPr>
      <w:r>
        <w:rPr/>
        <w:t xml:space="preserve">This is a measurable pathway, not a profit guarantee. Improvement must be proven against agreed definitions and a defensible baseline.</w:t>
      </w:r>
    </w:p>
    <w:p>
      <w:pPr>
        <w:pStyle w:val="Heading1"/>
        <w:spacing w:lineRule="auto"/>
      </w:pPr>
      <w:r>
        <w:rPr/>
        <w:t xml:space="preserve">Part I — TEKUN Corporation Context And Opportunity</w:t>
      </w:r>
    </w:p>
    <w:p>
      <w:pPr>
        <w:pStyle w:val="Heading2"/>
        <w:spacing w:lineRule="auto"/>
      </w:pPr>
      <w:r>
        <w:rPr/>
        <w:t xml:space="preserve">Chapter 1 — An established collection operator</w:t>
      </w:r>
    </w:p>
    <w:p>
      <w:pPr>
        <w:pStyle w:val="Heading3"/>
        <w:spacing w:lineRule="auto"/>
      </w:pPr>
      <w:r>
        <w:rPr/>
        <w:t xml:space="preserve">In one minute</w:t>
      </w:r>
    </w:p>
    <w:p>
      <w:pPr>
        <w:spacing w:lineRule="auto"/>
      </w:pPr>
      <w:r>
        <w:rPr/>
        <w:t xml:space="preserve">TEKUN Corporation is a TEKUN Nasional subsidiary with a public business focus that includes credit management and recovery. Its collection call centre dates to 2015, and its website states that approximately 30 organisations have appointed it. The respectful starting point is capability expansion, not replacement. </w:t>
      </w:r>
      <w:r>
        <w:rPr/>
        <w:t xml:space="preserve">[CLM-001–006] [CLM-008]</w:t>
      </w:r>
    </w:p>
    <w:p>
      <w:pPr>
        <w:pStyle w:val="Heading3"/>
        <w:spacing w:lineRule="auto"/>
      </w:pPr>
      <w:r>
        <w:rPr/>
        <w:t xml:space="preserve">Publicly evidenced milestones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milestone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demonstrates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Limitation</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27 February 2014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states it was registered with SSM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 operating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First-party statement; reverify before external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 September 2015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Call Centre established for debt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than a decade of stated collection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process, technology and scale are not 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Undated current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states MOF field code 221105 and around 30 appointing organisations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Established collection role and multi-principal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Currency and exact active count require confirmation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 May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and recovery agreement announced with Awqaf Education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portfolio/client expansion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value, duration or portfolio detail published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July–August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MOCCIS appointment, service agreement and MoU events announced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High-profile expansion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value, commission, account count or performance disclosed</w:t>
            </w:r>
          </w:p>
        </w:tc>
      </w:tr>
    </w:tbl>
    <w:p>
      <w:pPr>
        <w:spacing w:lineRule="auto"/>
      </w:pPr>
      <w:r>
        <w:rPr/>
      </w:r>
    </w:p>
    <w:p>
      <w:pPr>
        <w:spacing w:lineRule="auto"/>
      </w:pPr>
      <w:r>
        <w:rPr/>
        <w:t xml:space="preserve">[CLM-001] [CLM-004–006] [CLM-013–016]</w:t>
      </w:r>
    </w:p>
    <w:p>
      <w:pPr>
        <w:pStyle w:val="Heading3"/>
        <w:spacing w:lineRule="auto"/>
      </w:pPr>
      <w:r>
        <w:rPr/>
        <w:t xml:space="preserve">What is not publicly disclosed</w:t>
      </w:r>
    </w:p>
    <w:p>
      <w:pPr>
        <w:spacing w:lineRule="auto"/>
      </w:pPr>
      <w:r>
        <w:rPr/>
        <w:t xml:space="preserve">No public source reviewed identified a third-party provider appointed by TEKUN Corporation, a contract value, a commission structure, its current collection platform, portfolio volumes or a current performance baseline. This does </w:t>
      </w:r>
      <w:r>
        <w:rPr>
          <w:b/>
        </w:rPr>
        <w:t xml:space="preserve">not</w:t>
      </w:r>
      <w:r>
        <w:rPr/>
        <w:t xml:space="preserve"> prove that any of these do not exist. They are discovery matters. </w:t>
      </w:r>
      <w:r>
        <w:rPr/>
        <w:t xml:space="preserve">[CLM-017–018]</w:t>
      </w:r>
    </w:p>
    <w:p>
      <w:pPr>
        <w:pStyle w:val="Heading2"/>
        <w:spacing w:lineRule="auto"/>
      </w:pPr>
      <w:r>
        <w:rPr/>
        <w:t xml:space="preserve">Chapter 2 — Why the operating environment is changing</w:t>
      </w:r>
    </w:p>
    <w:p>
      <w:pPr>
        <w:pStyle w:val="Heading3"/>
        <w:spacing w:lineRule="auto"/>
      </w:pPr>
      <w:r>
        <w:rPr/>
        <w:t xml:space="preserve">In one minute</w:t>
      </w:r>
    </w:p>
    <w:p>
      <w:pPr>
        <w:spacing w:lineRule="auto"/>
      </w:pPr>
      <w:r>
        <w:rPr/>
        <w:t xml:space="preserve">Malaysia's Consumer Credit Act 2025 and the Consumer Credit Commission create a more formal authorisation and conduct environment for applicable debt collection. The published standards are unusually operational: they address when contact may occur, how often, what notice must precede recovery, identity checks, disclosure, payment handling, complaints, hardship, representative competency and information security. These rules can be translated into platform controls and evidence. </w:t>
      </w:r>
      <w:r>
        <w:rPr/>
        <w:t xml:space="preserve">[CLM-026–039] [CLM-042–044] [CLM-046–067]</w:t>
      </w:r>
    </w:p>
    <w:p>
      <w:pPr>
        <w:pStyle w:val="Heading3"/>
        <w:spacing w:lineRule="auto"/>
      </w:pPr>
      <w:r>
        <w:rPr/>
        <w:t xml:space="preserve">Regulatory timeline as at 31 August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Practical meaning</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Credit Act 2025 gazetted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 December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statutory framework established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 effective except Part 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March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framework commenced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 V and applications opened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June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Licensing and registration provisions commenced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SKP standards issued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June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Authorisation and conduct expectations became operational references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affected operator transition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required within six months from 1 June 2026 under section 135(1)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 applicability, status and consequences require TCorp/counsel confirmation</w:t>
            </w:r>
          </w:p>
        </w:tc>
      </w:tr>
    </w:tbl>
    <w:p>
      <w:pPr>
        <w:spacing w:lineRule="auto"/>
      </w:pPr>
      <w:r>
        <w:rPr/>
      </w:r>
    </w:p>
    <w:p>
      <w:pPr>
        <w:spacing w:lineRule="auto"/>
      </w:pPr>
      <w:r>
        <w:rPr/>
        <w:t xml:space="preserve">[CLM-026–029] [CLM-109]</w:t>
      </w:r>
    </w:p>
    <w:p>
      <w:pPr>
        <w:pStyle w:val="Heading3"/>
        <w:spacing w:lineRule="auto"/>
      </w:pPr>
      <w:r>
        <w:rPr/>
        <w:t xml:space="preserve">Scope must be determined portfolio by portfolio</w:t>
      </w:r>
    </w:p>
    <w:p>
      <w:pPr>
        <w:spacing w:lineRule="auto"/>
      </w:pPr>
      <w:r>
        <w:rPr/>
        <w:t xml:space="preserve">Debt collection is listed as a credit service business, but the Act contains exclusions and different treatment for certain government-funded micro-financing and co-operative contexts. TEKUN Corporation serves multiple principals, so one legal conclusion should not be applied across every portfolio without analysis. </w:t>
      </w:r>
      <w:r>
        <w:rPr/>
        <w:t xml:space="preserve">[CLM-030–039] [CLM-040] [CLM-041]</w:t>
      </w:r>
    </w:p>
    <w:p>
      <w:pPr>
        <w:spacing w:lineRule="auto"/>
      </w:pPr>
      <w:r>
        <w:rPr/>
        <w:t xml:space="preserve">Phase 2 is expected to transfer hire purchase and credit sales from KPDN to SKP. TEKUN Corporation's public client panel includes motor dealers; this becomes relevant only if their assigned portfolios involve those products. The products are not publicly disclosed, and no Phase 2 date was found. </w:t>
      </w:r>
      <w:r>
        <w:rPr/>
        <w:t xml:space="preserve">[CLM-110–111]</w:t>
      </w:r>
    </w:p>
    <w:p>
      <w:pPr>
        <w:pStyle w:val="Heading3"/>
        <w:spacing w:lineRule="auto"/>
      </w:pPr>
      <w:r>
        <w:rPr/>
        <w:t xml:space="preserve">The platform consequence</w:t>
      </w:r>
    </w:p>
    <w:p>
      <w:pPr>
        <w:spacing w:lineRule="auto"/>
      </w:pPr>
      <w:r>
        <w:rPr/>
        <w:t xml:space="preserve">The immediate business opportunity is not a fear-based compliance sale. It is the ability to make authorised operations easier to perform consistently and easier to prove:</w:t>
      </w:r>
    </w:p>
    <w:p>
      <w:pPr>
        <w:numPr>
          <w:ilvl w:val="0"/>
          <w:numId w:val="2"/>
        </w:numPr>
        <w:spacing w:lineRule="auto"/>
      </w:pPr>
      <w:r>
        <w:rPr/>
        <w:t xml:space="preserve">actions are allowed only inside approved time and frequency rules;</w:t>
      </w:r>
    </w:p>
    <w:p>
      <w:pPr>
        <w:numPr>
          <w:ilvl w:val="0"/>
          <w:numId w:val="2"/>
        </w:numPr>
        <w:spacing w:lineRule="auto"/>
      </w:pPr>
      <w:r>
        <w:rPr/>
        <w:t xml:space="preserve">the correct notice and identity steps precede debt discussion or recovery action;</w:t>
      </w:r>
    </w:p>
    <w:p>
      <w:pPr>
        <w:numPr>
          <w:ilvl w:val="0"/>
          <w:numId w:val="2"/>
        </w:numPr>
        <w:spacing w:lineRule="auto"/>
      </w:pPr>
      <w:r>
        <w:rPr/>
        <w:t xml:space="preserve">hardship, dispute and settlement events stop or redirect work automatically;</w:t>
      </w:r>
    </w:p>
    <w:p>
      <w:pPr>
        <w:numPr>
          <w:ilvl w:val="0"/>
          <w:numId w:val="2"/>
        </w:numPr>
        <w:spacing w:lineRule="auto"/>
      </w:pPr>
      <w:r>
        <w:rPr/>
        <w:t xml:space="preserve">every action, override, approval and communication attempt is traceable;</w:t>
      </w:r>
    </w:p>
    <w:p>
      <w:pPr>
        <w:numPr>
          <w:ilvl w:val="0"/>
          <w:numId w:val="2"/>
        </w:numPr>
        <w:spacing w:lineRule="auto"/>
      </w:pPr>
      <w:r>
        <w:rPr/>
        <w:t xml:space="preserve">management and compliance see exceptions without waiting for a complaint;</w:t>
      </w:r>
    </w:p>
    <w:p>
      <w:pPr>
        <w:numPr>
          <w:ilvl w:val="0"/>
          <w:numId w:val="2"/>
        </w:numPr>
        <w:spacing w:lineRule="auto"/>
      </w:pPr>
      <w:r>
        <w:rPr/>
        <w:t xml:space="preserve">each principal receives segregated and trustworthy reporting.</w:t>
      </w:r>
    </w:p>
    <w:p>
      <w:pPr>
        <w:pStyle w:val="Heading2"/>
        <w:spacing w:lineRule="auto"/>
      </w:pPr>
      <w:r>
        <w:rPr/>
        <w:t xml:space="preserve">Chapter 3 — The strategic opportunity</w:t>
      </w:r>
    </w:p>
    <w:p>
      <w:pPr>
        <w:pStyle w:val="Heading3"/>
        <w:spacing w:lineRule="auto"/>
      </w:pPr>
      <w:r>
        <w:rPr/>
        <w:t xml:space="preserve">In one minute</w:t>
      </w:r>
    </w:p>
    <w:p>
      <w:pPr>
        <w:spacing w:lineRule="auto"/>
      </w:pPr>
      <w:r>
        <w:rPr/>
        <w:t xml:space="preserve">TEKUN Corporation publicly describes itself as a principal income-generating subsidiary for TEKUN Nasional. A stronger collection operating platform can support that mandate through capacity, performance evidence, client confidence and the ability to onboard more appointing organisations safely. </w:t>
      </w:r>
      <w:r>
        <w:rPr/>
        <w:t xml:space="preserve">[CLM-008]</w:t>
      </w:r>
    </w:p>
    <w:p>
      <w:pPr>
        <w:pStyle w:val="Heading3"/>
        <w:spacing w:lineRule="auto"/>
      </w:pPr>
      <w:r>
        <w:rPr/>
        <w:t xml:space="preserve">From capability to financial contribution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 business effect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 before claiming value</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Reliable portfolio intake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 manual cleansing and re-entry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start for new assignments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 lead time, rejection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contact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Agents act with clearer information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 right-party contact opportunity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Right-party contact rate, data completeness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Promises linked to payment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Follow-up is timely and outcomes 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kept-promise visibility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Kept-promise rate, time to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Payments stop collection faster and close cases accurately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 exception effort and customer friction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 ageing, cessation compliance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Conduct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Fewer avoidable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Protects client trust and regulatory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notice, disclosure and complaint exceptions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appointing organisation sees its own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Retention and stronger service credibility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acceptance, renewal and principal satisfaction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Policies and integrations become repeatable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principals without proportional reinvention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onboarding lead time, capacity headroom</w:t>
            </w:r>
          </w:p>
        </w:tc>
      </w:tr>
    </w:tbl>
    <w:p>
      <w:pPr>
        <w:spacing w:lineRule="auto"/>
      </w:pPr>
      <w:r>
        <w:rPr/>
      </w:r>
    </w:p>
    <w:p>
      <w:pPr>
        <w:spacing w:lineRule="auto"/>
      </w:pPr>
      <w:r>
        <w:rPr/>
        <w:t xml:space="preserve">Technology is an enabler. Portfolio quality, customer contactability, policy, staffing, authority, economic conditions and principal cooperation also affect collection results.</w:t>
      </w:r>
    </w:p>
    <w:p>
      <w:pPr>
        <w:pStyle w:val="Heading1"/>
        <w:spacing w:lineRule="auto"/>
      </w:pPr>
      <w:r>
        <w:rPr/>
        <w:t xml:space="preserve">Part II — Partnership And Operating Model</w:t>
      </w:r>
    </w:p>
    <w:p>
      <w:pPr>
        <w:pStyle w:val="Heading2"/>
        <w:spacing w:lineRule="auto"/>
      </w:pPr>
      <w:r>
        <w:rPr/>
        <w:t xml:space="preserve">Chapter 4 — Partnership proposition</w:t>
      </w:r>
    </w:p>
    <w:p>
      <w:pPr>
        <w:pStyle w:val="Heading3"/>
        <w:spacing w:lineRule="auto"/>
      </w:pPr>
      <w:r>
        <w:rPr/>
        <w:t xml:space="preserve">In one minute</w:t>
      </w:r>
    </w:p>
    <w:p>
      <w:pPr>
        <w:spacing w:lineRule="auto"/>
      </w:pPr>
      <w:r>
        <w:rPr/>
        <w:t xml:space="preserve">The proposed model combines ownership and accountability on the TEKUN Corporation side with specialised technology and operating execution from our team. TEKUN Corporation should own the platform and govern the operation; our team should earn a long-term role through results, expertise, integration and continuous improvement.</w:t>
      </w:r>
    </w:p>
    <w:p>
      <w:pPr>
        <w:pStyle w:val="Heading3"/>
        <w:spacing w:lineRule="auto"/>
      </w:pPr>
      <w:r>
        <w:rPr/>
        <w:t xml:space="preserve">Proposed model</w:t>
      </w:r>
    </w:p>
    <w:p>
      <w:pPr>
        <w:spacing w:lineRule="auto"/>
      </w:pPr>
      <w:r>
        <w:rPr/>
        <w:drawing>
          <wp:inline distB="0" distL="0" distR="0" distT="0">
            <wp:extent cx="6696710" cy="1417926"/>
            <wp:effectExtent b="0" l="0" r="0" t="0"/>
            <wp:docPr id="6" name="image-9XxZoV86_wNOXRrSfEPZs.png"/>
            <a:graphic>
              <a:graphicData uri="http://schemas.openxmlformats.org/drawingml/2006/picture">
                <pic:pic>
                  <pic:nvPicPr>
                    <pic:cNvPr id="6" name="image-9XxZoV86_wNOXRrSfEPZs.png" descr="Collection partnership diagram 3"/>
                    <pic:cNvPicPr/>
                  </pic:nvPicPr>
                  <pic:blipFill>
                    <a:blip r:embed="rId11" cstate="print"/>
                    <a:srcRect b="0" l="0" r="0" t="0"/>
                    <a:stretch>
                      <a:fillRect/>
                    </a:stretch>
                  </pic:blipFill>
                  <pic:spPr>
                    <a:xfrm>
                      <a:off x="0" y="0"/>
                      <a:ext cx="6696710" cy="1417926"/>
                    </a:xfrm>
                    <a:prstGeom prst="rect"/>
                  </pic:spPr>
                </pic:pic>
              </a:graphicData>
            </a:graphic>
          </wp:inline>
        </w:drawing>
      </w:r>
    </w:p>
    <w:p>
      <w:pPr>
        <w:pStyle w:val="Heading3"/>
        <w:spacing w:lineRule="auto"/>
      </w:pPr>
      <w:r>
        <w:rPr/>
        <w:t xml:space="preserve">What is included in principle</w:t>
      </w:r>
    </w:p>
    <w:p>
      <w:pPr>
        <w:numPr>
          <w:ilvl w:val="0"/>
          <w:numId w:val="3"/>
        </w:numPr>
        <w:spacing w:lineRule="auto"/>
      </w:pPr>
      <w:r>
        <w:rPr/>
        <w:t xml:space="preserve">Dedicated collection platform owned and governed by TEKUN Corporation.</w:t>
      </w:r>
    </w:p>
    <w:p>
      <w:pPr>
        <w:numPr>
          <w:ilvl w:val="0"/>
          <w:numId w:val="3"/>
        </w:numPr>
        <w:spacing w:lineRule="auto"/>
      </w:pPr>
      <w:r>
        <w:rPr/>
        <w:t xml:space="preserve">Platform design, implementation, operation, maintenance and continuous improvement by our team.</w:t>
      </w:r>
    </w:p>
    <w:p>
      <w:pPr>
        <w:numPr>
          <w:ilvl w:val="0"/>
          <w:numId w:val="3"/>
        </w:numPr>
        <w:spacing w:lineRule="auto"/>
      </w:pPr>
      <w:r>
        <w:rPr/>
        <w:t xml:space="preserve">Authorised collection work performed or coordinated within confirmed legal and policy boundaries.</w:t>
      </w:r>
    </w:p>
    <w:p>
      <w:pPr>
        <w:numPr>
          <w:ilvl w:val="0"/>
          <w:numId w:val="3"/>
        </w:numPr>
        <w:spacing w:lineRule="auto"/>
      </w:pPr>
      <w:r>
        <w:rPr/>
        <w:t xml:space="preserve">Integration with approved principal, communication and payment-evidence sources.</w:t>
      </w:r>
    </w:p>
    <w:p>
      <w:pPr>
        <w:numPr>
          <w:ilvl w:val="0"/>
          <w:numId w:val="3"/>
        </w:numPr>
        <w:spacing w:lineRule="auto"/>
      </w:pPr>
      <w:r>
        <w:rPr/>
        <w:t xml:space="preserve">Operating procedures, training, supervision, quality and service governance.</w:t>
      </w:r>
    </w:p>
    <w:p>
      <w:pPr>
        <w:numPr>
          <w:ilvl w:val="0"/>
          <w:numId w:val="3"/>
        </w:numPr>
        <w:spacing w:lineRule="auto"/>
      </w:pPr>
      <w:r>
        <w:rPr/>
        <w:t xml:space="preserve">Evidence-led pilot followed by gated expansion.</w:t>
      </w:r>
    </w:p>
    <w:p>
      <w:pPr>
        <w:numPr>
          <w:ilvl w:val="0"/>
          <w:numId w:val="3"/>
        </w:numPr>
        <w:spacing w:lineRule="auto"/>
      </w:pPr>
      <w:r>
        <w:rPr/>
        <w:t xml:space="preserve">Complete documentation, data portability and transition support from day one.</w:t>
      </w:r>
    </w:p>
    <w:p>
      <w:pPr>
        <w:pStyle w:val="Heading3"/>
        <w:spacing w:lineRule="auto"/>
      </w:pPr>
      <w:r>
        <w:rPr/>
        <w:t xml:space="preserve">What is not yet committed</w:t>
      </w:r>
    </w:p>
    <w:p>
      <w:pPr>
        <w:numPr>
          <w:ilvl w:val="0"/>
          <w:numId w:val="4"/>
        </w:numPr>
        <w:spacing w:lineRule="auto"/>
      </w:pPr>
      <w:r>
        <w:rPr/>
        <w:t xml:space="preserve">A particular portfolio, principal, channel mix, headcount, launch date or price.</w:t>
      </w:r>
    </w:p>
    <w:p>
      <w:pPr>
        <w:numPr>
          <w:ilvl w:val="0"/>
          <w:numId w:val="4"/>
        </w:numPr>
        <w:spacing w:lineRule="auto"/>
      </w:pPr>
      <w:r>
        <w:rPr/>
        <w:t xml:space="preserve">Replacement of any existing system or provider.</w:t>
      </w:r>
    </w:p>
    <w:p>
      <w:pPr>
        <w:numPr>
          <w:ilvl w:val="0"/>
          <w:numId w:val="4"/>
        </w:numPr>
        <w:spacing w:lineRule="auto"/>
      </w:pPr>
      <w:r>
        <w:rPr/>
        <w:t xml:space="preserve">Separate registration or operation under TEKUN Corporation authorisation.</w:t>
      </w:r>
    </w:p>
    <w:p>
      <w:pPr>
        <w:numPr>
          <w:ilvl w:val="0"/>
          <w:numId w:val="4"/>
        </w:numPr>
        <w:spacing w:lineRule="auto"/>
      </w:pPr>
      <w:r>
        <w:rPr/>
        <w:t xml:space="preserve">Any recovery uplift, collection target or profit outcome.</w:t>
      </w:r>
    </w:p>
    <w:p>
      <w:pPr>
        <w:numPr>
          <w:ilvl w:val="0"/>
          <w:numId w:val="4"/>
        </w:numPr>
        <w:spacing w:lineRule="auto"/>
      </w:pPr>
      <w:r>
        <w:rPr/>
        <w:t xml:space="preserve">Any legal, regulatory or data-role conclusion.</w:t>
      </w:r>
    </w:p>
    <w:p>
      <w:pPr>
        <w:pStyle w:val="Heading2"/>
        <w:spacing w:lineRule="auto"/>
      </w:pPr>
      <w:r>
        <w:rPr/>
        <w:t xml:space="preserve">Chapter 5 — Stakeholders and responsibilities</w:t>
      </w:r>
    </w:p>
    <w:p>
      <w:pPr>
        <w:pStyle w:val="Heading3"/>
        <w:spacing w:lineRule="auto"/>
      </w:pPr>
      <w:r>
        <w:rPr/>
        <w:t xml:space="preserve">In one minute</w:t>
      </w:r>
    </w:p>
    <w:p>
      <w:pPr>
        <w:spacing w:lineRule="auto"/>
      </w:pPr>
      <w:r>
        <w:rPr/>
        <w:t xml:space="preserve">Collection is a multi-stakeholder operation. The platform succeeds only when it preserves the difference between who owns the underlying financing, who governs collection, who performs work, who receives money, who verifies payment and who makes consequential decisions.</w:t>
      </w:r>
    </w:p>
    <w:p>
      <w:pPr>
        <w:pStyle w:val="Heading3"/>
        <w:spacing w:lineRule="auto"/>
      </w:pPr>
      <w:r>
        <w:rPr/>
        <w:t xml:space="preserve">Proposed responsibility model</w:t>
      </w:r>
    </w:p>
    <w:p>
      <w:pPr>
        <w:spacing w:lineRule="auto"/>
      </w:pPr>
      <w:r>
        <w:rPr/>
        <w:t xml:space="preserve">The model is shown in two linked views so every role remains readable. The first view covers governance and delivery; the second isolates money handling and compliance assurance.</w:t>
      </w:r>
    </w:p>
    <w:p>
      <w:pPr>
        <w:pStyle w:val="Heading4"/>
        <w:spacing w:lineRule="auto"/>
      </w:pPr>
      <w:r>
        <w:rPr/>
        <w:t xml:space="preserve">Governance and delivery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 platform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operation</w:t>
            </w:r>
          </w:p>
        </w:tc>
      </w:tr>
      <w:tblGrid>
        <w:gridCol w:w="2109.2"/>
        <w:gridCol w:w="2109.2"/>
        <w:gridCol w:w="2109.2"/>
        <w:gridCol w:w="2109.2"/>
        <w:gridCol w:w="2109.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portfolio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Consulted/Responsible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collection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for execution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and operate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Accountable/Responsible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 and work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 customer money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 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 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Never as 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Never as agent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 as agreed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 confirm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settlement/write-off/legal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 as agreed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 retain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Never independently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Recommends/escalates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and hardship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Enables evidence/holds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within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 party to be 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 supply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 data/export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Supplies operating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and expansion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Chairs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Co-designs/delivers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Supplies learning</w:t>
            </w:r>
          </w:p>
        </w:tc>
      </w:tr>
    </w:tbl>
    <w:p>
      <w:pPr>
        <w:spacing w:lineRule="auto"/>
      </w:pPr>
      <w:r>
        <w:rPr/>
      </w:r>
    </w:p>
    <w:p>
      <w:pPr>
        <w:pStyle w:val="Heading4"/>
        <w:spacing w:lineRule="auto"/>
      </w:pPr>
      <w:r>
        <w:rPr/>
        <w:t xml:space="preserve">Money handling and assurance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Finance/payment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Compliance/legal</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portfolio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collection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and operate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Reviews controls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 and work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 customer money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through approved channel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Reviews rule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as agreed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Audits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settlement/write-off/legal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and hardship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oversight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Supplies finance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Reviews/submits as assigned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and expansion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Supplies outcome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Holds control gate</w:t>
            </w:r>
          </w:p>
        </w:tc>
      </w:tr>
    </w:tbl>
    <w:p>
      <w:pPr>
        <w:spacing w:lineRule="auto"/>
      </w:pPr>
      <w:r>
        <w:rPr/>
      </w:r>
    </w:p>
    <w:p>
      <w:pPr>
        <w:spacing w:lineRule="auto"/>
      </w:pPr>
      <w:r>
        <w:rPr/>
        <w:t xml:space="preserve">This matrix is proposed. The final RACI must reflect the underlying principal contracts, TEKUN Corporation authority and qualified legal advice.</w:t>
      </w:r>
    </w:p>
    <w:p>
      <w:pPr>
        <w:pStyle w:val="Heading2"/>
        <w:spacing w:lineRule="auto"/>
      </w:pPr>
      <w:r>
        <w:rPr/>
        <w:t xml:space="preserve">Chapter 6 — End-to-end collection lifecycle</w:t>
      </w:r>
    </w:p>
    <w:p>
      <w:pPr>
        <w:pStyle w:val="Heading3"/>
        <w:spacing w:lineRule="auto"/>
      </w:pPr>
      <w:r>
        <w:rPr/>
        <w:t xml:space="preserve">In one minute</w:t>
      </w:r>
    </w:p>
    <w:p>
      <w:pPr>
        <w:spacing w:lineRule="auto"/>
      </w:pPr>
      <w:r>
        <w:rPr/>
        <w:t xml:space="preserve">The solution is a complete operating loop, not a dialler or dashboard. A portfolio enters with defined authority and data; accounts are validated and segmented; authorised representatives work controlled cases; promises and payment evidence close the loop; complaints, disputes and hardship take protected paths; management learns from results.</w:t>
      </w:r>
    </w:p>
    <w:p>
      <w:pPr>
        <w:spacing w:lineRule="auto"/>
      </w:pPr>
      <w:r>
        <w:rPr/>
        <w:drawing>
          <wp:inline distB="0" distL="0" distR="0" distT="0">
            <wp:extent cx="6696710" cy="887821"/>
            <wp:effectExtent b="0" l="0" r="0" t="0"/>
            <wp:docPr id="8" name="image-FVfp1C0CN9cchvqJsveXS.png"/>
            <a:graphic>
              <a:graphicData uri="http://schemas.openxmlformats.org/drawingml/2006/picture">
                <pic:pic>
                  <pic:nvPicPr>
                    <pic:cNvPr id="8" name="image-FVfp1C0CN9cchvqJsveXS.png" descr="Collection partnership diagram 4"/>
                    <pic:cNvPicPr/>
                  </pic:nvPicPr>
                  <pic:blipFill>
                    <a:blip r:embed="rId13" cstate="print"/>
                    <a:srcRect b="0" l="0" r="0" t="0"/>
                    <a:stretch>
                      <a:fillRect/>
                    </a:stretch>
                  </pic:blipFill>
                  <pic:spPr>
                    <a:xfrm>
                      <a:off x="0" y="0"/>
                      <a:ext cx="6696710" cy="887821"/>
                    </a:xfrm>
                    <a:prstGeom prst="rect"/>
                  </pic:spPr>
                </pic:pic>
              </a:graphicData>
            </a:graphic>
          </wp:inline>
        </w:drawing>
      </w:r>
    </w:p>
    <w:p>
      <w:pPr>
        <w:pStyle w:val="Heading3"/>
        <w:spacing w:lineRule="auto"/>
      </w:pPr>
      <w:r>
        <w:rPr/>
        <w:t xml:space="preserve">Lifecycle control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information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value</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account, agreement, balance,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Provenance, validation, deduplication, segregation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Trustworthy starting population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arrears age, value, geography,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strategy and exclusions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Proportionate treatment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team, workload, skill, 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competency and authorisation validity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 ownership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Reminder/recovery notice and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template, fields, timing and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Defensible pre-contact/recovery step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identity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before debt disclosure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Confidentiality and correct-party contact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Engage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Attempts, conversations and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window, frequency cap, script and conduct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Consistency and fair treatment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date, method and tolerance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Follow-up and no false 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Reliable outcome tracking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Dispute, hardship, vulnerability or legal 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pause and specialist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harmful or invalid escalation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payment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Representatives do not receive funds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Safer money 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Bank/principal evidence and allocation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evidence retained; exceptions visible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 collection 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Cease/close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Settlement, accepted plan, withdrawal or 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Immediate stop trigger and audit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continued contact after resolution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Report/improve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Outcomes, exceptions, cost and service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Segregated views and governed definitions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decisions and principal trust</w:t>
            </w:r>
          </w:p>
        </w:tc>
      </w:tr>
    </w:tbl>
    <w:p>
      <w:pPr>
        <w:spacing w:lineRule="auto"/>
      </w:pPr>
      <w:r>
        <w:rPr/>
      </w:r>
    </w:p>
    <w:p>
      <w:pPr>
        <w:pStyle w:val="Heading2"/>
        <w:spacing w:lineRule="auto"/>
      </w:pPr>
      <w:r>
        <w:rPr/>
        <w:t xml:space="preserve">Chapter 7 — Governance and decision authority</w:t>
      </w:r>
    </w:p>
    <w:p>
      <w:pPr>
        <w:pStyle w:val="Heading3"/>
        <w:spacing w:lineRule="auto"/>
      </w:pPr>
      <w:r>
        <w:rPr/>
        <w:t xml:space="preserve">In one minute</w:t>
      </w:r>
    </w:p>
    <w:p>
      <w:pPr>
        <w:spacing w:lineRule="auto"/>
      </w:pPr>
      <w:r>
        <w:rPr/>
        <w:t xml:space="preserve">Performance and customer-treatment oversight must reinforce one another without becoming the same conversation. A collection target cannot excuse a conduct failure. The proposed governance separates strategic, performance, compliance and delivery forums while keeping escalation visible to TEKUN Corporation.</w:t>
      </w:r>
    </w:p>
    <w:p>
      <w:pPr>
        <w:spacing w:lineRule="auto"/>
      </w:pPr>
      <w:r>
        <w:rPr/>
        <w:drawing>
          <wp:inline distB="0" distL="0" distR="0" distT="0">
            <wp:extent cx="6696710" cy="4718708"/>
            <wp:effectExtent b="0" l="0" r="0" t="0"/>
            <wp:docPr id="10" name="image-q9BKYLHV-StG27Dtv_VrC.png"/>
            <a:graphic>
              <a:graphicData uri="http://schemas.openxmlformats.org/drawingml/2006/picture">
                <pic:pic>
                  <pic:nvPicPr>
                    <pic:cNvPr id="10" name="image-q9BKYLHV-StG27Dtv_VrC.png" descr="Collection partnership diagram 5"/>
                    <pic:cNvPicPr/>
                  </pic:nvPicPr>
                  <pic:blipFill>
                    <a:blip r:embed="rId15" cstate="print"/>
                    <a:srcRect b="0" l="0" r="0" t="0"/>
                    <a:stretch>
                      <a:fillRect/>
                    </a:stretch>
                  </pic:blipFill>
                  <pic:spPr>
                    <a:xfrm>
                      <a:off x="0" y="0"/>
                      <a:ext cx="6696710" cy="4718708"/>
                    </a:xfrm>
                    <a:prstGeom prst="rect"/>
                  </pic:spPr>
                </pic:pic>
              </a:graphicData>
            </a:graphic>
          </wp:inline>
        </w:drawing>
      </w:r>
    </w:p>
    <w:p>
      <w:pPr>
        <w:pStyle w:val="Heading3"/>
        <w:spacing w:lineRule="auto"/>
      </w:pPr>
      <w:r>
        <w:rPr/>
        <w:t xml:space="preserve">Decision principles</w:t>
      </w:r>
    </w:p>
    <w:p>
      <w:pPr>
        <w:numPr>
          <w:ilvl w:val="0"/>
          <w:numId w:val="5"/>
        </w:numPr>
        <w:spacing w:lineRule="auto"/>
      </w:pPr>
      <w:r>
        <w:rPr/>
        <w:t xml:space="preserve">TEKUN Corporation chairs strategic governance and owns policy.</w:t>
      </w:r>
    </w:p>
    <w:p>
      <w:pPr>
        <w:numPr>
          <w:ilvl w:val="0"/>
          <w:numId w:val="5"/>
        </w:numPr>
        <w:spacing w:lineRule="auto"/>
      </w:pPr>
      <w:r>
        <w:rPr/>
        <w:t xml:space="preserve">Consequential authority is explicit, limited and auditable.</w:t>
      </w:r>
    </w:p>
    <w:p>
      <w:pPr>
        <w:numPr>
          <w:ilvl w:val="0"/>
          <w:numId w:val="5"/>
        </w:numPr>
        <w:spacing w:lineRule="auto"/>
      </w:pPr>
      <w:r>
        <w:rPr/>
        <w:t xml:space="preserve">The partner may recommend but never silently assume settlement, write-off or legal authority.</w:t>
      </w:r>
    </w:p>
    <w:p>
      <w:pPr>
        <w:numPr>
          <w:ilvl w:val="0"/>
          <w:numId w:val="5"/>
        </w:numPr>
        <w:spacing w:lineRule="auto"/>
      </w:pPr>
      <w:r>
        <w:rPr/>
        <w:t xml:space="preserve">Compliance exceptions remain visible even when collection outcomes improve.</w:t>
      </w:r>
    </w:p>
    <w:p>
      <w:pPr>
        <w:numPr>
          <w:ilvl w:val="0"/>
          <w:numId w:val="5"/>
        </w:numPr>
        <w:spacing w:lineRule="auto"/>
      </w:pPr>
      <w:r>
        <w:rPr/>
        <w:t xml:space="preserve">Changes affecting conduct, money flow, data roles or principal contracts receive appropriate review.</w:t>
      </w:r>
    </w:p>
    <w:p>
      <w:pPr>
        <w:numPr>
          <w:ilvl w:val="0"/>
          <w:numId w:val="5"/>
        </w:numPr>
        <w:spacing w:lineRule="auto"/>
      </w:pPr>
      <w:r>
        <w:rPr/>
        <w:t xml:space="preserve">Every expansion horizon requires evidence, not only a calendar date.</w:t>
      </w:r>
    </w:p>
    <w:p>
      <w:pPr>
        <w:pStyle w:val="Heading1"/>
        <w:spacing w:lineRule="auto"/>
      </w:pPr>
      <w:r>
        <w:rPr/>
        <w:t xml:space="preserve">Part III — Dedicated Platform Solution</w:t>
      </w:r>
    </w:p>
    <w:p>
      <w:pPr>
        <w:pStyle w:val="Heading2"/>
        <w:spacing w:lineRule="auto"/>
      </w:pPr>
      <w:r>
        <w:rPr/>
        <w:t xml:space="preserve">Chapter 8 — Platform architecture in plain language</w:t>
      </w:r>
    </w:p>
    <w:p>
      <w:pPr>
        <w:pStyle w:val="Heading3"/>
        <w:spacing w:lineRule="auto"/>
      </w:pPr>
      <w:r>
        <w:rPr/>
        <w:t xml:space="preserve">In one minute</w:t>
      </w:r>
    </w:p>
    <w:p>
      <w:pPr>
        <w:spacing w:lineRule="auto"/>
      </w:pPr>
      <w:r>
        <w:rPr/>
        <w:t xml:space="preserve">People should experience one coherent operation even though different components perform different jobs. Customer and staff channels sit at the top; authoritative portfolio, case and payment state sits beneath them; analytics, security, monitoring and recovery support every layer.</w:t>
      </w:r>
    </w:p>
    <w:p>
      <w:pPr>
        <w:spacing w:lineRule="auto"/>
      </w:pPr>
      <w:r>
        <w:rPr/>
        <w:drawing>
          <wp:inline distB="0" distL="0" distR="0" distT="0">
            <wp:extent cx="6696710" cy="15834052"/>
            <wp:effectExtent b="0" l="0" r="0" t="0"/>
            <wp:docPr id="12" name="image-DXqBvsyXV5ahLjWyPhuvA.png"/>
            <a:graphic>
              <a:graphicData uri="http://schemas.openxmlformats.org/drawingml/2006/picture">
                <pic:pic>
                  <pic:nvPicPr>
                    <pic:cNvPr id="12" name="image-DXqBvsyXV5ahLjWyPhuvA.png" descr="Collection partnership diagram 6"/>
                    <pic:cNvPicPr/>
                  </pic:nvPicPr>
                  <pic:blipFill>
                    <a:blip r:embed="rId17" cstate="print"/>
                    <a:srcRect b="0" l="0" r="0" t="0"/>
                    <a:stretch>
                      <a:fillRect/>
                    </a:stretch>
                  </pic:blipFill>
                  <pic:spPr>
                    <a:xfrm>
                      <a:off x="0" y="0"/>
                      <a:ext cx="6696710" cy="15834052"/>
                    </a:xfrm>
                    <a:prstGeom prst="rect"/>
                  </pic:spPr>
                </pic:pic>
              </a:graphicData>
            </a:graphic>
          </wp:inline>
        </w:drawing>
      </w:r>
    </w:p>
    <w:p>
      <w:pPr>
        <w:pStyle w:val="Heading3"/>
        <w:spacing w:lineRule="auto"/>
      </w:pPr>
      <w:r>
        <w:rPr/>
        <w:t xml:space="preserve">Authority principles</w:t>
      </w:r>
    </w:p>
    <w:p>
      <w:pPr>
        <w:numPr>
          <w:ilvl w:val="0"/>
          <w:numId w:val="6"/>
        </w:numPr>
        <w:spacing w:lineRule="auto"/>
      </w:pPr>
      <w:r>
        <w:rPr/>
        <w:t xml:space="preserve">One authoritative source is named for each balance, payment, case state and decision.</w:t>
      </w:r>
    </w:p>
    <w:p>
      <w:pPr>
        <w:numPr>
          <w:ilvl w:val="0"/>
          <w:numId w:val="6"/>
        </w:numPr>
        <w:spacing w:lineRule="auto"/>
      </w:pPr>
      <w:r>
        <w:rPr/>
        <w:t xml:space="preserve">A principal sees only its own portfolio and approved aggregate service information.</w:t>
      </w:r>
    </w:p>
    <w:p>
      <w:pPr>
        <w:numPr>
          <w:ilvl w:val="0"/>
          <w:numId w:val="6"/>
        </w:numPr>
        <w:spacing w:lineRule="auto"/>
      </w:pPr>
      <w:r>
        <w:rPr/>
        <w:t xml:space="preserve">Channels use managed interfaces; they do not directly alter core records.</w:t>
      </w:r>
    </w:p>
    <w:p>
      <w:pPr>
        <w:numPr>
          <w:ilvl w:val="0"/>
          <w:numId w:val="6"/>
        </w:numPr>
        <w:spacing w:lineRule="auto"/>
      </w:pPr>
      <w:r>
        <w:rPr/>
        <w:t xml:space="preserve">Imported evidence is retained with provenance instead of silently overwritten.</w:t>
      </w:r>
    </w:p>
    <w:p>
      <w:pPr>
        <w:numPr>
          <w:ilvl w:val="0"/>
          <w:numId w:val="6"/>
        </w:numPr>
        <w:spacing w:lineRule="auto"/>
      </w:pPr>
      <w:r>
        <w:rPr/>
        <w:t xml:space="preserve">Write-capable integrations use validation, duplicate protection, audit and failure handling.</w:t>
      </w:r>
    </w:p>
    <w:p>
      <w:pPr>
        <w:numPr>
          <w:ilvl w:val="0"/>
          <w:numId w:val="6"/>
        </w:numPr>
        <w:spacing w:lineRule="auto"/>
      </w:pPr>
      <w:r>
        <w:rPr/>
        <w:t xml:space="preserve">Analytics uses curated, policy-controlled data rather than unrestricted operational access.</w:t>
      </w:r>
    </w:p>
    <w:p>
      <w:pPr>
        <w:numPr>
          <w:ilvl w:val="0"/>
          <w:numId w:val="6"/>
        </w:numPr>
        <w:spacing w:lineRule="auto"/>
      </w:pPr>
      <w:r>
        <w:rPr/>
        <w:t xml:space="preserve">TEKUN Corporation can export its information, configuration and operating records in usable formats.</w:t>
      </w:r>
    </w:p>
    <w:p>
      <w:pPr>
        <w:pStyle w:val="Heading2"/>
        <w:spacing w:lineRule="auto"/>
      </w:pPr>
      <w:r>
        <w:rPr/>
        <w:t xml:space="preserve">Chapter 9 — Portfolio and principal foundation</w:t>
      </w:r>
    </w:p>
    <w:p>
      <w:pPr>
        <w:pStyle w:val="Heading3"/>
        <w:spacing w:lineRule="auto"/>
      </w:pPr>
      <w:r>
        <w:rPr/>
        <w:t xml:space="preserve">In one minute</w:t>
      </w:r>
    </w:p>
    <w:p>
      <w:pPr>
        <w:spacing w:lineRule="auto"/>
      </w:pPr>
      <w:r>
        <w:rPr/>
        <w:t xml:space="preserve">TEKUN Corporation's multi-principal model requires more than an “organisation” field. Each principal can have distinct products, definitions, authority, strategies, channels, notices, service levels, reporting and integrations. The platform must keep these separate while giving TCorp a governed enterprise view.</w:t>
      </w:r>
    </w:p>
    <w:p>
      <w:pPr>
        <w:pStyle w:val="Heading3"/>
        <w:spacing w:lineRule="auto"/>
      </w:pPr>
      <w:r>
        <w:rPr/>
        <w:t xml:space="preserve">Proposed information hierarchy</w:t>
      </w:r>
    </w:p>
    <w:p>
      <w:pPr>
        <w:spacing w:lineRule="auto"/>
      </w:pPr>
      <w:r>
        <w:rPr/>
        <w:drawing>
          <wp:inline distB="0" distL="0" distR="0" distT="0">
            <wp:extent cx="6696710" cy="7530902"/>
            <wp:effectExtent b="0" l="0" r="0" t="0"/>
            <wp:docPr id="14" name="image-ss1ojVB00MFdxnVaK7IYR.png"/>
            <a:graphic>
              <a:graphicData uri="http://schemas.openxmlformats.org/drawingml/2006/picture">
                <pic:pic>
                  <pic:nvPicPr>
                    <pic:cNvPr id="14" name="image-ss1ojVB00MFdxnVaK7IYR.png" descr="Collection partnership diagram 7"/>
                    <pic:cNvPicPr/>
                  </pic:nvPicPr>
                  <pic:blipFill>
                    <a:blip r:embed="rId19" cstate="print"/>
                    <a:srcRect b="0" l="0" r="0" t="0"/>
                    <a:stretch>
                      <a:fillRect/>
                    </a:stretch>
                  </pic:blipFill>
                  <pic:spPr>
                    <a:xfrm>
                      <a:off x="0" y="0"/>
                      <a:ext cx="6696710" cy="7530902"/>
                    </a:xfrm>
                    <a:prstGeom prst="rect"/>
                  </pic:spPr>
                </pic:pic>
              </a:graphicData>
            </a:graphic>
          </wp:inline>
        </w:drawing>
      </w:r>
    </w:p>
    <w:p>
      <w:pPr>
        <w:pStyle w:val="Heading3"/>
        <w:spacing w:lineRule="auto"/>
      </w:pPr>
      <w:r>
        <w:rPr/>
        <w:t xml:space="preserve">Core records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purpose</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data owner/controller context, policy and reporting boundary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assignment scope, cohort, arrears definition and service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contact, agreement, balance components, schedule and restrictions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Assignment, current treatment state, agent ownership, next action and escalation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time, recipient verification, outcome, evidence and agent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Template/version, mandatory fields, delivery method, date and proof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due date, method, tolerance, status and linked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reference, amount, date, matching and reversal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Complaint/dispute/hardship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Intake, owner, hold, evidence, decision and turnaround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Requested decision, limit, approver, rationale and timestamp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Employer, authorisation, competency, training, validity and revocation</w:t>
            </w:r>
          </w:p>
        </w:tc>
      </w:tr>
    </w:tbl>
    <w:p>
      <w:pPr>
        <w:spacing w:lineRule="auto"/>
      </w:pPr>
      <w:r>
        <w:rPr/>
      </w:r>
    </w:p>
    <w:p>
      <w:pPr>
        <w:pStyle w:val="Heading3"/>
        <w:spacing w:lineRule="auto"/>
      </w:pPr>
      <w:r>
        <w:rPr/>
        <w:t xml:space="preserve">Intake quality gates</w:t>
      </w:r>
    </w:p>
    <w:p>
      <w:pPr>
        <w:spacing w:lineRule="auto"/>
      </w:pPr>
      <w:r>
        <w:rPr/>
        <w:t xml:space="preserve">Before an account enters active work, the platform should verify required identity/contact fields, balance composition, assignment authority, product and principal policy, previous notices/actions, dispute/hardship/legal state and the source snapshot. Invalid or ambiguous records remain exceptions rather than being pushed into agent queues.</w:t>
      </w:r>
    </w:p>
    <w:p>
      <w:pPr>
        <w:pStyle w:val="Heading2"/>
        <w:spacing w:lineRule="auto"/>
      </w:pPr>
      <w:r>
        <w:rPr/>
        <w:t xml:space="preserve">Chapter 10 — Agent and supervisor workspace</w:t>
      </w:r>
    </w:p>
    <w:p>
      <w:pPr>
        <w:pStyle w:val="Heading3"/>
        <w:spacing w:lineRule="auto"/>
      </w:pPr>
      <w:r>
        <w:rPr/>
        <w:t xml:space="preserve">In one minute</w:t>
      </w:r>
    </w:p>
    <w:p>
      <w:pPr>
        <w:spacing w:lineRule="auto"/>
      </w:pPr>
      <w:r>
        <w:rPr/>
        <w:t xml:space="preserve">The workspace should tell an authorised representative what can be done now, why, and what must happen next. It should reduce memory-based compliance and manual searching while keeping human judgment and supervisor accountability visible.</w:t>
      </w:r>
    </w:p>
    <w:p>
      <w:pPr>
        <w:pStyle w:val="Heading3"/>
        <w:spacing w:lineRule="auto"/>
      </w:pPr>
      <w:r>
        <w:rPr/>
        <w:t xml:space="preserve">Agent 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agent needs</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My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Prioritised, authorised cases with due actions and safe workload limits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identity/contact data, language, account and principal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Allowed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contact window/frequency status, notice status and holds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Guided 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script, identity check, mandatory explanations and outcomes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 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Right-party contact, promise, dispute, hardship, complaint, no-contact or escalation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official channel; no representative receipt of customer money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 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System-calculated follow-up with manual override only where authorised and recorded</w:t>
            </w:r>
          </w:p>
        </w:tc>
      </w:tr>
    </w:tbl>
    <w:p>
      <w:pPr>
        <w:spacing w:lineRule="auto"/>
      </w:pPr>
      <w:r>
        <w:rPr/>
      </w:r>
    </w:p>
    <w:p>
      <w:pPr>
        <w:pStyle w:val="Heading3"/>
        <w:spacing w:lineRule="auto"/>
      </w:pPr>
      <w:r>
        <w:rPr/>
        <w:t xml:space="preserve">Supervisor view</w:t>
      </w:r>
    </w:p>
    <w:p>
      <w:pPr>
        <w:numPr>
          <w:ilvl w:val="0"/>
          <w:numId w:val="7"/>
        </w:numPr>
        <w:spacing w:lineRule="auto"/>
      </w:pPr>
      <w:r>
        <w:rPr/>
        <w:t xml:space="preserve">queue volume, ageing and workload distribution;</w:t>
      </w:r>
    </w:p>
    <w:p>
      <w:pPr>
        <w:numPr>
          <w:ilvl w:val="0"/>
          <w:numId w:val="7"/>
        </w:numPr>
        <w:spacing w:lineRule="auto"/>
      </w:pPr>
      <w:r>
        <w:rPr/>
        <w:t xml:space="preserve">promises due, broken promises and unresolved outcomes;</w:t>
      </w:r>
    </w:p>
    <w:p>
      <w:pPr>
        <w:numPr>
          <w:ilvl w:val="0"/>
          <w:numId w:val="7"/>
        </w:numPr>
        <w:spacing w:lineRule="auto"/>
      </w:pPr>
      <w:r>
        <w:rPr/>
        <w:t xml:space="preserve">cases approaching service or conduct thresholds;</w:t>
      </w:r>
    </w:p>
    <w:p>
      <w:pPr>
        <w:numPr>
          <w:ilvl w:val="0"/>
          <w:numId w:val="7"/>
        </w:numPr>
        <w:spacing w:lineRule="auto"/>
      </w:pPr>
      <w:r>
        <w:rPr/>
        <w:t xml:space="preserve">quality samples, coaching actions and representative competency;</w:t>
      </w:r>
    </w:p>
    <w:p>
      <w:pPr>
        <w:numPr>
          <w:ilvl w:val="0"/>
          <w:numId w:val="7"/>
        </w:numPr>
        <w:spacing w:lineRule="auto"/>
      </w:pPr>
      <w:r>
        <w:rPr/>
        <w:t xml:space="preserve">overrides, exceptions and unusual activity;</w:t>
      </w:r>
    </w:p>
    <w:p>
      <w:pPr>
        <w:numPr>
          <w:ilvl w:val="0"/>
          <w:numId w:val="7"/>
        </w:numPr>
        <w:spacing w:lineRule="auto"/>
      </w:pPr>
      <w:r>
        <w:rPr/>
        <w:t xml:space="preserve">team contact, resolution and customer-treatment measures;</w:t>
      </w:r>
    </w:p>
    <w:p>
      <w:pPr>
        <w:numPr>
          <w:ilvl w:val="0"/>
          <w:numId w:val="7"/>
        </w:numPr>
        <w:spacing w:lineRule="auto"/>
      </w:pPr>
      <w:r>
        <w:rPr/>
        <w:t xml:space="preserve">ability to pause, reassign or escalate within authority.</w:t>
      </w:r>
    </w:p>
    <w:p>
      <w:pPr>
        <w:pStyle w:val="Heading3"/>
        <w:spacing w:lineRule="auto"/>
      </w:pPr>
      <w:r>
        <w:rPr/>
        <w:t xml:space="preserve">Human control</w:t>
      </w:r>
    </w:p>
    <w:p>
      <w:pPr>
        <w:spacing w:lineRule="auto"/>
      </w:pPr>
      <w:r>
        <w:rPr/>
        <w:t xml:space="preserve">Automation may surface priority and enforce hard rules, but it must not quietly decide settlement, hardship, legal escalation or other consequential outcomes. Where assisted prioritisation is later introduced, inputs, explanation, override, bias/quality monitoring and the applicable automated-decision guidance must be reviewed first.</w:t>
      </w:r>
    </w:p>
    <w:p>
      <w:pPr>
        <w:pStyle w:val="Heading2"/>
        <w:spacing w:lineRule="auto"/>
      </w:pPr>
      <w:r>
        <w:rPr/>
        <w:t xml:space="preserve">Chapter 11 — Customer treatment and regulatory controls</w:t>
      </w:r>
    </w:p>
    <w:p>
      <w:pPr>
        <w:pStyle w:val="Heading3"/>
        <w:spacing w:lineRule="auto"/>
      </w:pPr>
      <w:r>
        <w:rPr/>
        <w:t xml:space="preserve">In one minute</w:t>
      </w:r>
    </w:p>
    <w:p>
      <w:pPr>
        <w:spacing w:lineRule="auto"/>
      </w:pPr>
      <w:r>
        <w:rPr/>
        <w:t xml:space="preserve">The strongest platform argument is not that rules exist; it is that authorised teams can follow them consistently and produce evidence. The controls below apply only where the confirmed legal pathway says they apply, but they form a prudent design baseline for fair collection.</w:t>
      </w:r>
    </w:p>
    <w:p>
      <w:pPr>
        <w:pStyle w:val="Heading3"/>
        <w:spacing w:lineRule="auto"/>
      </w:pPr>
      <w:r>
        <w:rPr/>
        <w:t xml:space="preserve">Rule-to-control translation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Published expectation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platform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produced</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during permitted 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Channel/time-zone scheduler and hard block outside approved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Attempt timestamp, channel, block/override 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Contact-frequency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Rolling consumer-level counter across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Weekly/monthly count and exception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Written recovery notice before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template, mandatory fields and pre-action waiting 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Notice version, delivery evidence and elapsed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identity before debt discussion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Scripted verification checkpoint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result and agent timestamp without excessive exposure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unauthorised third-party disclosure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Relationship/consent gate and script restriction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 or prevented disclosure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Representatives do not accept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cash-receipt function; official payment-route message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instruction and external evidence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on settlement or accepted arrangement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payment/decision event places immediate cessation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timestamp and any post-stop exception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Hardship assessment protects legal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Hardship intake creates a system 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 owner, start, status and release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are accessible and tracked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complaints record with ownership and turnaround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Intake, investigation, outcome and remediation trail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Representatives remain competent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Appointment, training and periodic assessment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validity and overdue assessment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data access is controlled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limits, audit, download controls and anomaly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history, alert and investigation record</w:t>
            </w:r>
          </w:p>
        </w:tc>
      </w:tr>
    </w:tbl>
    <w:p>
      <w:pPr>
        <w:spacing w:lineRule="auto"/>
      </w:pPr>
      <w:r>
        <w:rPr/>
      </w:r>
    </w:p>
    <w:p>
      <w:pPr>
        <w:spacing w:lineRule="auto"/>
      </w:pPr>
      <w:r>
        <w:rPr/>
        <w:t xml:space="preserve">[CLM-047–067] [CLM-113]</w:t>
      </w:r>
    </w:p>
    <w:p>
      <w:pPr>
        <w:pStyle w:val="Heading3"/>
        <w:spacing w:lineRule="auto"/>
      </w:pPr>
      <w:r>
        <w:rPr/>
        <w:t xml:space="preserve">Protective branches</w:t>
      </w:r>
    </w:p>
    <w:p>
      <w:pPr>
        <w:spacing w:lineRule="auto"/>
      </w:pPr>
      <w:r>
        <w:rPr/>
        <w:t xml:space="preserve">Disputes, hardship, vulnerability, deceased/bankrupt status, complaints and legal matters should leave the standard collection queue. Each receives a specialised owner, a documented hold where required, controlled communication and a clear return/closure decision. This prevents target pressure from overriding customer treatment.</w:t>
      </w:r>
    </w:p>
    <w:p>
      <w:pPr>
        <w:pStyle w:val="Heading2"/>
        <w:spacing w:lineRule="auto"/>
      </w:pPr>
      <w:r>
        <w:rPr/>
        <w:t xml:space="preserve">Chapter 12 — Payment, reconciliation and financial authority</w:t>
      </w:r>
    </w:p>
    <w:p>
      <w:pPr>
        <w:pStyle w:val="Heading3"/>
        <w:spacing w:lineRule="auto"/>
      </w:pPr>
      <w:r>
        <w:rPr/>
        <w:t xml:space="preserve">In one minute</w:t>
      </w:r>
    </w:p>
    <w:p>
      <w:pPr>
        <w:spacing w:lineRule="auto"/>
      </w:pPr>
      <w:r>
        <w:rPr/>
        <w:t xml:space="preserve">Collection results are real only when payment evidence is reconciled to the correct account. Representatives should direct customers to approved channels, not receive money. The platform connects the promise and interaction history to authoritative payment evidence, then stops or changes treatment accordingly. </w:t>
      </w:r>
      <w:r>
        <w:rPr/>
        <w:t xml:space="preserve">[CLM-022–023]</w:t>
      </w:r>
    </w:p>
    <w:p>
      <w:pPr>
        <w:pStyle w:val="Heading3"/>
        <w:spacing w:lineRule="auto"/>
      </w:pPr>
      <w:r>
        <w:rPr/>
        <w:t xml:space="preserve">Illustrative flow requiring confirmation</w:t>
      </w:r>
    </w:p>
    <w:p>
      <w:pPr>
        <w:spacing w:lineRule="auto"/>
      </w:pPr>
      <w:r>
        <w:rPr/>
        <w:drawing>
          <wp:inline distB="0" distL="0" distR="0" distT="0">
            <wp:extent cx="6696710" cy="2702347"/>
            <wp:effectExtent b="0" l="0" r="0" t="0"/>
            <wp:docPr id="16" name="image-MQHpCks9m4HoR86HQ2r5V.png"/>
            <a:graphic>
              <a:graphicData uri="http://schemas.openxmlformats.org/drawingml/2006/picture">
                <pic:pic>
                  <pic:nvPicPr>
                    <pic:cNvPr id="16" name="image-MQHpCks9m4HoR86HQ2r5V.png" descr="Collection partnership diagram 8"/>
                    <pic:cNvPicPr/>
                  </pic:nvPicPr>
                  <pic:blipFill>
                    <a:blip r:embed="rId21" cstate="print"/>
                    <a:srcRect b="0" l="0" r="0" t="0"/>
                    <a:stretch>
                      <a:fillRect/>
                    </a:stretch>
                  </pic:blipFill>
                  <pic:spPr>
                    <a:xfrm>
                      <a:off x="0" y="0"/>
                      <a:ext cx="6696710" cy="2702347"/>
                    </a:xfrm>
                    <a:prstGeom prst="rect"/>
                  </pic:spPr>
                </pic:pic>
              </a:graphicData>
            </a:graphic>
          </wp:inline>
        </w:drawing>
      </w:r>
    </w:p>
    <w:p>
      <w:pPr>
        <w:spacing w:lineRule="auto"/>
      </w:pPr>
      <w:r>
        <w:rPr/>
        <w:t xml:space="preserve">The actual recipient account, receipt issuer, reconciliation owner and timing are not publicly known. This visual must remain illustrative until TEKUN Corporation validates it. </w:t>
      </w:r>
      <w:r>
        <w:rPr/>
        <w:t xml:space="preserve">[CLM-024]</w:t>
      </w:r>
    </w:p>
    <w:p>
      <w:pPr>
        <w:pStyle w:val="Heading3"/>
        <w:spacing w:lineRule="auto"/>
      </w:pPr>
      <w:r>
        <w:rPr/>
        <w:t xml:space="preserve">Financial controls</w:t>
      </w:r>
    </w:p>
    <w:p>
      <w:pPr>
        <w:numPr>
          <w:ilvl w:val="0"/>
          <w:numId w:val="8"/>
        </w:numPr>
        <w:spacing w:lineRule="auto"/>
      </w:pPr>
      <w:r>
        <w:rPr/>
        <w:t xml:space="preserve">separate promise, reported payment and reconciled payment states;</w:t>
      </w:r>
    </w:p>
    <w:p>
      <w:pPr>
        <w:numPr>
          <w:ilvl w:val="0"/>
          <w:numId w:val="8"/>
        </w:numPr>
        <w:spacing w:lineRule="auto"/>
      </w:pPr>
      <w:r>
        <w:rPr/>
        <w:t xml:space="preserve">retain source evidence and reversals;</w:t>
      </w:r>
    </w:p>
    <w:p>
      <w:pPr>
        <w:numPr>
          <w:ilvl w:val="0"/>
          <w:numId w:val="8"/>
        </w:numPr>
        <w:spacing w:lineRule="auto"/>
      </w:pPr>
      <w:r>
        <w:rPr/>
        <w:t xml:space="preserve">prevent duplicate imports and allocations;</w:t>
      </w:r>
    </w:p>
    <w:p>
      <w:pPr>
        <w:numPr>
          <w:ilvl w:val="0"/>
          <w:numId w:val="8"/>
        </w:numPr>
        <w:spacing w:lineRule="auto"/>
      </w:pPr>
      <w:r>
        <w:rPr/>
        <w:t xml:space="preserve">keep unmatched or ambiguous funds visible as exceptions;</w:t>
      </w:r>
    </w:p>
    <w:p>
      <w:pPr>
        <w:numPr>
          <w:ilvl w:val="0"/>
          <w:numId w:val="8"/>
        </w:numPr>
        <w:spacing w:lineRule="auto"/>
      </w:pPr>
      <w:r>
        <w:rPr/>
        <w:t xml:space="preserve">require approval for adjustments, settlement recommendations and fee calculations;</w:t>
      </w:r>
    </w:p>
    <w:p>
      <w:pPr>
        <w:numPr>
          <w:ilvl w:val="0"/>
          <w:numId w:val="8"/>
        </w:numPr>
        <w:spacing w:lineRule="auto"/>
      </w:pPr>
      <w:r>
        <w:rPr/>
        <w:t xml:space="preserve">stop contact from an authoritative settlement/arrangement event;</w:t>
      </w:r>
    </w:p>
    <w:p>
      <w:pPr>
        <w:numPr>
          <w:ilvl w:val="0"/>
          <w:numId w:val="8"/>
        </w:numPr>
        <w:spacing w:lineRule="auto"/>
      </w:pPr>
      <w:r>
        <w:rPr/>
        <w:t xml:space="preserve">calculate performance and commercial fees only from agreed reconciled evidence;</w:t>
      </w:r>
    </w:p>
    <w:p>
      <w:pPr>
        <w:numPr>
          <w:ilvl w:val="0"/>
          <w:numId w:val="8"/>
        </w:numPr>
        <w:spacing w:lineRule="auto"/>
      </w:pPr>
      <w:r>
        <w:rPr/>
        <w:t xml:space="preserve">preserve point-in-time portfolio and ageing snapshots.</w:t>
      </w:r>
    </w:p>
    <w:p>
      <w:pPr>
        <w:pStyle w:val="Heading2"/>
        <w:spacing w:lineRule="auto"/>
      </w:pPr>
      <w:r>
        <w:rPr/>
        <w:t xml:space="preserve">Chapter 13 — Data, integrations, security and resilience</w:t>
      </w:r>
    </w:p>
    <w:p>
      <w:pPr>
        <w:pStyle w:val="Heading3"/>
        <w:spacing w:lineRule="auto"/>
      </w:pPr>
      <w:r>
        <w:rPr/>
        <w:t xml:space="preserve">In one minute</w:t>
      </w:r>
    </w:p>
    <w:p>
      <w:pPr>
        <w:spacing w:lineRule="auto"/>
      </w:pPr>
      <w:r>
        <w:rPr/>
        <w:t xml:space="preserve">The platform will handle sensitive identity, financial and communication information. Trust depends on knowing why data exists, who may access it, where it came from, what changed, how an incident is handled and how service can recover.</w:t>
      </w:r>
    </w:p>
    <w:p>
      <w:pPr>
        <w:spacing w:lineRule="auto"/>
      </w:pPr>
      <w:r>
        <w:rPr/>
        <w:drawing>
          <wp:inline distB="0" distL="0" distR="0" distT="0">
            <wp:extent cx="6696710" cy="1751053"/>
            <wp:effectExtent b="0" l="0" r="0" t="0"/>
            <wp:docPr id="18" name="image-NN4Xn5Hxbbiryp7Owmqyv.png"/>
            <a:graphic>
              <a:graphicData uri="http://schemas.openxmlformats.org/drawingml/2006/picture">
                <pic:pic>
                  <pic:nvPicPr>
                    <pic:cNvPr id="18" name="image-NN4Xn5Hxbbiryp7Owmqyv.png" descr="Collection partnership diagram 9"/>
                    <pic:cNvPicPr/>
                  </pic:nvPicPr>
                  <pic:blipFill>
                    <a:blip r:embed="rId23" cstate="print"/>
                    <a:srcRect b="0" l="0" r="0" t="0"/>
                    <a:stretch>
                      <a:fillRect/>
                    </a:stretch>
                  </pic:blipFill>
                  <pic:spPr>
                    <a:xfrm>
                      <a:off x="0" y="0"/>
                      <a:ext cx="6696710" cy="1751053"/>
                    </a:xfrm>
                    <a:prstGeom prst="rect"/>
                  </pic:spPr>
                </pic:pic>
              </a:graphicData>
            </a:graphic>
          </wp:inline>
        </w:drawing>
      </w:r>
    </w:p>
    <w:p>
      <w:pPr>
        <w:pStyle w:val="Heading3"/>
        <w:spacing w:lineRule="auto"/>
      </w:pPr>
      <w:r>
        <w:rPr/>
        <w:t xml:space="preserve">Integration catalogue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 and safety rule</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assignment, balances, updates and withdrawals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schema, provenance and duplicates; principal remains authoritative where agreed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 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activity and performance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Principal-only segregation and approved definitions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Messaging/telephony ↔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Controlled contact and interaction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consent/policy, identity, time/frequency and retention controls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source →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Signed/validated feed, duplicate/reversal handling, no agent-reported 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 official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Notices, statements or acknowledgements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template/version and delivery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 regulatory/credit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data support where applicable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 submitter, format and approval confirmed before build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Curated operational and compliance 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Read-oriented, policy-controlled and audited access</w:t>
            </w:r>
          </w:p>
        </w:tc>
      </w:tr>
    </w:tbl>
    <w:p>
      <w:pPr>
        <w:spacing w:lineRule="auto"/>
      </w:pPr>
      <w:r>
        <w:rPr/>
      </w:r>
    </w:p>
    <w:p>
      <w:pPr>
        <w:pStyle w:val="Heading3"/>
        <w:spacing w:lineRule="auto"/>
      </w:pPr>
      <w:r>
        <w:rPr/>
        <w:t xml:space="preserve">Privacy roles are a discovery outcome</w:t>
      </w:r>
    </w:p>
    <w:p>
      <w:pPr>
        <w:spacing w:lineRule="auto"/>
      </w:pPr>
      <w:r>
        <w:rPr/>
        <w:t xml:space="preserve">The amended Personal Data Protection framework gives duties according to whether a party is a controller, processor, sub-processor or joint controller and according to applicable criteria. The proposed relationship could create direct duties for the partner, but the actual role cannot be declared from public information. Data flows, agreements, DPO requirements, security duties, breach response, retention and cross-border constraints must be confirmed. </w:t>
      </w:r>
      <w:r>
        <w:rPr/>
        <w:t xml:space="preserve">[CLM-070–075] [CLM-076]</w:t>
      </w:r>
    </w:p>
    <w:p>
      <w:pPr>
        <w:pStyle w:val="Heading3"/>
        <w:spacing w:lineRule="auto"/>
      </w:pPr>
      <w:r>
        <w:rPr/>
        <w:t xml:space="preserve">Trust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 family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design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and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authentication, least privilege, principal and role boundaries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review and authentication logs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source, explicit write path and immutable provenance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 catalogue and change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Sensitive-data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Encryption, minimisation, controlled export/download and endpoint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and access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Append-only or tamper-evident event history for material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Searchable export for audit/investigation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errors, failed feeds, unusual access and operational thresholds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 incident records and service reports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 ownership, containment, notification support and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and breach registers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and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 backups, defined objectives and periodic restore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health and restore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testing, journey evidence, controlled release and rollback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and release records</w:t>
            </w:r>
          </w:p>
        </w:tc>
      </w:tr>
    </w:tbl>
    <w:p>
      <w:pPr>
        <w:spacing w:lineRule="auto"/>
      </w:pPr>
      <w:r>
        <w:rPr/>
      </w:r>
    </w:p>
    <w:p>
      <w:pPr>
        <w:pStyle w:val="Heading2"/>
        <w:spacing w:lineRule="auto"/>
      </w:pPr>
      <w:r>
        <w:rPr/>
        <w:t xml:space="preserve">Chapter 14 — Reporting, analytics and explainable assistance</w:t>
      </w:r>
    </w:p>
    <w:p>
      <w:pPr>
        <w:pStyle w:val="Heading3"/>
        <w:spacing w:lineRule="auto"/>
      </w:pPr>
      <w:r>
        <w:rPr/>
        <w:t xml:space="preserve">In one minute</w:t>
      </w:r>
    </w:p>
    <w:p>
      <w:pPr>
        <w:spacing w:lineRule="auto"/>
      </w:pPr>
      <w:r>
        <w:rPr/>
        <w:t xml:space="preserve">Different stakeholders need different truth. An agent needs today's safe actions; a supervisor needs queue and quality health; compliance needs exceptions; management needs outcomes and cost; each principal needs only its own portfolio; the board needs strategic value and risk.</w:t>
      </w:r>
    </w:p>
    <w:p>
      <w:pPr>
        <w:spacing w:lineRule="auto"/>
      </w:pPr>
      <w:r>
        <w:rPr/>
        <w:drawing>
          <wp:inline distB="0" distL="0" distR="0" distT="0">
            <wp:extent cx="6696710" cy="1682719"/>
            <wp:effectExtent b="0" l="0" r="0" t="0"/>
            <wp:docPr id="20" name="image-fuKMHVLOc6E7xxMzwsSZh.png"/>
            <a:graphic>
              <a:graphicData uri="http://schemas.openxmlformats.org/drawingml/2006/picture">
                <pic:pic>
                  <pic:nvPicPr>
                    <pic:cNvPr id="20" name="image-fuKMHVLOc6E7xxMzwsSZh.png" descr="Collection partnership diagram 10"/>
                    <pic:cNvPicPr/>
                  </pic:nvPicPr>
                  <pic:blipFill>
                    <a:blip r:embed="rId25" cstate="print"/>
                    <a:srcRect b="0" l="0" r="0" t="0"/>
                    <a:stretch>
                      <a:fillRect/>
                    </a:stretch>
                  </pic:blipFill>
                  <pic:spPr>
                    <a:xfrm>
                      <a:off x="0" y="0"/>
                      <a:ext cx="6696710" cy="1682719"/>
                    </a:xfrm>
                    <a:prstGeom prst="rect"/>
                  </pic:spPr>
                </pic:pic>
              </a:graphicData>
            </a:graphic>
          </wp:inline>
        </w:drawing>
      </w:r>
    </w:p>
    <w:p>
      <w:pPr>
        <w:pStyle w:val="Heading3"/>
        <w:spacing w:lineRule="auto"/>
      </w:pPr>
      <w:r>
        <w:rPr/>
        <w:t xml:space="preserve">Intelligence progression</w:t>
      </w:r>
    </w:p>
    <w:p>
      <w:pPr>
        <w:numPr>
          <w:ilvl w:val="0"/>
          <w:numId w:val="9"/>
        </w:numPr>
        <w:spacing w:lineRule="auto"/>
      </w:pPr>
      <w:r>
        <w:rPr>
          <w:b/>
        </w:rPr>
        <w:t xml:space="preserve">Descriptive:</w:t>
      </w:r>
      <w:r>
        <w:rPr/>
        <w:t xml:space="preserve"> what was assigned, attempted, promised, paid, reconciled and closed.</w:t>
      </w:r>
    </w:p>
    <w:p>
      <w:pPr>
        <w:numPr>
          <w:ilvl w:val="0"/>
          <w:numId w:val="9"/>
        </w:numPr>
        <w:spacing w:lineRule="auto"/>
      </w:pPr>
      <w:r>
        <w:rPr>
          <w:b/>
        </w:rPr>
        <w:t xml:space="preserve">Diagnostic:</w:t>
      </w:r>
      <w:r>
        <w:rPr/>
        <w:t xml:space="preserve"> why contact, promise, payment, complaint or exception patterns differ.</w:t>
      </w:r>
    </w:p>
    <w:p>
      <w:pPr>
        <w:numPr>
          <w:ilvl w:val="0"/>
          <w:numId w:val="9"/>
        </w:numPr>
        <w:spacing w:lineRule="auto"/>
      </w:pPr>
      <w:r>
        <w:rPr>
          <w:b/>
        </w:rPr>
        <w:t xml:space="preserve">Guided:</w:t>
      </w:r>
      <w:r>
        <w:rPr/>
        <w:t xml:space="preserve"> surface approved next actions, missing information and risk flags.</w:t>
      </w:r>
    </w:p>
    <w:p>
      <w:pPr>
        <w:numPr>
          <w:ilvl w:val="0"/>
          <w:numId w:val="9"/>
        </w:numPr>
        <w:spacing w:lineRule="auto"/>
      </w:pPr>
      <w:r>
        <w:rPr>
          <w:b/>
        </w:rPr>
        <w:t xml:space="preserve">Predictive:</w:t>
      </w:r>
      <w:r>
        <w:rPr/>
        <w:t xml:space="preserve"> forecast expected outcomes or capacity only after sufficient clean history.</w:t>
      </w:r>
    </w:p>
    <w:p>
      <w:pPr>
        <w:numPr>
          <w:ilvl w:val="0"/>
          <w:numId w:val="9"/>
        </w:numPr>
        <w:spacing w:lineRule="auto"/>
      </w:pPr>
      <w:r>
        <w:rPr>
          <w:b/>
        </w:rPr>
        <w:t xml:space="preserve">Assisted:</w:t>
      </w:r>
      <w:r>
        <w:rPr/>
        <w:t xml:space="preserve"> explainable summaries and quality sampling, only after definitions, clean data, audit and human oversight are established; humans retain authority.</w:t>
      </w:r>
    </w:p>
    <w:p>
      <w:pPr>
        <w:pStyle w:val="Heading1"/>
        <w:spacing w:lineRule="auto"/>
      </w:pPr>
      <w:r>
        <w:rPr/>
        <w:t xml:space="preserve">Part IV — Managed Collection Service</w:t>
      </w:r>
    </w:p>
    <w:p>
      <w:pPr>
        <w:pStyle w:val="Heading2"/>
        <w:spacing w:lineRule="auto"/>
      </w:pPr>
      <w:r>
        <w:rPr/>
        <w:t xml:space="preserve">Chapter 15 — Operating team and service model</w:t>
      </w:r>
    </w:p>
    <w:p>
      <w:pPr>
        <w:pStyle w:val="Heading3"/>
        <w:spacing w:lineRule="auto"/>
      </w:pPr>
      <w:r>
        <w:rPr/>
        <w:t xml:space="preserve">In one minute</w:t>
      </w:r>
    </w:p>
    <w:p>
      <w:pPr>
        <w:spacing w:lineRule="auto"/>
      </w:pPr>
      <w:r>
        <w:rPr/>
        <w:t xml:space="preserve">The proposed solution combines platform and people. The operating team executes authorised work; supervisors protect quality and capacity; compliance has an independent line; finance verifies outcomes; product and engineering improve the system without bypassing business authority.</w:t>
      </w:r>
    </w:p>
    <w:p>
      <w:pPr>
        <w:pStyle w:val="Heading3"/>
        <w:spacing w:lineRule="auto"/>
      </w:pPr>
      <w:r>
        <w:rPr/>
        <w:t xml:space="preserve">Proposed operating cells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boundary</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service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Client/principal relationship, policy, authority and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Retains governance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 portfolio allocation, performance and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Cannot override compliance controls silently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health, coaching, quality, exceptions and daily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Works within approved limits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representative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verify, understand, record, follow up and escalate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not receive money or make unapproved consequential decisions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Complaints/hardship 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Protected-case assessment and resolution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from target pressure where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payment evidence, allocation, reversals and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evidence is outcome authority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 obligations, monitor conduct/data and manage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reporting line from 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integrations, incidents, changes and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not redefine business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Product/continuous improvement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 friction, prioritise improvements and verify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co-owned and evidence-gated</w:t>
            </w:r>
          </w:p>
        </w:tc>
      </w:tr>
    </w:tbl>
    <w:p>
      <w:pPr>
        <w:spacing w:lineRule="auto"/>
      </w:pPr>
      <w:r>
        <w:rPr/>
      </w:r>
    </w:p>
    <w:p>
      <w:pPr>
        <w:spacing w:lineRule="auto"/>
      </w:pPr>
      <w:r>
        <w:rPr/>
        <w:t xml:space="preserve">Headcount, employment model, location, channel mix and hours remain discovery and costing decisions.</w:t>
      </w:r>
    </w:p>
    <w:p>
      <w:pPr>
        <w:pStyle w:val="Heading2"/>
        <w:spacing w:lineRule="auto"/>
      </w:pPr>
      <w:r>
        <w:rPr/>
        <w:t xml:space="preserve">Chapter 16 — Training, competency and quality assurance</w:t>
      </w:r>
    </w:p>
    <w:p>
      <w:pPr>
        <w:pStyle w:val="Heading3"/>
        <w:spacing w:lineRule="auto"/>
      </w:pPr>
      <w:r>
        <w:rPr/>
        <w:t xml:space="preserve">In one minute</w:t>
      </w:r>
    </w:p>
    <w:p>
      <w:pPr>
        <w:spacing w:lineRule="auto"/>
      </w:pPr>
      <w:r>
        <w:rPr/>
        <w:t xml:space="preserve">An authorised representative needs more than a script. The organisation must know who is suitable, what they were trained on, whether they can apply it, how quality is sampled and what happens when conduct or performance falls below the approved standard.</w:t>
      </w:r>
    </w:p>
    <w:p>
      <w:pPr>
        <w:pStyle w:val="Heading3"/>
        <w:spacing w:lineRule="auto"/>
      </w:pPr>
      <w:r>
        <w:rPr/>
        <w:t xml:space="preserve">Competency lifecycle</w:t>
      </w:r>
    </w:p>
    <w:p>
      <w:pPr>
        <w:ind w:left="284"/>
        <w:jc w:val="both"/>
        <w:spacing w:lineRule="auto"/>
      </w:pPr>
      <w:r>
        <w:rPr/>
        <w:t xml:space="preserve">Screen and verify → Train → Assess → Authorise → Observe and sample → Coach or remediate → Reassess periodically. A material concern may trigger immediate suspension, revocation or investigation.</w:t>
      </w:r>
    </w:p>
    <w:p>
      <w:pPr>
        <w:pStyle w:val="Heading3"/>
        <w:spacing w:lineRule="auto"/>
      </w:pPr>
      <w:r>
        <w:rPr/>
        <w:t xml:space="preserve">Training domains</w:t>
      </w:r>
    </w:p>
    <w:p>
      <w:pPr>
        <w:numPr>
          <w:ilvl w:val="0"/>
          <w:numId w:val="10"/>
        </w:numPr>
        <w:spacing w:lineRule="auto"/>
      </w:pPr>
      <w:r>
        <w:rPr/>
        <w:t xml:space="preserve">TEKUN Corporation and principal policy;</w:t>
      </w:r>
    </w:p>
    <w:p>
      <w:pPr>
        <w:numPr>
          <w:ilvl w:val="0"/>
          <w:numId w:val="10"/>
        </w:numPr>
        <w:spacing w:lineRule="auto"/>
      </w:pPr>
      <w:r>
        <w:rPr/>
        <w:t xml:space="preserve">customer identification and confidential communication;</w:t>
      </w:r>
    </w:p>
    <w:p>
      <w:pPr>
        <w:numPr>
          <w:ilvl w:val="0"/>
          <w:numId w:val="10"/>
        </w:numPr>
        <w:spacing w:lineRule="auto"/>
      </w:pPr>
      <w:r>
        <w:rPr/>
        <w:t xml:space="preserve">permitted channels, timing, frequency and notices;</w:t>
      </w:r>
    </w:p>
    <w:p>
      <w:pPr>
        <w:numPr>
          <w:ilvl w:val="0"/>
          <w:numId w:val="10"/>
        </w:numPr>
        <w:spacing w:lineRule="auto"/>
      </w:pPr>
      <w:r>
        <w:rPr/>
        <w:t xml:space="preserve">accurate explanation of account and payment routes;</w:t>
      </w:r>
    </w:p>
    <w:p>
      <w:pPr>
        <w:numPr>
          <w:ilvl w:val="0"/>
          <w:numId w:val="10"/>
        </w:numPr>
        <w:spacing w:lineRule="auto"/>
      </w:pPr>
      <w:r>
        <w:rPr/>
        <w:t xml:space="preserve">promises, disputes, complaints, hardship and vulnerability;</w:t>
      </w:r>
    </w:p>
    <w:p>
      <w:pPr>
        <w:numPr>
          <w:ilvl w:val="0"/>
          <w:numId w:val="10"/>
        </w:numPr>
        <w:spacing w:lineRule="auto"/>
      </w:pPr>
      <w:r>
        <w:rPr/>
        <w:t xml:space="preserve">prohibited conduct, pressure and misleading statements;</w:t>
      </w:r>
    </w:p>
    <w:p>
      <w:pPr>
        <w:numPr>
          <w:ilvl w:val="0"/>
          <w:numId w:val="10"/>
        </w:numPr>
        <w:spacing w:lineRule="auto"/>
      </w:pPr>
      <w:r>
        <w:rPr/>
        <w:t xml:space="preserve">platform use, evidence quality and escalation;</w:t>
      </w:r>
    </w:p>
    <w:p>
      <w:pPr>
        <w:numPr>
          <w:ilvl w:val="0"/>
          <w:numId w:val="10"/>
        </w:numPr>
        <w:spacing w:lineRule="auto"/>
      </w:pPr>
      <w:r>
        <w:rPr/>
        <w:t xml:space="preserve">personal-data protection, device and workspace controls;</w:t>
      </w:r>
    </w:p>
    <w:p>
      <w:pPr>
        <w:numPr>
          <w:ilvl w:val="0"/>
          <w:numId w:val="10"/>
        </w:numPr>
        <w:spacing w:lineRule="auto"/>
      </w:pPr>
      <w:r>
        <w:rPr/>
        <w:t xml:space="preserve">fraud awareness and unusual activity;</w:t>
      </w:r>
    </w:p>
    <w:p>
      <w:pPr>
        <w:numPr>
          <w:ilvl w:val="0"/>
          <w:numId w:val="10"/>
        </w:numPr>
        <w:spacing w:lineRule="auto"/>
      </w:pPr>
      <w:r>
        <w:rPr/>
        <w:t xml:space="preserve">changes in law, policy, portfolio or system.</w:t>
      </w:r>
    </w:p>
    <w:p>
      <w:pPr>
        <w:spacing w:lineRule="auto"/>
      </w:pPr>
      <w:r>
        <w:rPr/>
        <w:t xml:space="preserve">Quality measures should balance outcome, accuracy, conduct, documentation and customer treatment. Recovery alone is not a complete quality score.</w:t>
      </w:r>
    </w:p>
    <w:p>
      <w:pPr>
        <w:pStyle w:val="Heading2"/>
        <w:spacing w:lineRule="auto"/>
      </w:pPr>
      <w:r>
        <w:rPr/>
        <w:t xml:space="preserve">Chapter 17 — Service management and continuous improvement</w:t>
      </w:r>
    </w:p>
    <w:p>
      <w:pPr>
        <w:pStyle w:val="Heading3"/>
        <w:spacing w:lineRule="auto"/>
      </w:pPr>
      <w:r>
        <w:rPr/>
        <w:t xml:space="preserve">In one minute</w:t>
      </w:r>
    </w:p>
    <w:p>
      <w:pPr>
        <w:spacing w:lineRule="auto"/>
      </w:pPr>
      <w:r>
        <w:rPr/>
        <w:t xml:space="preserve">A healthy platform is one that detects issues, responds, recovers and improves without losing accountability. The operating partnership should use the same evidence discipline for software, integrations and collection processes.</w:t>
      </w:r>
    </w:p>
    <w:p>
      <w:pPr>
        <w:spacing w:lineRule="auto"/>
      </w:pPr>
      <w:r>
        <w:rPr/>
        <w:drawing>
          <wp:inline distB="0" distL="0" distR="0" distT="0">
            <wp:extent cx="6696710" cy="494643"/>
            <wp:effectExtent b="0" l="0" r="0" t="0"/>
            <wp:docPr id="22" name="image-PNwLnOZYq-7C3lBqvbXf8.png"/>
            <a:graphic>
              <a:graphicData uri="http://schemas.openxmlformats.org/drawingml/2006/picture">
                <pic:pic>
                  <pic:nvPicPr>
                    <pic:cNvPr id="22" name="image-PNwLnOZYq-7C3lBqvbXf8.png" descr="Collection partnership diagram 11"/>
                    <pic:cNvPicPr/>
                  </pic:nvPicPr>
                  <pic:blipFill>
                    <a:blip r:embed="rId27" cstate="print"/>
                    <a:srcRect b="0" l="0" r="0" t="0"/>
                    <a:stretch>
                      <a:fillRect/>
                    </a:stretch>
                  </pic:blipFill>
                  <pic:spPr>
                    <a:xfrm>
                      <a:off x="0" y="0"/>
                      <a:ext cx="6696710" cy="494643"/>
                    </a:xfrm>
                    <a:prstGeom prst="rect"/>
                  </pic:spPr>
                </pic:pic>
              </a:graphicData>
            </a:graphic>
          </wp:inline>
        </w:drawing>
      </w:r>
    </w:p>
    <w:p>
      <w:pPr>
        <w:pStyle w:val="Heading3"/>
        <w:spacing w:lineRule="auto"/>
      </w:pPr>
      <w:r>
        <w:rPr/>
        <w:t xml:space="preserve">Service disciplines</w:t>
      </w:r>
    </w:p>
    <w:p>
      <w:pPr>
        <w:numPr>
          <w:ilvl w:val="0"/>
          <w:numId w:val="11"/>
        </w:numPr>
        <w:spacing w:lineRule="auto"/>
      </w:pPr>
      <w:r>
        <w:rPr/>
        <w:t xml:space="preserve">agreed service hours, availability and response objectives;</w:t>
      </w:r>
    </w:p>
    <w:p>
      <w:pPr>
        <w:numPr>
          <w:ilvl w:val="0"/>
          <w:numId w:val="11"/>
        </w:numPr>
        <w:spacing w:lineRule="auto"/>
      </w:pPr>
      <w:r>
        <w:rPr/>
        <w:t xml:space="preserve">health monitoring for application, integrations, data feeds and queues;</w:t>
      </w:r>
    </w:p>
    <w:p>
      <w:pPr>
        <w:numPr>
          <w:ilvl w:val="0"/>
          <w:numId w:val="11"/>
        </w:numPr>
        <w:spacing w:lineRule="auto"/>
      </w:pPr>
      <w:r>
        <w:rPr/>
        <w:t xml:space="preserve">incident severity, communication and post-incident learning;</w:t>
      </w:r>
    </w:p>
    <w:p>
      <w:pPr>
        <w:numPr>
          <w:ilvl w:val="0"/>
          <w:numId w:val="11"/>
        </w:numPr>
        <w:spacing w:lineRule="auto"/>
      </w:pPr>
      <w:r>
        <w:rPr/>
        <w:t xml:space="preserve">change classification, review, testing and rollback;</w:t>
      </w:r>
    </w:p>
    <w:p>
      <w:pPr>
        <w:numPr>
          <w:ilvl w:val="0"/>
          <w:numId w:val="11"/>
        </w:numPr>
        <w:spacing w:lineRule="auto"/>
      </w:pPr>
      <w:r>
        <w:rPr/>
        <w:t xml:space="preserve">restore exercises and continuity procedures;</w:t>
      </w:r>
    </w:p>
    <w:p>
      <w:pPr>
        <w:numPr>
          <w:ilvl w:val="0"/>
          <w:numId w:val="11"/>
        </w:numPr>
        <w:spacing w:lineRule="auto"/>
      </w:pPr>
      <w:r>
        <w:rPr/>
        <w:t xml:space="preserve">operating playbooks, data dictionary and configuration history;</w:t>
      </w:r>
    </w:p>
    <w:p>
      <w:pPr>
        <w:numPr>
          <w:ilvl w:val="0"/>
          <w:numId w:val="11"/>
        </w:numPr>
        <w:spacing w:lineRule="auto"/>
      </w:pPr>
      <w:r>
        <w:rPr/>
        <w:t xml:space="preserve">visible improvement backlog jointly prioritised with TCorp;</w:t>
      </w:r>
    </w:p>
    <w:p>
      <w:pPr>
        <w:numPr>
          <w:ilvl w:val="0"/>
          <w:numId w:val="11"/>
        </w:numPr>
        <w:spacing w:lineRule="auto"/>
      </w:pPr>
      <w:r>
        <w:rPr/>
        <w:t xml:space="preserve">principal and customer feedback converted into measurable changes.</w:t>
      </w:r>
    </w:p>
    <w:p>
      <w:pPr>
        <w:pStyle w:val="Heading1"/>
        <w:spacing w:lineRule="auto"/>
      </w:pPr>
      <w:r>
        <w:rPr/>
        <w:t xml:space="preserve">Part V — Capability Proof, Measurement And Commercial Logic</w:t>
      </w:r>
    </w:p>
    <w:p>
      <w:pPr>
        <w:pStyle w:val="Heading2"/>
        <w:spacing w:lineRule="auto"/>
      </w:pPr>
      <w:r>
        <w:rPr/>
        <w:t xml:space="preserve">Chapter 18 — Why our experience is relevant</w:t>
      </w:r>
    </w:p>
    <w:p>
      <w:pPr>
        <w:pStyle w:val="Heading3"/>
        <w:spacing w:lineRule="auto"/>
      </w:pPr>
      <w:r>
        <w:rPr/>
        <w:t xml:space="preserve">In one minute</w:t>
      </w:r>
    </w:p>
    <w:p>
      <w:pPr>
        <w:spacing w:lineRule="auto"/>
      </w:pPr>
      <w:r>
        <w:rPr/>
        <w:t xml:space="preserve">Sifututor has operated a live education service since 2018 and moved its new SIMS generation into production in May 2025. Its ecosystem coordinates multiple participant groups, operational states, financial evidence, mobile and staff channels, communications, analytics, permissions, monitoring and recovery. That is evidence of platform-operating capability—not evidence of debt-collection performance. </w:t>
      </w:r>
      <w:r>
        <w:rPr/>
        <w:t xml:space="preserve">[CLM-HIS-001–002] [CLM-NAR-001]</w:t>
      </w:r>
    </w:p>
    <w:p>
      <w:pPr>
        <w:pStyle w:val="Heading3"/>
        <w:spacing w:lineRule="auto"/>
      </w:pPr>
      <w:r>
        <w:rPr/>
        <w:t xml:space="preserve">Proven foundations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Sifututor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Relevance to TEKUN Corporation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Truth boundary</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SIMS authoritative operating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 for connected identities, workflows, finance and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 debt or arrears system today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Ripple specialised staff workspace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 for queues, accounts, reconciliation, roles and governed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strategy and controls are new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Kelasapp tenant separation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 for serving separate organisations and finance contexts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platform isolation requires its own testing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Finch conversation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 for multi-channel, multi-brand agent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collection channels must be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Parent/Tutor authenticated apps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 for safe participant self-service and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Customer-in-arrears portal would be new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 for curated, read-only and policy-controlled 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datasets and KPI definitions are new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 testing and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 for operating live services and controlled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service levels and recovery proof must be established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 for playbooks, evidence, human oversight and continuous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not substitute for collection training or legal authority</w:t>
            </w:r>
          </w:p>
        </w:tc>
      </w:tr>
    </w:tbl>
    <w:p>
      <w:pPr>
        <w:spacing w:lineRule="auto"/>
      </w:pPr>
      <w:r>
        <w:rPr/>
      </w:r>
    </w:p>
    <w:p>
      <w:pPr>
        <w:spacing w:lineRule="auto"/>
      </w:pPr>
      <w:r>
        <w:rPr/>
        <w:t xml:space="preserve">[CLM-ARCH-001–004] [CLM-SYS-SIMS-001] [CLM-SYS-RIP-001] [CLM-SYS-KEL-001] [CLM-SYS-FIN-001] [CLM-ANA-001] [CLM-SYS-OPS-001] [CLM-TRU-001] [CLM-RES-001]</w:t>
      </w:r>
    </w:p>
    <w:p>
      <w:pPr>
        <w:pStyle w:val="Heading3"/>
        <w:spacing w:lineRule="auto"/>
      </w:pPr>
      <w:r>
        <w:rPr/>
        <w:t xml:space="preserve">What must be created specifically for collection</w:t>
      </w:r>
    </w:p>
    <w:p>
      <w:pPr>
        <w:numPr>
          <w:ilvl w:val="0"/>
          <w:numId w:val="12"/>
        </w:numPr>
        <w:spacing w:lineRule="auto"/>
      </w:pPr>
      <w:r>
        <w:rPr/>
        <w:t xml:space="preserve">principal and portfolio assignment model;</w:t>
      </w:r>
    </w:p>
    <w:p>
      <w:pPr>
        <w:numPr>
          <w:ilvl w:val="0"/>
          <w:numId w:val="12"/>
        </w:numPr>
        <w:spacing w:lineRule="auto"/>
      </w:pPr>
      <w:r>
        <w:rPr/>
        <w:t xml:space="preserve">debt, instalment, arrears and cohort records;</w:t>
      </w:r>
    </w:p>
    <w:p>
      <w:pPr>
        <w:numPr>
          <w:ilvl w:val="0"/>
          <w:numId w:val="12"/>
        </w:numPr>
        <w:spacing w:lineRule="auto"/>
      </w:pPr>
      <w:r>
        <w:rPr/>
        <w:t xml:space="preserve">configurable treatment strategies and work queues;</w:t>
      </w:r>
    </w:p>
    <w:p>
      <w:pPr>
        <w:numPr>
          <w:ilvl w:val="0"/>
          <w:numId w:val="12"/>
        </w:numPr>
        <w:spacing w:lineRule="auto"/>
      </w:pPr>
      <w:r>
        <w:rPr/>
        <w:t xml:space="preserve">conduct gates for notice, identity, timing, frequency and disclosure;</w:t>
      </w:r>
    </w:p>
    <w:p>
      <w:pPr>
        <w:numPr>
          <w:ilvl w:val="0"/>
          <w:numId w:val="12"/>
        </w:numPr>
        <w:spacing w:lineRule="auto"/>
      </w:pPr>
      <w:r>
        <w:rPr/>
        <w:t xml:space="preserve">promises to pay linked to reconciled evidence;</w:t>
      </w:r>
    </w:p>
    <w:p>
      <w:pPr>
        <w:numPr>
          <w:ilvl w:val="0"/>
          <w:numId w:val="12"/>
        </w:numPr>
        <w:spacing w:lineRule="auto"/>
      </w:pPr>
      <w:r>
        <w:rPr/>
        <w:t xml:space="preserve">complaints, disputes, hardship, cessation and legal holds;</w:t>
      </w:r>
    </w:p>
    <w:p>
      <w:pPr>
        <w:numPr>
          <w:ilvl w:val="0"/>
          <w:numId w:val="12"/>
        </w:numPr>
        <w:spacing w:lineRule="auto"/>
      </w:pPr>
      <w:r>
        <w:rPr/>
        <w:t xml:space="preserve">representative authorisation and competency lifecycle;</w:t>
      </w:r>
    </w:p>
    <w:p>
      <w:pPr>
        <w:numPr>
          <w:ilvl w:val="0"/>
          <w:numId w:val="12"/>
        </w:numPr>
        <w:spacing w:lineRule="auto"/>
      </w:pPr>
      <w:r>
        <w:rPr/>
        <w:t xml:space="preserve">per-principal reporting and regulatory submission support;</w:t>
      </w:r>
    </w:p>
    <w:p>
      <w:pPr>
        <w:numPr>
          <w:ilvl w:val="0"/>
          <w:numId w:val="12"/>
        </w:numPr>
        <w:spacing w:lineRule="auto"/>
      </w:pPr>
      <w:r>
        <w:rPr/>
        <w:t xml:space="preserve">collection operations, scripts, supervision and quality;</w:t>
      </w:r>
    </w:p>
    <w:p>
      <w:pPr>
        <w:numPr>
          <w:ilvl w:val="0"/>
          <w:numId w:val="12"/>
        </w:numPr>
        <w:spacing w:lineRule="auto"/>
      </w:pPr>
      <w:r>
        <w:rPr/>
        <w:t xml:space="preserve">TEKUN-specific integrations, policies, service levels and proof.</w:t>
      </w:r>
    </w:p>
    <w:p>
      <w:pPr>
        <w:pStyle w:val="Heading3"/>
        <w:spacing w:lineRule="auto"/>
      </w:pPr>
      <w:r>
        <w:rPr/>
        <w:t xml:space="preserve">The credible capability claim</w:t>
      </w:r>
    </w:p>
    <w:p>
      <w:pPr>
        <w:ind w:left="284"/>
        <w:jc w:val="both"/>
        <w:spacing w:lineRule="auto"/>
      </w:pPr>
      <w:r>
        <w:rPr/>
        <w:t xml:space="preserve">We have learned how to build and operate complex, multi-stakeholder and financially sensitive live platforms. We propose applying those proven foundations—together with TEKUN Corporation's collection expertise—to create a dedicated collection platform and managed service. The pilot, not our education history, will prove collection outcomes.</w:t>
      </w:r>
    </w:p>
    <w:p>
      <w:pPr>
        <w:pStyle w:val="Heading2"/>
        <w:spacing w:lineRule="auto"/>
      </w:pPr>
      <w:r>
        <w:rPr/>
        <w:t xml:space="preserve">Chapter 19 — Business impact model</w:t>
      </w:r>
    </w:p>
    <w:p>
      <w:pPr>
        <w:pStyle w:val="Heading3"/>
        <w:spacing w:lineRule="auto"/>
      </w:pPr>
      <w:r>
        <w:rPr/>
        <w:t xml:space="preserve">In one minute</w:t>
      </w:r>
    </w:p>
    <w:p>
      <w:pPr>
        <w:spacing w:lineRule="auto"/>
      </w:pPr>
      <w:r>
        <w:rPr/>
        <w:t xml:space="preserve">The platform can influence financial contribution by increasing safe operating capacity, improving verified outcomes, reducing avoidable manual work, protecting client trust and enabling faster onboarding of additional principals. Every effect needs a named measure.</w:t>
      </w:r>
    </w:p>
    <w:p>
      <w:pPr>
        <w:pStyle w:val="Heading3"/>
        <w:spacing w:lineRule="auto"/>
      </w:pPr>
      <w:r>
        <w:rPr/>
        <w:t xml:space="preserve">Impact chain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Leading operational signal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 signal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effect</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portfolio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Completeness, intake acceptance, time to first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Contactability and case throughput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principal onboarding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Guided work and segmentation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Workable queue coverage, right-party 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 promises and time to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effective capacity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 rate and reconciliation 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 collection/recovery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Clearer revenue and fee basis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Customer-treatment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Conduct and complaint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 and service 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retention and regulatory readiness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 and quality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Coaching closure and competency 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team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Scalable operations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timeliness and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Renewal and referral opportunity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appointing organisations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failed-feed rate, restore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Fewer interrupted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protection and confidence</w:t>
            </w:r>
          </w:p>
        </w:tc>
      </w:tr>
    </w:tbl>
    <w:p>
      <w:pPr>
        <w:spacing w:lineRule="auto"/>
      </w:pPr>
      <w:r>
        <w:rPr/>
      </w:r>
    </w:p>
    <w:p>
      <w:pPr>
        <w:pStyle w:val="Heading3"/>
        <w:spacing w:lineRule="auto"/>
      </w:pPr>
      <w:r>
        <w:rPr/>
        <w:t xml:space="preserve">Economic caution</w:t>
      </w:r>
    </w:p>
    <w:p>
      <w:pPr>
        <w:spacing w:lineRule="auto"/>
      </w:pPr>
      <w:r>
        <w:rPr/>
        <w:t xml:space="preserve">Recovery is affected by portfolio vintage, arrears age, balance, product, customer circumstances, data quality, contactability, moratoria, legal state and economic conditions. A fair comparison therefore uses frozen or controlled cohorts and agreed adjustment events. Raw totals alone can reward easy portfolio mix rather than better operation.</w:t>
      </w:r>
    </w:p>
    <w:p>
      <w:pPr>
        <w:pStyle w:val="Heading2"/>
        <w:spacing w:lineRule="auto"/>
      </w:pPr>
      <w:r>
        <w:rPr/>
        <w:t xml:space="preserve">Chapter 20 — Baseline and scorecard</w:t>
      </w:r>
    </w:p>
    <w:p>
      <w:pPr>
        <w:pStyle w:val="Heading3"/>
        <w:spacing w:lineRule="auto"/>
      </w:pPr>
      <w:r>
        <w:rPr/>
        <w:t xml:space="preserve">In one minute</w:t>
      </w:r>
    </w:p>
    <w:p>
      <w:pPr>
        <w:spacing w:lineRule="auto"/>
      </w:pPr>
      <w:r>
        <w:rPr/>
        <w:t xml:space="preserve">“Collection rate” is not a complete definition. The parties must agree numerator, denominator, population, period, exclusions and authoritative source before a target or commercial fee can use it.</w:t>
      </w:r>
    </w:p>
    <w:p>
      <w:pPr>
        <w:pStyle w:val="Heading3"/>
        <w:spacing w:lineRule="auto"/>
      </w:pPr>
      <w:r>
        <w:rPr/>
        <w:t xml:space="preserve">Balanced scorecard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indicators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matters</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coverage, right-party contact, promises, kept promises, time to first action, cases per 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activity and workflow health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collected, collection rate, recovery rate, net recovery, cost-to-collect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verified financial effect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Ageing, PAR where appropriate, roll rate, cure rate, write-off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movement and risk, not only cash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treatment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resolution time, hardship outcomes, dispute age, cessation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Protects fairness and trust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notice, identity, disclosure, payment-handling, representative and data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Proves whether the process stayed inside approved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incidents, restore time, backup/restore evidence, failed feeds, reconciliation 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service dependability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principals, onboarding lead time, capacity headroom, renewal and contribution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whether capability compounds</w:t>
            </w:r>
          </w:p>
        </w:tc>
      </w:tr>
    </w:tbl>
    <w:p>
      <w:pPr>
        <w:spacing w:lineRule="auto"/>
      </w:pPr>
      <w:r>
        <w:rPr/>
      </w:r>
    </w:p>
    <w:p>
      <w:pPr>
        <w:pStyle w:val="Heading3"/>
        <w:spacing w:lineRule="auto"/>
      </w:pPr>
      <w:r>
        <w:rPr/>
        <w:t xml:space="preserve">Core metric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Governed definition starter</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Right-party contact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 customer conversations ÷ valid contact attempts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Kept-promise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Promises due that were fulfilled within agreed amount/date tolerance ÷ promises due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qualifying amount received ÷ agreed amount due for the defined population and period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amount recovered from a named frozen cohort ÷ opening value of that cohort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Cost-to-collect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Agreed attributable collection cost ÷ reconciled qualifying amount collected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Roll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moving from one ageing bucket to the next worse bucket ÷ accounts in the starting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Delinquent accounts returning to current under the agreed definition ÷ starting delinquent accounts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Cessation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Qualifying cases stopped within the agreed window ÷ all cases requiring cessation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 ageing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and count of unmatched payment evidence by age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onboarding lead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Days from approved mobilisation input to first authorised collection action</w:t>
            </w:r>
          </w:p>
        </w:tc>
      </w:tr>
    </w:tbl>
    <w:p>
      <w:pPr>
        <w:spacing w:lineRule="auto"/>
      </w:pPr>
      <w:r>
        <w:rPr/>
      </w:r>
    </w:p>
    <w:p>
      <w:pPr>
        <w:spacing w:lineRule="auto"/>
      </w:pPr>
      <w:r>
        <w:rPr/>
        <w:t xml:space="preserve">The full KPI dictionary must name source, owner, frequency, exclusions and misinterpretation risk. See Appendix D and the governed research framework.</w:t>
      </w:r>
    </w:p>
    <w:p>
      <w:pPr>
        <w:pStyle w:val="Heading2"/>
        <w:spacing w:lineRule="auto"/>
      </w:pPr>
      <w:r>
        <w:rPr/>
        <w:t xml:space="preserve">Chapter 21 — Bounded pilot</w:t>
      </w:r>
    </w:p>
    <w:p>
      <w:pPr>
        <w:pStyle w:val="Heading3"/>
        <w:spacing w:lineRule="auto"/>
      </w:pPr>
      <w:r>
        <w:rPr/>
        <w:t xml:space="preserve">In one minute</w:t>
      </w:r>
    </w:p>
    <w:p>
      <w:pPr>
        <w:spacing w:lineRule="auto"/>
      </w:pPr>
      <w:r>
        <w:rPr/>
        <w:t xml:space="preserve">A pilot creates TEKUN-specific proof while limiting operational, client and implementation risk. It should cover one principal, product or arrears cohort large enough to measure but bounded enough to govern.</w:t>
      </w:r>
    </w:p>
    <w:p>
      <w:pPr>
        <w:pStyle w:val="Heading3"/>
        <w:spacing w:lineRule="auto"/>
      </w:pPr>
      <w:r>
        <w:rPr/>
        <w:t xml:space="preserve">Pilot design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rule</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principal or one defined cohort within one principal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Prefer 6–12 months of comparable history using written definitions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Freeze account list, value, arrears stage and starting conditions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Matched hold-out or defensible historical comparison where feasible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 enough to observe contact, promise and payment cycles; decide after discovery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Agreed collection/recovery and kept-promise measures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Guardrails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Conduct, complaint, hardship, cessation, reconciliation and platform-health measures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operating review; monthly performance and compliance reviews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Expand, adjust, re-baseline or stop based on evidence</w:t>
            </w:r>
          </w:p>
        </w:tc>
      </w:tr>
    </w:tbl>
    <w:p>
      <w:pPr>
        <w:spacing w:lineRule="auto"/>
      </w:pPr>
      <w:r>
        <w:rPr/>
      </w:r>
    </w:p>
    <w:p>
      <w:pPr>
        <w:spacing w:lineRule="auto"/>
      </w:pPr>
      <w:r>
        <w:rPr/>
        <w:drawing>
          <wp:inline distB="0" distL="0" distR="0" distT="0">
            <wp:extent cx="6696710" cy="1293683"/>
            <wp:effectExtent b="0" l="0" r="0" t="0"/>
            <wp:docPr id="24" name="image-zLZWWMsSQkk3Qp53-JHsD.png"/>
            <a:graphic>
              <a:graphicData uri="http://schemas.openxmlformats.org/drawingml/2006/picture">
                <pic:pic>
                  <pic:nvPicPr>
                    <pic:cNvPr id="24" name="image-zLZWWMsSQkk3Qp53-JHsD.png" descr="Collection partnership diagram 12"/>
                    <pic:cNvPicPr/>
                  </pic:nvPicPr>
                  <pic:blipFill>
                    <a:blip r:embed="rId29" cstate="print"/>
                    <a:srcRect b="0" l="0" r="0" t="0"/>
                    <a:stretch>
                      <a:fillRect/>
                    </a:stretch>
                  </pic:blipFill>
                  <pic:spPr>
                    <a:xfrm>
                      <a:off x="0" y="0"/>
                      <a:ext cx="6696710" cy="1293683"/>
                    </a:xfrm>
                    <a:prstGeom prst="rect"/>
                  </pic:spPr>
                </pic:pic>
              </a:graphicData>
            </a:graphic>
          </wp:inline>
        </w:drawing>
      </w:r>
    </w:p>
    <w:p>
      <w:pPr>
        <w:spacing w:lineRule="auto"/>
      </w:pPr>
      <w:r>
        <w:rPr/>
        <w:t xml:space="preserve">A pilot that improves recovery while creating unacceptable customer-treatment or control exceptions has not succeeded.</w:t>
      </w:r>
    </w:p>
    <w:p>
      <w:pPr>
        <w:pStyle w:val="Heading2"/>
        <w:spacing w:lineRule="auto"/>
      </w:pPr>
      <w:r>
        <w:rPr/>
        <w:t xml:space="preserve">Chapter 22 — Commercial principles</w:t>
      </w:r>
    </w:p>
    <w:p>
      <w:pPr>
        <w:pStyle w:val="Heading3"/>
        <w:spacing w:lineRule="auto"/>
      </w:pPr>
      <w:r>
        <w:rPr/>
        <w:t xml:space="preserve">In one minute</w:t>
      </w:r>
    </w:p>
    <w:p>
      <w:pPr>
        <w:spacing w:lineRule="auto"/>
      </w:pPr>
      <w:r>
        <w:rPr/>
        <w:t xml:space="preserve">Pricing cannot be responsibly decided from public information. Portfolio size, ageing, channels, staffing, technology scope, integrations, current cost, baseline and risk allocation are unknown. The document therefore defines principles rather than a price.</w:t>
      </w:r>
    </w:p>
    <w:p>
      <w:pPr>
        <w:pStyle w:val="Heading3"/>
        <w:spacing w:lineRule="auto"/>
      </w:pPr>
      <w:r>
        <w:rPr/>
        <w:t xml:space="preserve">Commercial archetypes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Appropriate use</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platform and operating fee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Predictable and supports essential control investment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Weak direct outcome alignment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Foundation, minimum team and platform service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Per-account or capacity fee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Scales with workload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reward volume rather than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account states and workable population are clear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 fee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outcome alignment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Conduct pressure, easy-cohort bias and baseline disputes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with strict definitions, guardrails and reconciled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Gain-share above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Pays for measured improvement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Entirely dependent on baseline 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a defensible pilot/baseline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Hybrid fixed plus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Funds reliable operation while sharing upside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governance and calculation 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direction after discovery</w:t>
            </w:r>
          </w:p>
        </w:tc>
      </w:tr>
    </w:tbl>
    <w:p>
      <w:pPr>
        <w:spacing w:lineRule="auto"/>
      </w:pPr>
      <w:r>
        <w:rPr/>
      </w:r>
    </w:p>
    <w:p>
      <w:pPr>
        <w:pStyle w:val="Heading3"/>
        <w:spacing w:lineRule="auto"/>
      </w:pPr>
      <w:r>
        <w:rPr/>
        <w:t xml:space="preserve">Recommended principle</w:t>
      </w:r>
    </w:p>
    <w:p>
      <w:pPr>
        <w:ind w:left="284"/>
        <w:jc w:val="both"/>
        <w:spacing w:lineRule="auto"/>
      </w:pPr>
      <w:r>
        <w:rPr/>
        <w:t xml:space="preserve">Fund the minimum platform, compliance and operating capability with a predictable component, then link a controlled variable component to independently defined and reconciled outcomes, subject to customer-treatment and service guardrails.</w:t>
      </w:r>
    </w:p>
    <w:p>
      <w:pPr>
        <w:spacing w:lineRule="auto"/>
      </w:pPr>
      <w:r>
        <w:rPr/>
        <w:t xml:space="preserve">No commercial model should reward contact volume alone or allow financial targets to bypass complaints, hardship, cessation or conduct rules.</w:t>
      </w:r>
    </w:p>
    <w:p>
      <w:pPr>
        <w:pStyle w:val="Heading1"/>
        <w:spacing w:lineRule="auto"/>
      </w:pPr>
      <w:r>
        <w:rPr/>
        <w:t xml:space="preserve">Part VI — Milestones And Roadmap</w:t>
      </w:r>
    </w:p>
    <w:p>
      <w:pPr>
        <w:pStyle w:val="Heading2"/>
        <w:spacing w:lineRule="auto"/>
      </w:pPr>
      <w:r>
        <w:rPr/>
        <w:t xml:space="preserve">Chapter 23 — Milestones to date</w:t>
      </w:r>
    </w:p>
    <w:p>
      <w:pPr>
        <w:pStyle w:val="Heading3"/>
        <w:spacing w:lineRule="auto"/>
      </w:pPr>
      <w:r>
        <w:rPr/>
        <w:t xml:space="preserve">In one minute</w:t>
      </w:r>
    </w:p>
    <w:p>
      <w:pPr>
        <w:spacing w:lineRule="auto"/>
      </w:pPr>
      <w:r>
        <w:rPr/>
        <w:t xml:space="preserve">The proposal is credible because both sides bring operating history: TEKUN Corporation brings established collection relationships and domain authority; our team brings years of live multi-stakeholder platform operation and a modern connected ecosystem. The partnership itself remains proposed.</w:t>
      </w:r>
    </w:p>
    <w:p>
      <w:pPr>
        <w:pStyle w:val="Heading3"/>
        <w:spacing w:lineRule="auto"/>
      </w:pPr>
      <w:r>
        <w:rPr/>
        <w:t xml:space="preserve">Dual-track history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platform-operating evidence</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states corporate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collection call centre established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 live tutoring operation begins using its previous 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2018–2024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collection service continues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operations accumulate service, participant and finance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May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SIMS goes live in production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Specialised staff tools, apps, communications, analytics, monitoring and recovery expand around the 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May–August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Awqaf Education and MOCCIS appointments/agreements announced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operating foundation continues to mature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 proposed next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Evaluate an integrated platform and managed service partnership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proven platform disciplines to a dedicated collection domain</w:t>
            </w:r>
          </w:p>
        </w:tc>
      </w:tr>
    </w:tbl>
    <w:p>
      <w:pPr>
        <w:spacing w:lineRule="auto"/>
      </w:pPr>
      <w:r>
        <w:rPr/>
      </w:r>
    </w:p>
    <w:p>
      <w:pPr>
        <w:spacing w:lineRule="auto"/>
      </w:pPr>
      <w:r>
        <w:rPr/>
        <w:t xml:space="preserve">[CLM-001] [CLM-004] [CLM-013–016] [CLM-HIS-001–002]</w:t>
      </w:r>
    </w:p>
    <w:p>
      <w:pPr>
        <w:spacing w:lineRule="auto"/>
      </w:pPr>
      <w:r>
        <w:rPr/>
        <w:drawing>
          <wp:inline distB="0" distL="0" distR="0" distT="0">
            <wp:extent cx="6696710" cy="6293505"/>
            <wp:effectExtent b="0" l="0" r="0" t="0"/>
            <wp:docPr id="26" name="image-NTBpVqHZOjfdWEu8J5V_r.png"/>
            <a:graphic>
              <a:graphicData uri="http://schemas.openxmlformats.org/drawingml/2006/picture">
                <pic:pic>
                  <pic:nvPicPr>
                    <pic:cNvPr id="26" name="image-NTBpVqHZOjfdWEu8J5V_r.png" descr="Collection partnership diagram 13"/>
                    <pic:cNvPicPr/>
                  </pic:nvPicPr>
                  <pic:blipFill>
                    <a:blip r:embed="rId31" cstate="print"/>
                    <a:srcRect b="0" l="0" r="0" t="0"/>
                    <a:stretch>
                      <a:fillRect/>
                    </a:stretch>
                  </pic:blipFill>
                  <pic:spPr>
                    <a:xfrm>
                      <a:off x="0" y="0"/>
                      <a:ext cx="6696710" cy="6293505"/>
                    </a:xfrm>
                    <a:prstGeom prst="rect"/>
                  </pic:spPr>
                </pic:pic>
              </a:graphicData>
            </a:graphic>
          </wp:inline>
        </w:drawing>
      </w:r>
    </w:p>
    <w:p>
      <w:pPr>
        <w:pStyle w:val="Heading2"/>
        <w:spacing w:lineRule="auto"/>
      </w:pPr>
      <w:r>
        <w:rPr/>
        <w:t xml:space="preserve">Chapter 24 — Detailed partnership roadmap</w:t>
      </w:r>
    </w:p>
    <w:p>
      <w:pPr>
        <w:pStyle w:val="Heading3"/>
        <w:spacing w:lineRule="auto"/>
      </w:pPr>
      <w:r>
        <w:rPr/>
        <w:t xml:space="preserve">In one minute</w:t>
      </w:r>
    </w:p>
    <w:p>
      <w:pPr>
        <w:spacing w:lineRule="auto"/>
      </w:pPr>
      <w:r>
        <w:rPr/>
        <w:t xml:space="preserve">The roadmap advances when evidence says the next level is safe and valuable. It does not publish fragile dates or completion percentages. Discovery may later attach delivery windows after portfolio access, legal direction, data quality and resources are confirmed.</w:t>
      </w:r>
    </w:p>
    <w:p>
      <w:pPr>
        <w:pStyle w:val="Heading3"/>
        <w:spacing w:lineRule="auto"/>
      </w:pPr>
      <w:r>
        <w:rPr/>
        <w:t xml:space="preserve">Foundation and controlled pilot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7.6666666666667"/>
        <w:gridCol w:w="1757.6666666666667"/>
        <w:gridCol w:w="1757.6666666666667"/>
        <w:gridCol w:w="1757.6666666666667"/>
        <w:gridCol w:w="1757.6666666666667"/>
        <w:gridCol w:w="1757.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capabilities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gate</w:t>
            </w:r>
          </w:p>
        </w:tc>
      </w:tr>
      <w:tblGrid>
        <w:gridCol w:w="1757.6666666666667"/>
        <w:gridCol w:w="1757.6666666666667"/>
        <w:gridCol w:w="1757.6666666666667"/>
        <w:gridCol w:w="1757.6666666666667"/>
        <w:gridCol w:w="1757.6666666666667"/>
        <w:gridCol w:w="1757.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H0 — Align and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 shared truth and lawful operating boundary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Current-state lifecycle; portfolio segmentation; provider/system map; RACI; regulatory/privacy map; KPI definitions; pilot cohort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access; compliance/counsel; anonymised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Removes design ambiguity and makes measurement fair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Signed discovery pack; baseline and controls accepted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H1 — Trusted operating foundation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 one bounded portfolio visible, controlled and auditable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Principal/account core; intake; roles; queues; interaction log; payment evidence; export; monitoring; recovery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H0; secure data transfer; policy templates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dependable operating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reconciliation accepted; access tests pass; restore demonstrated; users trained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H2 — Controlled pilot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authorised work with enforceable treatment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contact limits; notices; promises; complaints; disputes; hardship/legal holds; cessation; QA; representative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H1; approved scripts/notices; staffing/authorisation; payment feed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Consistent execution and first TEKUN-specific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cycle; outcome evidence; guardrails inside threshold; no unresolved critical control failure</w:t>
            </w:r>
          </w:p>
        </w:tc>
      </w:tr>
    </w:tbl>
    <w:p>
      <w:pPr>
        <w:spacing w:lineRule="auto"/>
      </w:pPr>
      <w:r>
        <w:rPr/>
      </w:r>
    </w:p>
    <w:p>
      <w:pPr>
        <w:pStyle w:val="Heading3"/>
        <w:spacing w:lineRule="auto"/>
      </w:pPr>
      <w:r>
        <w:rPr/>
        <w:t xml:space="preserve">Scale and governed expansion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7.6666666666667"/>
        <w:gridCol w:w="1757.6666666666667"/>
        <w:gridCol w:w="1757.6666666666667"/>
        <w:gridCol w:w="1757.6666666666667"/>
        <w:gridCol w:w="1757.6666666666667"/>
        <w:gridCol w:w="1757.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capabilities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gate</w:t>
            </w:r>
          </w:p>
        </w:tc>
      </w:tr>
      <w:tblGrid>
        <w:gridCol w:w="1757.6666666666667"/>
        <w:gridCol w:w="1757.6666666666667"/>
        <w:gridCol w:w="1757.6666666666667"/>
        <w:gridCol w:w="1757.6666666666667"/>
        <w:gridCol w:w="1757.6666666666667"/>
        <w:gridCol w:w="1757.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H3 — Integrated performance scale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Extend across a principal or broader cohort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feeds; reconciliation; approvals; principal reporting; capacity planning; service governance; onboarding playbook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H2 evidence; integration owners; commercial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capacity and clearer cost/performance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accepts reporting; service and reconciliation targets stable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H4 — Multi-principal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Replicate safely across appointing organisations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principal policy; segregated reports/portals; onboarding templates; cross-principal control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H3 stability; principal agreements; isolation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principals without proportional reinvention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principal passes policy, data, isolation and reconciliation acceptance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H5 — Governed intelligence and expansion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 accumulated evidence into stronger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Cohort insight; quality analytics; explainable assistance; forecasting; optional channels and portfolio types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 history; human oversight; legal/ADMP review; mature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strategy, reduced avoidable work and stronger growth proposition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Assistance/models validated, monitored, explainable and approved</w:t>
            </w:r>
          </w:p>
        </w:tc>
      </w:tr>
    </w:tbl>
    <w:p>
      <w:pPr>
        <w:spacing w:lineRule="auto"/>
      </w:pPr>
      <w:r>
        <w:rPr/>
      </w:r>
    </w:p>
    <w:p>
      <w:pPr>
        <w:spacing w:lineRule="auto"/>
      </w:pPr>
      <w:r>
        <w:rPr/>
        <w:drawing>
          <wp:inline distB="0" distL="0" distR="0" distT="0">
            <wp:extent cx="6696710" cy="392919"/>
            <wp:effectExtent b="0" l="0" r="0" t="0"/>
            <wp:docPr id="28" name="image-UvD3uD_6YkKrhKB4n1JI3.png"/>
            <a:graphic>
              <a:graphicData uri="http://schemas.openxmlformats.org/drawingml/2006/picture">
                <pic:pic>
                  <pic:nvPicPr>
                    <pic:cNvPr id="28" name="image-UvD3uD_6YkKrhKB4n1JI3.png" descr="Collection partnership diagram 14"/>
                    <pic:cNvPicPr/>
                  </pic:nvPicPr>
                  <pic:blipFill>
                    <a:blip r:embed="rId33" cstate="print"/>
                    <a:srcRect b="0" l="0" r="0" t="0"/>
                    <a:stretch>
                      <a:fillRect/>
                    </a:stretch>
                  </pic:blipFill>
                  <pic:spPr>
                    <a:xfrm>
                      <a:off x="0" y="0"/>
                      <a:ext cx="6696710" cy="392919"/>
                    </a:xfrm>
                    <a:prstGeom prst="rect"/>
                  </pic:spPr>
                </pic:pic>
              </a:graphicData>
            </a:graphic>
          </wp:inline>
        </w:drawing>
      </w:r>
    </w:p>
    <w:p>
      <w:pPr>
        <w:pStyle w:val="Heading3"/>
        <w:spacing w:lineRule="auto"/>
      </w:pPr>
      <w:r>
        <w:rPr/>
        <w:t xml:space="preserve">Cross-horizon rules</w:t>
      </w:r>
    </w:p>
    <w:p>
      <w:pPr>
        <w:numPr>
          <w:ilvl w:val="0"/>
          <w:numId w:val="13"/>
        </w:numPr>
        <w:spacing w:lineRule="auto"/>
      </w:pPr>
      <w:r>
        <w:rPr/>
        <w:t xml:space="preserve">Customer-treatment and compliance evidence can stop expansion even when recovery improves.</w:t>
      </w:r>
    </w:p>
    <w:p>
      <w:pPr>
        <w:numPr>
          <w:ilvl w:val="0"/>
          <w:numId w:val="13"/>
        </w:numPr>
        <w:spacing w:lineRule="auto"/>
      </w:pPr>
      <w:r>
        <w:rPr/>
        <w:t xml:space="preserve">A failed or ambiguous pilot is adjusted, re-baselined or stopped safely.</w:t>
      </w:r>
    </w:p>
    <w:p>
      <w:pPr>
        <w:numPr>
          <w:ilvl w:val="0"/>
          <w:numId w:val="13"/>
        </w:numPr>
        <w:spacing w:lineRule="auto"/>
      </w:pPr>
      <w:r>
        <w:rPr/>
        <w:t xml:space="preserve">TEKUN ownership, documentation, usable export and transition readiness are maintained at every horizon.</w:t>
      </w:r>
    </w:p>
    <w:p>
      <w:pPr>
        <w:numPr>
          <w:ilvl w:val="0"/>
          <w:numId w:val="13"/>
        </w:numPr>
        <w:spacing w:lineRule="auto"/>
      </w:pPr>
      <w:r>
        <w:rPr/>
        <w:t xml:space="preserve">New principals reuse the onboarding pattern but receive their own policy, data and acceptance.</w:t>
      </w:r>
    </w:p>
    <w:p>
      <w:pPr>
        <w:numPr>
          <w:ilvl w:val="0"/>
          <w:numId w:val="13"/>
        </w:numPr>
        <w:spacing w:lineRule="auto"/>
      </w:pPr>
      <w:r>
        <w:rPr/>
        <w:t xml:space="preserve">AI is later leverage, not the foundation; humans retain consequential authority.</w:t>
      </w:r>
    </w:p>
    <w:p>
      <w:pPr>
        <w:pStyle w:val="Heading2"/>
        <w:spacing w:lineRule="auto"/>
      </w:pPr>
      <w:r>
        <w:rPr/>
        <w:t xml:space="preserve">Chapter 25 — Long-term partnership value</w:t>
      </w:r>
    </w:p>
    <w:p>
      <w:pPr>
        <w:pStyle w:val="Heading3"/>
        <w:spacing w:lineRule="auto"/>
      </w:pPr>
      <w:r>
        <w:rPr/>
        <w:t xml:space="preserve">In one minute</w:t>
      </w:r>
    </w:p>
    <w:p>
      <w:pPr>
        <w:spacing w:lineRule="auto"/>
      </w:pPr>
      <w:r>
        <w:rPr/>
        <w:t xml:space="preserve">The relationship should become durable because it keeps producing measurable value—not because TEKUN Corporation cannot leave. The strongest advantages accumulate through operating experience, integrations, trained people, trusted governance and portfolio intelligence.</w:t>
      </w:r>
    </w:p>
    <w:p>
      <w:pPr>
        <w:spacing w:lineRule="auto"/>
      </w:pPr>
      <w:r>
        <w:rPr/>
        <w:drawing>
          <wp:inline distB="0" distL="0" distR="0" distT="0">
            <wp:extent cx="6696710" cy="999381"/>
            <wp:effectExtent b="0" l="0" r="0" t="0"/>
            <wp:docPr id="30" name="image-VWlM1oOVdetRGDzDYKdiA.png"/>
            <a:graphic>
              <a:graphicData uri="http://schemas.openxmlformats.org/drawingml/2006/picture">
                <pic:pic>
                  <pic:nvPicPr>
                    <pic:cNvPr id="30" name="image-VWlM1oOVdetRGDzDYKdiA.png" descr="Collection partnership diagram 15"/>
                    <pic:cNvPicPr/>
                  </pic:nvPicPr>
                  <pic:blipFill>
                    <a:blip r:embed="rId35" cstate="print"/>
                    <a:srcRect b="0" l="0" r="0" t="0"/>
                    <a:stretch>
                      <a:fillRect/>
                    </a:stretch>
                  </pic:blipFill>
                  <pic:spPr>
                    <a:xfrm>
                      <a:off x="0" y="0"/>
                      <a:ext cx="6696710" cy="999381"/>
                    </a:xfrm>
                    <a:prstGeom prst="rect"/>
                  </pic:spPr>
                </pic:pic>
              </a:graphicData>
            </a:graphic>
          </wp:inline>
        </w:drawing>
      </w:r>
    </w:p>
    <w:p>
      <w:pPr>
        <w:pStyle w:val="Heading3"/>
        <w:spacing w:lineRule="auto"/>
      </w:pPr>
      <w:r>
        <w:rPr/>
        <w:t xml:space="preserve">How value compounds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 deepens</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Measurable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 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Comparable history across cohorts and principals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knowledge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playbooks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of which strategies work for which portfolio conditions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Trained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pilot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Coaching, competency history and reusable leadership capacity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data/payment feeds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Hardened interfaces and faster new-principal onboarding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Forums and authority matrix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Trusted decisions, audit evidence and predictable escalation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and restore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Longitudinal availability and incident learning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 and cohort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Cross-period insight without compromising principal segregation</w:t>
            </w:r>
          </w:p>
        </w:tc>
      </w:tr>
    </w:tbl>
    <w:p>
      <w:pPr>
        <w:spacing w:lineRule="auto"/>
      </w:pPr>
      <w:r>
        <w:rPr/>
      </w:r>
    </w:p>
    <w:p>
      <w:pPr>
        <w:pStyle w:val="Heading3"/>
        <w:spacing w:lineRule="auto"/>
      </w:pPr>
      <w:r>
        <w:rPr/>
        <w:t xml:space="preserve">Transition-ready by design</w:t>
      </w:r>
    </w:p>
    <w:p>
      <w:pPr>
        <w:spacing w:lineRule="auto"/>
      </w:pPr>
      <w:r>
        <w:rPr/>
        <w:t xml:space="preserve">TEKUN Corporation should be able to leave cleanly with everything it needs—and choose to stay because the partnership is valuable. This strengthens procurement, audit and governance confidence while making continuous performance the reason to renew. Maintain from day one:</w:t>
      </w:r>
    </w:p>
    <w:p>
      <w:pPr>
        <w:numPr>
          <w:ilvl w:val="0"/>
          <w:numId w:val="14"/>
        </w:numPr>
        <w:spacing w:lineRule="auto"/>
      </w:pPr>
      <w:r>
        <w:rPr/>
        <w:t xml:space="preserve">complete usable data export;</w:t>
      </w:r>
    </w:p>
    <w:p>
      <w:pPr>
        <w:numPr>
          <w:ilvl w:val="0"/>
          <w:numId w:val="14"/>
        </w:numPr>
        <w:spacing w:lineRule="auto"/>
      </w:pPr>
      <w:r>
        <w:rPr/>
        <w:t xml:space="preserve">current configuration and data dictionary;</w:t>
      </w:r>
    </w:p>
    <w:p>
      <w:pPr>
        <w:numPr>
          <w:ilvl w:val="0"/>
          <w:numId w:val="14"/>
        </w:numPr>
        <w:spacing w:lineRule="auto"/>
      </w:pPr>
      <w:r>
        <w:rPr/>
        <w:t xml:space="preserve">integration specifications;</w:t>
      </w:r>
    </w:p>
    <w:p>
      <w:pPr>
        <w:numPr>
          <w:ilvl w:val="0"/>
          <w:numId w:val="14"/>
        </w:numPr>
        <w:spacing w:lineRule="auto"/>
      </w:pPr>
      <w:r>
        <w:rPr/>
        <w:t xml:space="preserve">operating procedures and runbooks;</w:t>
      </w:r>
    </w:p>
    <w:p>
      <w:pPr>
        <w:numPr>
          <w:ilvl w:val="0"/>
          <w:numId w:val="14"/>
        </w:numPr>
        <w:spacing w:lineRule="auto"/>
      </w:pPr>
      <w:r>
        <w:rPr/>
        <w:t xml:space="preserve">open case, promise, dispute, hardship and legal registers;</w:t>
      </w:r>
    </w:p>
    <w:p>
      <w:pPr>
        <w:numPr>
          <w:ilvl w:val="0"/>
          <w:numId w:val="14"/>
        </w:numPr>
        <w:spacing w:lineRule="auto"/>
      </w:pPr>
      <w:r>
        <w:rPr/>
        <w:t xml:space="preserve">full permitted interaction and decision history;</w:t>
      </w:r>
    </w:p>
    <w:p>
      <w:pPr>
        <w:numPr>
          <w:ilvl w:val="0"/>
          <w:numId w:val="14"/>
        </w:numPr>
        <w:spacing w:lineRule="auto"/>
      </w:pPr>
      <w:r>
        <w:rPr/>
        <w:t xml:space="preserve">change and decision logs;</w:t>
      </w:r>
    </w:p>
    <w:p>
      <w:pPr>
        <w:numPr>
          <w:ilvl w:val="0"/>
          <w:numId w:val="14"/>
        </w:numPr>
        <w:spacing w:lineRule="auto"/>
      </w:pPr>
      <w:r>
        <w:rPr/>
        <w:t xml:space="preserve">a tested transition plan and agreed assistance terms.</w:t>
      </w:r>
    </w:p>
    <w:p>
      <w:pPr>
        <w:pStyle w:val="Heading1"/>
        <w:spacing w:lineRule="auto"/>
      </w:pPr>
      <w:r>
        <w:rPr/>
        <w:t xml:space="preserve">Part VII — Decisions And Assurance</w:t>
      </w:r>
    </w:p>
    <w:p>
      <w:pPr>
        <w:pStyle w:val="Heading2"/>
        <w:spacing w:lineRule="auto"/>
      </w:pPr>
      <w:r>
        <w:rPr/>
        <w:t xml:space="preserve">Chapter 26 — Discovery and decision agenda</w:t>
      </w:r>
    </w:p>
    <w:p>
      <w:pPr>
        <w:pStyle w:val="Heading3"/>
        <w:spacing w:lineRule="auto"/>
      </w:pPr>
      <w:r>
        <w:rPr/>
        <w:t xml:space="preserve">In one minute</w:t>
      </w:r>
    </w:p>
    <w:p>
      <w:pPr>
        <w:spacing w:lineRule="auto"/>
      </w:pPr>
      <w:r>
        <w:rPr/>
        <w:t xml:space="preserve">The public research is sufficient to define the opportunity, but private operating facts determine the actual solution. Discovery should begin with objectives and regulatory/authority boundaries, then move through portfolios, current providers/systems, customer treatment, money flow, data and the pilot.</w:t>
      </w:r>
    </w:p>
    <w:p>
      <w:pPr>
        <w:pStyle w:val="Heading3"/>
        <w:spacing w:lineRule="auto"/>
      </w:pPr>
      <w:r>
        <w:rPr/>
        <w:t xml:space="preserve">Tier-1 agenda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Decisions required before detailed design</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 outcomes, main constraint and 12-month success definition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Applicable pathway per portfolio; current authorisation/application/declaration status; partner authority model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organisations, product types, contracts and reporting needs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value, ageing, geography, history and data quality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Channels, teams, queues, strategies, notices, promises and escalation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Providers/systems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provider roles, contracts, allocation, systems and integration constraints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treatment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contact, complaints, hardship, disputes, vulnerability and cessation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Money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destination, receipt/statement, reconciliation authority and stop event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flows, controller/processor roles, hosting, access, retention, breach and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Cohort, baseline, comparator, outcomes, guardrails and decision gate</w:t>
            </w:r>
          </w:p>
        </w:tc>
      </w:tr>
    </w:tbl>
    <w:p>
      <w:pPr>
        <w:spacing w:lineRule="auto"/>
      </w:pPr>
      <w:r>
        <w:rPr/>
      </w:r>
    </w:p>
    <w:p>
      <w:pPr>
        <w:spacing w:lineRule="auto"/>
      </w:pPr>
      <w:r>
        <w:rPr/>
        <w:t xml:space="preserve">The meeting-ready 24-question guide is maintained separately in the planning pack. Raw personal data is not required during initial discovery.</w:t>
      </w:r>
    </w:p>
    <w:p>
      <w:pPr>
        <w:pStyle w:val="Heading2"/>
        <w:spacing w:lineRule="auto"/>
      </w:pPr>
      <w:r>
        <w:rPr/>
        <w:t xml:space="preserve">Chapter 27 — Risk, assurance and transition readiness</w:t>
      </w:r>
    </w:p>
    <w:p>
      <w:pPr>
        <w:pStyle w:val="Heading3"/>
        <w:spacing w:lineRule="auto"/>
      </w:pPr>
      <w:r>
        <w:rPr/>
        <w:t xml:space="preserve">In one minute</w:t>
      </w:r>
    </w:p>
    <w:p>
      <w:pPr>
        <w:spacing w:lineRule="auto"/>
      </w:pPr>
      <w:r>
        <w:rPr/>
        <w:t xml:space="preserve">Assurance is the evidence that ownership, policy and controls work in real operation. It includes prevention, detection, response, recovery, audit and clean transition.</w:t>
      </w:r>
    </w:p>
    <w:p>
      <w:pPr>
        <w:pStyle w:val="Heading3"/>
        <w:spacing w:lineRule="auto"/>
      </w:pPr>
      <w:r>
        <w:rPr/>
        <w:t xml:space="preserve">Assurance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expected</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only authorised people acting?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role, competency and authorisation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actions permitted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Notice, contact, consent, hold and authority gates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Was the customer treated fairly?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Interaction record, quality sample, complaint/hardship handling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collection result real?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payment evidence and cohort definition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Did payment stop action correctly?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Cessation timestamp and post-stop exception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each principal separated?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Access/isolation tests and principal-scoped reporting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an incident be understood?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 audit, incident and breach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service recover?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health, recovery objectives and restore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TEKUN govern or transition?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export and annual transition exercise</w:t>
            </w:r>
          </w:p>
        </w:tc>
      </w:tr>
    </w:tbl>
    <w:p>
      <w:pPr>
        <w:spacing w:lineRule="auto"/>
      </w:pPr>
      <w:r>
        <w:rPr/>
      </w:r>
    </w:p>
    <w:p>
      <w:pPr>
        <w:pStyle w:val="Heading3"/>
        <w:spacing w:lineRule="auto"/>
      </w:pPr>
      <w:r>
        <w:rPr/>
        <w:t xml:space="preserve">Claims that always require owner approval</w:t>
      </w:r>
    </w:p>
    <w:p>
      <w:pPr>
        <w:numPr>
          <w:ilvl w:val="0"/>
          <w:numId w:val="15"/>
        </w:numPr>
        <w:spacing w:lineRule="auto"/>
      </w:pPr>
      <w:r>
        <w:rPr/>
        <w:t xml:space="preserve">financial results, savings, profit, targets or pricing;</w:t>
      </w:r>
    </w:p>
    <w:p>
      <w:pPr>
        <w:numPr>
          <w:ilvl w:val="0"/>
          <w:numId w:val="15"/>
        </w:numPr>
        <w:spacing w:lineRule="auto"/>
      </w:pPr>
      <w:r>
        <w:rPr/>
        <w:t xml:space="preserve">active principal, portfolio or account figures;</w:t>
      </w:r>
    </w:p>
    <w:p>
      <w:pPr>
        <w:numPr>
          <w:ilvl w:val="0"/>
          <w:numId w:val="15"/>
        </w:numPr>
        <w:spacing w:lineRule="auto"/>
      </w:pPr>
      <w:r>
        <w:rPr/>
        <w:t xml:space="preserve">provider names and contract terms;</w:t>
      </w:r>
    </w:p>
    <w:p>
      <w:pPr>
        <w:numPr>
          <w:ilvl w:val="0"/>
          <w:numId w:val="15"/>
        </w:numPr>
        <w:spacing w:lineRule="auto"/>
      </w:pPr>
      <w:r>
        <w:rPr/>
        <w:t xml:space="preserve">legal applicability, registration or compliance conclusions;</w:t>
      </w:r>
    </w:p>
    <w:p>
      <w:pPr>
        <w:numPr>
          <w:ilvl w:val="0"/>
          <w:numId w:val="15"/>
        </w:numPr>
        <w:spacing w:lineRule="auto"/>
      </w:pPr>
      <w:r>
        <w:rPr/>
        <w:t xml:space="preserve">data-role and DPO conclusions;</w:t>
      </w:r>
    </w:p>
    <w:p>
      <w:pPr>
        <w:numPr>
          <w:ilvl w:val="0"/>
          <w:numId w:val="15"/>
        </w:numPr>
        <w:spacing w:lineRule="auto"/>
      </w:pPr>
      <w:r>
        <w:rPr/>
        <w:t xml:space="preserve">launch dates, staffing levels and service commitments;</w:t>
      </w:r>
    </w:p>
    <w:p>
      <w:pPr>
        <w:numPr>
          <w:ilvl w:val="0"/>
          <w:numId w:val="15"/>
        </w:numPr>
        <w:spacing w:lineRule="auto"/>
      </w:pPr>
      <w:r>
        <w:rPr/>
        <w:t xml:space="preserve">certifications and externally shareable security statements.</w:t>
      </w:r>
    </w:p>
    <w:p>
      <w:pPr>
        <w:pStyle w:val="Heading2"/>
        <w:spacing w:lineRule="auto"/>
      </w:pPr>
      <w:r>
        <w:rPr/>
        <w:t xml:space="preserve">Chapter 28 — Recommended next step</w:t>
      </w:r>
    </w:p>
    <w:p>
      <w:pPr>
        <w:spacing w:lineRule="auto"/>
      </w:pPr>
      <w:r>
        <w:rPr/>
        <w:t xml:space="preserve">The recommended next action is a governed discovery programme with TEKUN Corporation leadership, collection operations, compliance/legal/privacy, finance/reconciliation and technology/data stakeholders.</w:t>
      </w:r>
    </w:p>
    <w:p>
      <w:pPr>
        <w:spacing w:lineRule="auto"/>
      </w:pPr>
      <w:r>
        <w:rPr/>
        <w:t xml:space="preserve">The output should be one agreed current-state and pilot-design pack containing:</w:t>
      </w:r>
    </w:p>
    <w:p>
      <w:pPr>
        <w:numPr>
          <w:ilvl w:val="0"/>
          <w:numId w:val="16"/>
        </w:numPr>
        <w:spacing w:lineRule="auto"/>
      </w:pPr>
      <w:r>
        <w:rPr/>
        <w:t xml:space="preserve">collection lifecycle and stakeholder map;</w:t>
      </w:r>
    </w:p>
    <w:p>
      <w:pPr>
        <w:numPr>
          <w:ilvl w:val="0"/>
          <w:numId w:val="16"/>
        </w:numPr>
        <w:spacing w:lineRule="auto"/>
      </w:pPr>
      <w:r>
        <w:rPr/>
        <w:t xml:space="preserve">portfolio and principal segmentation;</w:t>
      </w:r>
    </w:p>
    <w:p>
      <w:pPr>
        <w:numPr>
          <w:ilvl w:val="0"/>
          <w:numId w:val="16"/>
        </w:numPr>
        <w:spacing w:lineRule="auto"/>
      </w:pPr>
      <w:r>
        <w:rPr/>
        <w:t xml:space="preserve">authority, regulatory and privacy responsibility map;</w:t>
      </w:r>
    </w:p>
    <w:p>
      <w:pPr>
        <w:numPr>
          <w:ilvl w:val="0"/>
          <w:numId w:val="16"/>
        </w:numPr>
        <w:spacing w:lineRule="auto"/>
      </w:pPr>
      <w:r>
        <w:rPr/>
        <w:t xml:space="preserve">system, provider, data and money-flow architecture;</w:t>
      </w:r>
    </w:p>
    <w:p>
      <w:pPr>
        <w:numPr>
          <w:ilvl w:val="0"/>
          <w:numId w:val="16"/>
        </w:numPr>
        <w:spacing w:lineRule="auto"/>
      </w:pPr>
      <w:r>
        <w:rPr/>
        <w:t xml:space="preserve">baseline, KPI and guardrail definitions;</w:t>
      </w:r>
    </w:p>
    <w:p>
      <w:pPr>
        <w:numPr>
          <w:ilvl w:val="0"/>
          <w:numId w:val="16"/>
        </w:numPr>
        <w:spacing w:lineRule="auto"/>
      </w:pPr>
      <w:r>
        <w:rPr/>
        <w:t xml:space="preserve">bounded pilot cohort and evidence gate;</w:t>
      </w:r>
    </w:p>
    <w:p>
      <w:pPr>
        <w:numPr>
          <w:ilvl w:val="0"/>
          <w:numId w:val="16"/>
        </w:numPr>
        <w:spacing w:lineRule="auto"/>
      </w:pPr>
      <w:r>
        <w:rPr/>
        <w:t xml:space="preserve">solution scope, transition approach and implementation sequence;</w:t>
      </w:r>
    </w:p>
    <w:p>
      <w:pPr>
        <w:numPr>
          <w:ilvl w:val="0"/>
          <w:numId w:val="16"/>
        </w:numPr>
        <w:spacing w:lineRule="auto"/>
      </w:pPr>
      <w:r>
        <w:rPr/>
        <w:t xml:space="preserve">commercial inputs without premature pricing.</w:t>
      </w:r>
    </w:p>
    <w:p>
      <w:pPr>
        <w:ind w:left="284"/>
        <w:jc w:val="both"/>
        <w:spacing w:lineRule="auto"/>
      </w:pPr>
      <w:r>
        <w:rPr>
          <w:b/>
        </w:rPr>
        <w:t xml:space="preserve">Proposed decision:</w:t>
      </w:r>
      <w:r>
        <w:rPr/>
        <w:t xml:space="preserve"> Authorise discovery and pilot co-design. Commit to full implementation only after the evidence, authority and commercial gates are satisfied.</w:t>
      </w:r>
    </w:p>
    <w:p>
      <w:pPr>
        <w:pStyle w:val="Heading1"/>
        <w:spacing w:lineRule="auto"/>
      </w:pPr>
      <w:r>
        <w:rPr/>
        <w:t xml:space="preserve">Reference Appendices</w:t>
      </w:r>
    </w:p>
    <w:p>
      <w:pPr>
        <w:pStyle w:val="Heading2"/>
        <w:spacing w:lineRule="auto"/>
      </w:pPr>
      <w:r>
        <w:rPr/>
        <w:t xml:space="preserve">Appendix A — 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Plain-language meaning</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customer's financing obligation and associated balance/history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Grouping overdue amounts or accounts by how long they have been past due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agreed place whose record controls a particular fact or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representative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person permitted to perform defined collection activity for the accountable entity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agreed starting performance and conditions used for comparison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work record through which an account is assigned, contacted, followed up and resolved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Cessation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Stopping collection activity after a qualifying settlement, arrangement or other event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fixed group of accounts measured together from a stated starting point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collected against a precisely defined amount due, population and period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Conduct guardrail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customer-treatment or compliance measure that performance may not override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Controller / processor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roles describing who determines data purposes/means and who processes for another; counsel confirms actual roles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Hardship 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protected state that pauses relevant escalation while hardship is assessed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operation serves multiple appointing organisations with separated policies, data and reporting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at risk beyond a stated number of days; definition must state threshold and balance treatment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organisation appointing TEKUN Corporation and owning or governing the underlying credit relationship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Promise to 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recorded customer commitment to pay a defined amount by a defined date/method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Matching payment evidence to the correct account and resolving differences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recovered from a named frozen arrears cohort divided by its opening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 competency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that a representative remains suitable, trained and able to perform authorised 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Right-party 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conversation with the verified customer, not merely a successful call connection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Roll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share of accounts moving into a worse ageing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Tenant/principal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Controls preventing one organisation from accessing another's data or 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Transition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ability to hand over data, configuration, documents and open work cleanly</w:t>
            </w:r>
          </w:p>
        </w:tc>
      </w:tr>
    </w:tbl>
    <w:p>
      <w:pPr>
        <w:spacing w:lineRule="auto"/>
      </w:pPr>
      <w:r>
        <w:rPr/>
      </w:r>
    </w:p>
    <w:p>
      <w:pPr>
        <w:pStyle w:val="Heading2"/>
        <w:spacing w:lineRule="auto"/>
      </w:pPr>
      <w:r>
        <w:rPr/>
        <w:t xml:space="preserve">Appendix B — Capability requirements catalogue</w:t>
      </w:r>
    </w:p>
    <w:p>
      <w:pPr>
        <w:pStyle w:val="Heading3"/>
        <w:spacing w:lineRule="auto"/>
      </w:pPr>
      <w:r>
        <w:rPr/>
        <w:t xml:space="preserve">Minimum trusted operation</w:t>
      </w:r>
    </w:p>
    <w:p>
      <w:pPr>
        <w:numPr>
          <w:ilvl w:val="0"/>
          <w:numId w:val="17"/>
        </w:numPr>
        <w:spacing w:lineRule="auto"/>
      </w:pPr>
      <w:r>
        <w:rPr/>
        <w:t xml:space="preserve">Principal and portfolio segregation.</w:t>
      </w:r>
    </w:p>
    <w:p>
      <w:pPr>
        <w:numPr>
          <w:ilvl w:val="0"/>
          <w:numId w:val="17"/>
        </w:numPr>
        <w:spacing w:lineRule="auto"/>
      </w:pPr>
      <w:r>
        <w:rPr/>
        <w:t xml:space="preserve">Role-based access and representative validity.</w:t>
      </w:r>
    </w:p>
    <w:p>
      <w:pPr>
        <w:numPr>
          <w:ilvl w:val="0"/>
          <w:numId w:val="17"/>
        </w:numPr>
        <w:spacing w:lineRule="auto"/>
      </w:pPr>
      <w:r>
        <w:rPr/>
        <w:t xml:space="preserve">Account, balance, ageing and point-in-time history.</w:t>
      </w:r>
    </w:p>
    <w:p>
      <w:pPr>
        <w:numPr>
          <w:ilvl w:val="0"/>
          <w:numId w:val="17"/>
        </w:numPr>
        <w:spacing w:lineRule="auto"/>
      </w:pPr>
      <w:r>
        <w:rPr/>
        <w:t xml:space="preserve">Controlled intake and provenance.</w:t>
      </w:r>
    </w:p>
    <w:p>
      <w:pPr>
        <w:numPr>
          <w:ilvl w:val="0"/>
          <w:numId w:val="17"/>
        </w:numPr>
        <w:spacing w:lineRule="auto"/>
      </w:pPr>
      <w:r>
        <w:rPr/>
        <w:t xml:space="preserve">Work queue, case assignment and supervisor override.</w:t>
      </w:r>
    </w:p>
    <w:p>
      <w:pPr>
        <w:numPr>
          <w:ilvl w:val="0"/>
          <w:numId w:val="17"/>
        </w:numPr>
        <w:spacing w:lineRule="auto"/>
      </w:pPr>
      <w:r>
        <w:rPr/>
        <w:t xml:space="preserve">Identity-verification gate.</w:t>
      </w:r>
    </w:p>
    <w:p>
      <w:pPr>
        <w:numPr>
          <w:ilvl w:val="0"/>
          <w:numId w:val="17"/>
        </w:numPr>
        <w:spacing w:lineRule="auto"/>
      </w:pPr>
      <w:r>
        <w:rPr/>
        <w:t xml:space="preserve">Interaction log for every attempt and outcome.</w:t>
      </w:r>
    </w:p>
    <w:p>
      <w:pPr>
        <w:numPr>
          <w:ilvl w:val="0"/>
          <w:numId w:val="17"/>
        </w:numPr>
        <w:spacing w:lineRule="auto"/>
      </w:pPr>
      <w:r>
        <w:rPr/>
        <w:t xml:space="preserve">Approved reminders/notices and delivery evidence.</w:t>
      </w:r>
    </w:p>
    <w:p>
      <w:pPr>
        <w:numPr>
          <w:ilvl w:val="0"/>
          <w:numId w:val="17"/>
        </w:numPr>
        <w:spacing w:lineRule="auto"/>
      </w:pPr>
      <w:r>
        <w:rPr/>
        <w:t xml:space="preserve">Contact-window and frequency enforcement where applicable.</w:t>
      </w:r>
    </w:p>
    <w:p>
      <w:pPr>
        <w:numPr>
          <w:ilvl w:val="0"/>
          <w:numId w:val="17"/>
        </w:numPr>
        <w:spacing w:lineRule="auto"/>
      </w:pPr>
      <w:r>
        <w:rPr/>
        <w:t xml:space="preserve">Consent and third-party-disclosure controls.</w:t>
      </w:r>
    </w:p>
    <w:p>
      <w:pPr>
        <w:numPr>
          <w:ilvl w:val="0"/>
          <w:numId w:val="17"/>
        </w:numPr>
        <w:spacing w:lineRule="auto"/>
      </w:pPr>
      <w:r>
        <w:rPr/>
        <w:t xml:space="preserve">Promise-to-pay and follow-up.</w:t>
      </w:r>
    </w:p>
    <w:p>
      <w:pPr>
        <w:numPr>
          <w:ilvl w:val="0"/>
          <w:numId w:val="17"/>
        </w:numPr>
        <w:spacing w:lineRule="auto"/>
      </w:pPr>
      <w:r>
        <w:rPr/>
        <w:t xml:space="preserve">Payment evidence and reconciliation without agent receipt of money.</w:t>
      </w:r>
    </w:p>
    <w:p>
      <w:pPr>
        <w:numPr>
          <w:ilvl w:val="0"/>
          <w:numId w:val="17"/>
        </w:numPr>
        <w:spacing w:lineRule="auto"/>
      </w:pPr>
      <w:r>
        <w:rPr/>
        <w:t xml:space="preserve">Complaint, dispute and hardship workflows.</w:t>
      </w:r>
    </w:p>
    <w:p>
      <w:pPr>
        <w:numPr>
          <w:ilvl w:val="0"/>
          <w:numId w:val="17"/>
        </w:numPr>
        <w:spacing w:lineRule="auto"/>
      </w:pPr>
      <w:r>
        <w:rPr/>
        <w:t xml:space="preserve">Settlement/arrangement cessation and protected holds.</w:t>
      </w:r>
    </w:p>
    <w:p>
      <w:pPr>
        <w:numPr>
          <w:ilvl w:val="0"/>
          <w:numId w:val="17"/>
        </w:numPr>
        <w:spacing w:lineRule="auto"/>
      </w:pPr>
      <w:r>
        <w:rPr/>
        <w:t xml:space="preserve">Approval workflows for consequential decisions.</w:t>
      </w:r>
    </w:p>
    <w:p>
      <w:pPr>
        <w:numPr>
          <w:ilvl w:val="0"/>
          <w:numId w:val="17"/>
        </w:numPr>
        <w:spacing w:lineRule="auto"/>
      </w:pPr>
      <w:r>
        <w:rPr/>
        <w:t xml:space="preserve">Audit trail and usable export.</w:t>
      </w:r>
    </w:p>
    <w:p>
      <w:pPr>
        <w:numPr>
          <w:ilvl w:val="0"/>
          <w:numId w:val="17"/>
        </w:numPr>
        <w:spacing w:lineRule="auto"/>
      </w:pPr>
      <w:r>
        <w:rPr/>
        <w:t xml:space="preserve">Monitoring, incident handling, backup and restore evidence.</w:t>
      </w:r>
    </w:p>
    <w:p>
      <w:pPr>
        <w:numPr>
          <w:ilvl w:val="0"/>
          <w:numId w:val="17"/>
        </w:numPr>
        <w:spacing w:lineRule="auto"/>
      </w:pPr>
      <w:r>
        <w:rPr/>
        <w:t xml:space="preserve">Compliance and principal reporting.</w:t>
      </w:r>
    </w:p>
    <w:p>
      <w:pPr>
        <w:pStyle w:val="Heading3"/>
        <w:spacing w:lineRule="auto"/>
      </w:pPr>
      <w:r>
        <w:rPr/>
        <w:t xml:space="preserve">Growth capability</w:t>
      </w:r>
    </w:p>
    <w:p>
      <w:pPr>
        <w:numPr>
          <w:ilvl w:val="0"/>
          <w:numId w:val="18"/>
        </w:numPr>
        <w:spacing w:lineRule="auto"/>
      </w:pPr>
      <w:r>
        <w:rPr/>
        <w:t xml:space="preserve">Automated principal data feeds and validation.</w:t>
      </w:r>
    </w:p>
    <w:p>
      <w:pPr>
        <w:numPr>
          <w:ilvl w:val="0"/>
          <w:numId w:val="18"/>
        </w:numPr>
        <w:spacing w:lineRule="auto"/>
      </w:pPr>
      <w:r>
        <w:rPr/>
        <w:t xml:space="preserve">Payment-provider/principal reconciliation integration.</w:t>
      </w:r>
    </w:p>
    <w:p>
      <w:pPr>
        <w:numPr>
          <w:ilvl w:val="0"/>
          <w:numId w:val="18"/>
        </w:numPr>
        <w:spacing w:lineRule="auto"/>
      </w:pPr>
      <w:r>
        <w:rPr/>
        <w:t xml:space="preserve">Configurable treatment paths by principal and cohort.</w:t>
      </w:r>
    </w:p>
    <w:p>
      <w:pPr>
        <w:numPr>
          <w:ilvl w:val="0"/>
          <w:numId w:val="18"/>
        </w:numPr>
        <w:spacing w:lineRule="auto"/>
      </w:pPr>
      <w:r>
        <w:rPr/>
        <w:t xml:space="preserve">Capacity and workforce planning.</w:t>
      </w:r>
    </w:p>
    <w:p>
      <w:pPr>
        <w:numPr>
          <w:ilvl w:val="0"/>
          <w:numId w:val="18"/>
        </w:numPr>
        <w:spacing w:lineRule="auto"/>
      </w:pPr>
      <w:r>
        <w:rPr/>
        <w:t xml:space="preserve">Representative training, quality and annual-assessment management.</w:t>
      </w:r>
    </w:p>
    <w:p>
      <w:pPr>
        <w:numPr>
          <w:ilvl w:val="0"/>
          <w:numId w:val="18"/>
        </w:numPr>
        <w:spacing w:lineRule="auto"/>
      </w:pPr>
      <w:r>
        <w:rPr/>
        <w:t xml:space="preserve">Principal portals and scheduled reporting packs.</w:t>
      </w:r>
    </w:p>
    <w:p>
      <w:pPr>
        <w:numPr>
          <w:ilvl w:val="0"/>
          <w:numId w:val="18"/>
        </w:numPr>
        <w:spacing w:lineRule="auto"/>
      </w:pPr>
      <w:r>
        <w:rPr/>
        <w:t xml:space="preserve">Standard onboarding/offboarding kit.</w:t>
      </w:r>
    </w:p>
    <w:p>
      <w:pPr>
        <w:numPr>
          <w:ilvl w:val="0"/>
          <w:numId w:val="18"/>
        </w:numPr>
        <w:spacing w:lineRule="auto"/>
      </w:pPr>
      <w:r>
        <w:rPr/>
        <w:t xml:space="preserve">Regulatory/credit-reporting submission support where confirmed.</w:t>
      </w:r>
    </w:p>
    <w:p>
      <w:pPr>
        <w:numPr>
          <w:ilvl w:val="0"/>
          <w:numId w:val="18"/>
        </w:numPr>
        <w:spacing w:lineRule="auto"/>
      </w:pPr>
      <w:r>
        <w:rPr/>
        <w:t xml:space="preserve">Access anomaly detection and investigation.</w:t>
      </w:r>
    </w:p>
    <w:p>
      <w:pPr>
        <w:numPr>
          <w:ilvl w:val="0"/>
          <w:numId w:val="18"/>
        </w:numPr>
        <w:spacing w:lineRule="auto"/>
      </w:pPr>
      <w:r>
        <w:rPr/>
        <w:t xml:space="preserve">Field/legal coordination if authorised and required.</w:t>
      </w:r>
    </w:p>
    <w:p>
      <w:pPr>
        <w:pStyle w:val="Heading3"/>
        <w:spacing w:lineRule="auto"/>
      </w:pPr>
      <w:r>
        <w:rPr/>
        <w:t xml:space="preserve">Advanced capability</w:t>
      </w:r>
    </w:p>
    <w:p>
      <w:pPr>
        <w:numPr>
          <w:ilvl w:val="0"/>
          <w:numId w:val="19"/>
        </w:numPr>
        <w:spacing w:lineRule="auto"/>
      </w:pPr>
      <w:r>
        <w:rPr/>
        <w:t xml:space="preserve">Cohort and strategy performance insight.</w:t>
      </w:r>
    </w:p>
    <w:p>
      <w:pPr>
        <w:numPr>
          <w:ilvl w:val="0"/>
          <w:numId w:val="19"/>
        </w:numPr>
        <w:spacing w:lineRule="auto"/>
      </w:pPr>
      <w:r>
        <w:rPr/>
        <w:t xml:space="preserve">Explainable prioritisation with human review.</w:t>
      </w:r>
    </w:p>
    <w:p>
      <w:pPr>
        <w:numPr>
          <w:ilvl w:val="0"/>
          <w:numId w:val="19"/>
        </w:numPr>
        <w:spacing w:lineRule="auto"/>
      </w:pPr>
      <w:r>
        <w:rPr/>
        <w:t xml:space="preserve">Assisted summaries and quality sampling.</w:t>
      </w:r>
    </w:p>
    <w:p>
      <w:pPr>
        <w:numPr>
          <w:ilvl w:val="0"/>
          <w:numId w:val="19"/>
        </w:numPr>
        <w:spacing w:lineRule="auto"/>
      </w:pPr>
      <w:r>
        <w:rPr/>
        <w:t xml:space="preserve">Expected-payment and capacity forecasting.</w:t>
      </w:r>
    </w:p>
    <w:p>
      <w:pPr>
        <w:numPr>
          <w:ilvl w:val="0"/>
          <w:numId w:val="19"/>
        </w:numPr>
        <w:spacing w:lineRule="auto"/>
      </w:pPr>
      <w:r>
        <w:rPr/>
        <w:t xml:space="preserve">Cross-principal trend insight using properly governed, segregated data.</w:t>
      </w:r>
    </w:p>
    <w:p>
      <w:pPr>
        <w:numPr>
          <w:ilvl w:val="0"/>
          <w:numId w:val="19"/>
        </w:numPr>
        <w:spacing w:lineRule="auto"/>
      </w:pPr>
      <w:r>
        <w:rPr/>
        <w:t xml:space="preserve">New portfolio/product/channel support after legal and operating gates.</w:t>
      </w:r>
    </w:p>
    <w:p>
      <w:pPr>
        <w:pStyle w:val="Heading2"/>
        <w:spacing w:lineRule="auto"/>
      </w:pPr>
      <w:r>
        <w:rPr/>
        <w:t xml:space="preserve">Appendix C — Authority and unresolved decisions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proposed boundary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Confirmation owner</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owns and governs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TCorp/contract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per principal 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 principal + counsel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 collection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authorised activity inside approved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 counsel/regulator as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Settlement/restructure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 recommends; authorised TCorp/principal role decides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 principal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partner independent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 principal + finance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representative/partner independent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 principal + legal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receipt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Representatives never receive customer money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 finance + counsel confirm recipient 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finance/payment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 principal finance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predetermined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TCorp/principal/partner privacy and counsel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 submitting entity named per obligation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compliance/counsel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principal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approval plus acceptance 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w:t>
            </w:r>
          </w:p>
        </w:tc>
      </w:tr>
    </w:tbl>
    <w:p>
      <w:pPr>
        <w:spacing w:lineRule="auto"/>
      </w:pPr>
      <w:r>
        <w:rPr/>
      </w:r>
    </w:p>
    <w:p>
      <w:pPr>
        <w:pStyle w:val="Heading2"/>
        <w:spacing w:lineRule="auto"/>
      </w:pPr>
      <w:r>
        <w:rPr/>
        <w:t xml:space="preserve">Appendix D — KPI dictionary starter</w:t>
      </w:r>
    </w:p>
    <w:p>
      <w:pPr>
        <w:spacing w:lineRule="auto"/>
      </w:pPr>
      <w:r>
        <w:rPr/>
        <w:t xml:space="preserve">Every KPI record must include name, business meaning, numerator, denominator, population, period, source, exclusions, owner, frequency, target type and gaming/misinterpretation risk.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interpretation safeguard</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Pair with contact-frequency compliance; volume is not quality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Right-party contact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quality and identity rule affect 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Promise-to-pay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Pair with kept promises; promises can be over-recorded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Kept-promise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 amount/date tolerance and use reconciled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to first substantive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substantive to prevent trivial-action gaming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amount collected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Exclude reversals, dishonoured and misapplied payments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due amount, cohort, period and exclusions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Freeze opening cohort and adjustment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Agree attributable cost method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Cost-to-collect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 by portfolio mix and arrears 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Ageing/PAR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threshold, balance and restructure treatment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Roll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reliable point-in-time snapshots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payment cure from restructure cure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low rate can also indicate inaccessible intake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 resolution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ageing and overdue cases, not only closed average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Hardship outcome/timeliness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rate alone is not a quality measure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Cessation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exception requires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Contact-window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and applicable rule set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Identity-verification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Debt discussion population must be reliable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Contact-frequency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 across all integrated channels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Notice-gate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mandatory fields and delivery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disclosure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 and relationship evidence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Payment-handling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Representatives receiving payment should be zero where rule applies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 validity/competency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population and due dates must be current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Data-access anomalies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investigation and closure, not alerts alone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Critical-workflow availability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 safe journey, not homepage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restore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 by severity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 proof freshness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Successful backup is not a successful restore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 ageing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Pair value with item count and cause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onboarding lead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Start/end conditions must be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Capacity headroom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Quality and conduct remain constraints</w:t>
            </w:r>
          </w:p>
        </w:tc>
      </w:tr>
    </w:tbl>
    <w:p>
      <w:pPr>
        <w:spacing w:lineRule="auto"/>
      </w:pPr>
      <w:r>
        <w:rPr/>
      </w:r>
    </w:p>
    <w:p>
      <w:pPr>
        <w:pStyle w:val="Heading2"/>
        <w:spacing w:lineRule="auto"/>
      </w:pPr>
      <w:r>
        <w:rPr/>
        <w:t xml:space="preserve">Appendix E — Tier-1 discovery questions</w:t>
      </w:r>
    </w:p>
    <w:p>
      <w:pPr>
        <w:numPr>
          <w:ilvl w:val="0"/>
          <w:numId w:val="20"/>
        </w:numPr>
        <w:spacing w:lineRule="auto"/>
      </w:pPr>
      <w:r>
        <w:rPr/>
        <w:t xml:space="preserve">What outcomes does TCorp most want to improve, in priority order?</w:t>
      </w:r>
    </w:p>
    <w:p>
      <w:pPr>
        <w:numPr>
          <w:ilvl w:val="0"/>
          <w:numId w:val="20"/>
        </w:numPr>
        <w:spacing w:lineRule="auto"/>
      </w:pPr>
      <w:r>
        <w:rPr/>
        <w:t xml:space="preserve">What is the main operating constraint today?</w:t>
      </w:r>
    </w:p>
    <w:p>
      <w:pPr>
        <w:numPr>
          <w:ilvl w:val="0"/>
          <w:numId w:val="20"/>
        </w:numPr>
        <w:spacing w:lineRule="auto"/>
      </w:pPr>
      <w:r>
        <w:rPr/>
        <w:t xml:space="preserve">What would make the partnership successful to management, board and principals?</w:t>
      </w:r>
    </w:p>
    <w:p>
      <w:pPr>
        <w:numPr>
          <w:ilvl w:val="0"/>
          <w:numId w:val="20"/>
        </w:numPr>
        <w:spacing w:lineRule="auto"/>
      </w:pPr>
      <w:r>
        <w:rPr/>
        <w:t xml:space="preserve">Which regulatory pathway applies to each portfolio type, in TCorp's view, and what is the current status?</w:t>
      </w:r>
    </w:p>
    <w:p>
      <w:pPr>
        <w:numPr>
          <w:ilvl w:val="0"/>
          <w:numId w:val="20"/>
        </w:numPr>
        <w:spacing w:lineRule="auto"/>
      </w:pPr>
      <w:r>
        <w:rPr/>
        <w:t xml:space="preserve">Which activities could a partner perform, under what authorisation?</w:t>
      </w:r>
    </w:p>
    <w:p>
      <w:pPr>
        <w:numPr>
          <w:ilvl w:val="0"/>
          <w:numId w:val="20"/>
        </w:numPr>
        <w:spacing w:lineRule="auto"/>
      </w:pPr>
      <w:r>
        <w:rPr/>
        <w:t xml:space="preserve">Who holds settlement, restructure, write-off, legal and closure authority?</w:t>
      </w:r>
    </w:p>
    <w:p>
      <w:pPr>
        <w:numPr>
          <w:ilvl w:val="0"/>
          <w:numId w:val="20"/>
        </w:numPr>
        <w:spacing w:lineRule="auto"/>
      </w:pPr>
      <w:r>
        <w:rPr/>
        <w:t xml:space="preserve">Which complaints, hardship, conduct and reporting processes are mandatory from day one?</w:t>
      </w:r>
    </w:p>
    <w:p>
      <w:pPr>
        <w:numPr>
          <w:ilvl w:val="0"/>
          <w:numId w:val="20"/>
        </w:numPr>
        <w:spacing w:lineRule="auto"/>
      </w:pPr>
      <w:r>
        <w:rPr/>
        <w:t xml:space="preserve">Which appointing organisations and portfolios are active?</w:t>
      </w:r>
    </w:p>
    <w:p>
      <w:pPr>
        <w:numPr>
          <w:ilvl w:val="0"/>
          <w:numId w:val="20"/>
        </w:numPr>
        <w:spacing w:lineRule="auto"/>
      </w:pPr>
      <w:r>
        <w:rPr/>
        <w:t xml:space="preserve">What products, volumes, value, ageing, geography and history are involved?</w:t>
      </w:r>
    </w:p>
    <w:p>
      <w:pPr>
        <w:numPr>
          <w:ilvl w:val="0"/>
          <w:numId w:val="20"/>
        </w:numPr>
        <w:spacing w:lineRule="auto"/>
      </w:pPr>
      <w:r>
        <w:rPr/>
        <w:t xml:space="preserve">How are accounts assigned, updated, suspended, returned and closed?</w:t>
      </w:r>
    </w:p>
    <w:p>
      <w:pPr>
        <w:numPr>
          <w:ilvl w:val="0"/>
          <w:numId w:val="20"/>
        </w:numPr>
        <w:spacing w:lineRule="auto"/>
      </w:pPr>
      <w:r>
        <w:rPr/>
        <w:t xml:space="preserve">Which activities are performed by TCorp staff?</w:t>
      </w:r>
    </w:p>
    <w:p>
      <w:pPr>
        <w:numPr>
          <w:ilvl w:val="0"/>
          <w:numId w:val="20"/>
        </w:numPr>
        <w:spacing w:lineRule="auto"/>
      </w:pPr>
      <w:r>
        <w:rPr/>
        <w:t xml:space="preserve">Are external providers used for operations, people, technology, channels, data, payment, field or legal work?</w:t>
      </w:r>
    </w:p>
    <w:p>
      <w:pPr>
        <w:numPr>
          <w:ilvl w:val="0"/>
          <w:numId w:val="20"/>
        </w:numPr>
        <w:spacing w:lineRule="auto"/>
      </w:pPr>
      <w:r>
        <w:rPr/>
        <w:t xml:space="preserve">What does each provider do and what are the transition/contract constraints?</w:t>
      </w:r>
    </w:p>
    <w:p>
      <w:pPr>
        <w:numPr>
          <w:ilvl w:val="0"/>
          <w:numId w:val="20"/>
        </w:numPr>
        <w:spacing w:lineRule="auto"/>
      </w:pPr>
      <w:r>
        <w:rPr/>
        <w:t xml:space="preserve">Which systems support the lifecycle today?</w:t>
      </w:r>
    </w:p>
    <w:p>
      <w:pPr>
        <w:numPr>
          <w:ilvl w:val="0"/>
          <w:numId w:val="20"/>
        </w:numPr>
        <w:spacing w:lineRule="auto"/>
      </w:pPr>
      <w:r>
        <w:rPr/>
        <w:t xml:space="preserve">How are queues and treatment strategies defined and approved?</w:t>
      </w:r>
    </w:p>
    <w:p>
      <w:pPr>
        <w:numPr>
          <w:ilvl w:val="0"/>
          <w:numId w:val="20"/>
        </w:numPr>
        <w:spacing w:lineRule="auto"/>
      </w:pPr>
      <w:r>
        <w:rPr/>
        <w:t xml:space="preserve">How are identity, contact, notice, consent, promises and cessation evidenced?</w:t>
      </w:r>
    </w:p>
    <w:p>
      <w:pPr>
        <w:numPr>
          <w:ilvl w:val="0"/>
          <w:numId w:val="20"/>
        </w:numPr>
        <w:spacing w:lineRule="auto"/>
      </w:pPr>
      <w:r>
        <w:rPr/>
        <w:t xml:space="preserve">How are complaints, disputes, hardship, vulnerability and legal holds handled?</w:t>
      </w:r>
    </w:p>
    <w:p>
      <w:pPr>
        <w:numPr>
          <w:ilvl w:val="0"/>
          <w:numId w:val="20"/>
        </w:numPr>
        <w:spacing w:lineRule="auto"/>
      </w:pPr>
      <w:r>
        <w:rPr/>
        <w:t xml:space="preserve">How are representatives trained, authorised, supervised and assessed?</w:t>
      </w:r>
    </w:p>
    <w:p>
      <w:pPr>
        <w:numPr>
          <w:ilvl w:val="0"/>
          <w:numId w:val="20"/>
        </w:numPr>
        <w:spacing w:lineRule="auto"/>
      </w:pPr>
      <w:r>
        <w:rPr/>
        <w:t xml:space="preserve">Where do customers pay and what event stops collection?</w:t>
      </w:r>
    </w:p>
    <w:p>
      <w:pPr>
        <w:numPr>
          <w:ilvl w:val="0"/>
          <w:numId w:val="20"/>
        </w:numPr>
        <w:spacing w:lineRule="auto"/>
      </w:pPr>
      <w:r>
        <w:rPr/>
        <w:t xml:space="preserve">Who reconciles payment, in which system and cycle?</w:t>
      </w:r>
    </w:p>
    <w:p>
      <w:pPr>
        <w:numPr>
          <w:ilvl w:val="0"/>
          <w:numId w:val="20"/>
        </w:numPr>
        <w:spacing w:lineRule="auto"/>
      </w:pPr>
      <w:r>
        <w:rPr/>
        <w:t xml:space="preserve">What data arrives from each principal and what quality issues matter?</w:t>
      </w:r>
    </w:p>
    <w:p>
      <w:pPr>
        <w:numPr>
          <w:ilvl w:val="0"/>
          <w:numId w:val="20"/>
        </w:numPr>
        <w:spacing w:lineRule="auto"/>
      </w:pPr>
      <w:r>
        <w:rPr/>
        <w:t xml:space="preserve">Which integrations exist or are required?</w:t>
      </w:r>
    </w:p>
    <w:p>
      <w:pPr>
        <w:numPr>
          <w:ilvl w:val="0"/>
          <w:numId w:val="20"/>
        </w:numPr>
        <w:spacing w:lineRule="auto"/>
      </w:pPr>
      <w:r>
        <w:rPr/>
        <w:t xml:space="preserve">What privacy roles, hosting, retention, breach, export and audit constraints apply?</w:t>
      </w:r>
    </w:p>
    <w:p>
      <w:pPr>
        <w:numPr>
          <w:ilvl w:val="0"/>
          <w:numId w:val="20"/>
        </w:numPr>
        <w:spacing w:lineRule="auto"/>
      </w:pPr>
      <w:r>
        <w:rPr/>
        <w:t xml:space="preserve">Which cohort and scorecard should govern a bounded pilot?</w:t>
      </w:r>
    </w:p>
    <w:p>
      <w:pPr>
        <w:pStyle w:val="Heading2"/>
        <w:spacing w:lineRule="auto"/>
      </w:pPr>
      <w:r>
        <w:rPr/>
        <w:t xml:space="preserve">Appendix F — Evidence and source register</w:t>
      </w:r>
    </w:p>
    <w:p>
      <w:pPr>
        <w:pStyle w:val="Heading3"/>
        <w:spacing w:lineRule="auto"/>
      </w:pPr>
      <w:r>
        <w:rPr/>
        <w:t xml:space="preserve">TEKUN Corporation and regulatory evidence</w:t>
      </w:r>
    </w:p>
    <w:p>
      <w:pPr>
        <w:spacing w:lineRule="auto"/>
      </w:pPr>
      <w:r>
        <w:rPr/>
        <w:t xml:space="preserve">The detailed 114-claim register and 36-source register are maintained in the governed research pack. The most important sources 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Freshness</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official company and credit-management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business, call-centre date, MOF statement and appointing-organisation statement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Reverify before external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official 2026 news releases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Awqaf Education and MOCCIS announcements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Reverify before external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Credit Act 2025 (Act 873)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Definitions, authorisation, conduct offences, exclusions and transition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Recheck with counsel/official 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Credit Commission FAQs and media releases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Commencement, phases, application opening and complaints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while implementation evolves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SKP Authorisation Standards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criteria, finance and reporting expectations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Reverify before external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SKP Conduct Standards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complaints, hardship, competency and data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Reverify before external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Data Protection Amendment Act 2024 and official guidelines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Controller/processor, DPO, breach and security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applicability and current guidance</w:t>
            </w:r>
          </w:p>
        </w:tc>
      </w:tr>
    </w:tbl>
    <w:p>
      <w:pPr>
        <w:spacing w:lineRule="auto"/>
      </w:pPr>
      <w:r>
        <w:rPr/>
      </w:r>
    </w:p>
    <w:p>
      <w:pPr>
        <w:pStyle w:val="Heading3"/>
        <w:spacing w:lineRule="auto"/>
      </w:pPr>
      <w:r>
        <w:rPr/>
        <w:t xml:space="preserve">Sifututor capability evidence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Claim family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use</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CLM-HIS-*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service since 2018; new SIMS went live May 2025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CLM-ARCH-*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core, managed interfaces and controlled system relationships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CLM-SYS-*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system/capability profiles with safe-use limitations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CLM-ANA-001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Curated, policy-controlled owner analytics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CLM-TRU-*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 testing, release controls and human accountability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CLM-RES-001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Point-in-time composed recovery proof; no universal guarantee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CLM-AI-001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AI direction, not certification</w:t>
            </w:r>
          </w:p>
        </w:tc>
      </w:tr>
    </w:tbl>
    <w:p>
      <w:pPr>
        <w:spacing w:lineRule="auto"/>
      </w:pPr>
      <w:r>
        <w:rPr/>
      </w:r>
    </w:p>
    <w:p>
      <w:pPr>
        <w:pStyle w:val="Heading3"/>
        <w:spacing w:lineRule="auto"/>
      </w:pPr>
      <w:r>
        <w:rPr/>
        <w:t xml:space="preserve">Material open facts</w:t>
      </w:r>
    </w:p>
    <w:p>
      <w:pPr>
        <w:numPr>
          <w:ilvl w:val="0"/>
          <w:numId w:val="21"/>
        </w:numPr>
        <w:spacing w:lineRule="auto"/>
      </w:pPr>
      <w:r>
        <w:rPr/>
        <w:t xml:space="preserve">current external providers and their terms;</w:t>
      </w:r>
    </w:p>
    <w:p>
      <w:pPr>
        <w:numPr>
          <w:ilvl w:val="0"/>
          <w:numId w:val="21"/>
        </w:numPr>
        <w:spacing w:lineRule="auto"/>
      </w:pPr>
      <w:r>
        <w:rPr/>
        <w:t xml:space="preserve">current TCorp collection platform and integrations;</w:t>
      </w:r>
    </w:p>
    <w:p>
      <w:pPr>
        <w:numPr>
          <w:ilvl w:val="0"/>
          <w:numId w:val="21"/>
        </w:numPr>
        <w:spacing w:lineRule="auto"/>
      </w:pPr>
      <w:r>
        <w:rPr/>
        <w:t xml:space="preserve">portfolio/account volume, value and ageing;</w:t>
      </w:r>
    </w:p>
    <w:p>
      <w:pPr>
        <w:numPr>
          <w:ilvl w:val="0"/>
          <w:numId w:val="21"/>
        </w:numPr>
        <w:spacing w:lineRule="auto"/>
      </w:pPr>
      <w:r>
        <w:rPr/>
        <w:t xml:space="preserve">performance baseline and cost-to-collect;</w:t>
      </w:r>
    </w:p>
    <w:p>
      <w:pPr>
        <w:numPr>
          <w:ilvl w:val="0"/>
          <w:numId w:val="21"/>
        </w:numPr>
        <w:spacing w:lineRule="auto"/>
      </w:pPr>
      <w:r>
        <w:rPr/>
        <w:t xml:space="preserve">money flow and reconciliation authority;</w:t>
      </w:r>
    </w:p>
    <w:p>
      <w:pPr>
        <w:numPr>
          <w:ilvl w:val="0"/>
          <w:numId w:val="21"/>
        </w:numPr>
        <w:spacing w:lineRule="auto"/>
      </w:pPr>
      <w:r>
        <w:rPr/>
        <w:t xml:space="preserve">portfolio-specific regulatory applicability and TCorp authorisation status;</w:t>
      </w:r>
    </w:p>
    <w:p>
      <w:pPr>
        <w:numPr>
          <w:ilvl w:val="0"/>
          <w:numId w:val="21"/>
        </w:numPr>
        <w:spacing w:lineRule="auto"/>
      </w:pPr>
      <w:r>
        <w:rPr/>
        <w:t xml:space="preserve">data roles, hosting and DPO requirements;</w:t>
      </w:r>
    </w:p>
    <w:p>
      <w:pPr>
        <w:numPr>
          <w:ilvl w:val="0"/>
          <w:numId w:val="21"/>
        </w:numPr>
        <w:spacing w:lineRule="auto"/>
      </w:pPr>
      <w:r>
        <w:rPr/>
        <w:t xml:space="preserve">partner authorisation/registration model;</w:t>
      </w:r>
    </w:p>
    <w:p>
      <w:pPr>
        <w:numPr>
          <w:ilvl w:val="0"/>
          <w:numId w:val="21"/>
        </w:numPr>
        <w:spacing w:lineRule="auto"/>
      </w:pPr>
      <w:r>
        <w:rPr/>
        <w:t xml:space="preserve">staffing, channel and field/legal scope;</w:t>
      </w:r>
    </w:p>
    <w:p>
      <w:pPr>
        <w:numPr>
          <w:ilvl w:val="0"/>
          <w:numId w:val="21"/>
        </w:numPr>
        <w:spacing w:lineRule="auto"/>
      </w:pPr>
      <w:r>
        <w:rPr/>
        <w:t xml:space="preserve">procurement and commercial envelope.</w:t>
      </w:r>
    </w:p>
    <w:p>
      <w:pPr>
        <w:pStyle w:val="Heading2"/>
        <w:spacing w:lineRule="auto"/>
      </w:pPr>
      <w:r>
        <w:rPr/>
        <w:t xml:space="preserve">Appendix G — Assumption and contradiction 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Working assumption or 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Treatment</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TCorp retains major consequential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per principal; design configurable approvals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pay an approved entity/channel, never a representative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actual flow; keep agent receipt prohibited in design where applicable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roles may differ by portfolio and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flows and obtain legal/privacy conclusion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complaints intake exists because TCorp publishes a complaint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operational process and 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collection is mainly call-centre based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channels, volumes and field/legal activity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 is principal- or jointly controlled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source and timing before KPI/commercial design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principal has distinct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for difference; simplify only after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 personnel may act under a TCorp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not commit until counsel/regulator position is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Secondary material misstated the Part V transition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Act/MOF/SKP evidence governs; reverify before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Motor-dealer identity does not prove assigned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 Phase 2 relevance conditional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Absence of public provider/baseline evidence does not prove absence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neutrally; never claim none exists</w:t>
            </w:r>
          </w:p>
        </w:tc>
      </w:tr>
    </w:tbl>
    <w:p>
      <w:pPr>
        <w:spacing w:lineRule="auto"/>
      </w:pPr>
      <w:r>
        <w:rPr/>
      </w:r>
    </w:p>
    <w:p>
      <w:pPr>
        <w:pStyle w:val="Heading2"/>
        <w:spacing w:lineRule="auto"/>
      </w:pPr>
      <w:r>
        <w:rPr/>
        <w:t xml:space="preserve">Appendix H — Stakeholder-safe extraction checklist</w:t>
      </w:r>
    </w:p>
    <w:p>
      <w:pPr>
        <w:spacing w:lineRule="auto"/>
      </w:pPr>
      <w:r>
        <w:rPr/>
        <w:t xml:space="preserve">Before content becomes a slide, memo or externally shared excerpt:</w:t>
      </w:r>
    </w:p>
    <w:p>
      <w:pPr>
        <w:numPr>
          <w:ilvl w:val="0"/>
          <w:numId w:val="22"/>
        </w:numPr>
        <w:spacing w:lineRule="auto"/>
      </w:pPr>
      <w:r>
        <w:rPr/>
      </w:r>
      <w:r>
        <w:rPr/>
        <w:t xml:space="preserve"> Correct legal entity is named: TEKUN Corporation, not TEKUN Nasional, unless the parent relationship is the subject.</w:t>
      </w:r>
    </w:p>
    <w:p>
      <w:pPr>
        <w:numPr>
          <w:ilvl w:val="0"/>
          <w:numId w:val="22"/>
        </w:numPr>
        <w:spacing w:lineRule="auto"/>
      </w:pPr>
      <w:r>
        <w:rPr/>
      </w:r>
      <w:r>
        <w:rPr/>
        <w:t xml:space="preserve"> Established facts, proposed design and future direction remain visibly distinct.</w:t>
      </w:r>
    </w:p>
    <w:p>
      <w:pPr>
        <w:numPr>
          <w:ilvl w:val="0"/>
          <w:numId w:val="22"/>
        </w:numPr>
        <w:spacing w:lineRule="auto"/>
      </w:pPr>
      <w:r>
        <w:rPr/>
      </w:r>
      <w:r>
        <w:rPr/>
        <w:t xml:space="preserve"> Current provider, system, portfolio, money flow and baseline are not invented.</w:t>
      </w:r>
    </w:p>
    <w:p>
      <w:pPr>
        <w:numPr>
          <w:ilvl w:val="0"/>
          <w:numId w:val="22"/>
        </w:numPr>
        <w:spacing w:lineRule="auto"/>
      </w:pPr>
      <w:r>
        <w:rPr/>
      </w:r>
      <w:r>
        <w:rPr/>
        <w:t xml:space="preserve"> Legal applicability, authorisation, data role and compliance are not declared without approval.</w:t>
      </w:r>
    </w:p>
    <w:p>
      <w:pPr>
        <w:numPr>
          <w:ilvl w:val="0"/>
          <w:numId w:val="22"/>
        </w:numPr>
        <w:spacing w:lineRule="auto"/>
      </w:pPr>
      <w:r>
        <w:rPr/>
      </w:r>
      <w:r>
        <w:rPr/>
        <w:t xml:space="preserve"> No guaranteed recovery, profit, revenue or savings statement appears.</w:t>
      </w:r>
    </w:p>
    <w:p>
      <w:pPr>
        <w:numPr>
          <w:ilvl w:val="0"/>
          <w:numId w:val="22"/>
        </w:numPr>
        <w:spacing w:lineRule="auto"/>
      </w:pPr>
      <w:r>
        <w:rPr/>
      </w:r>
      <w:r>
        <w:rPr/>
        <w:t xml:space="preserve"> Sifututor capability is not presented as prior debt-collection performance.</w:t>
      </w:r>
    </w:p>
    <w:p>
      <w:pPr>
        <w:numPr>
          <w:ilvl w:val="0"/>
          <w:numId w:val="22"/>
        </w:numPr>
        <w:spacing w:lineRule="auto"/>
      </w:pPr>
      <w:r>
        <w:rPr/>
      </w:r>
      <w:r>
        <w:rPr/>
        <w:t xml:space="preserve"> Customer-treatment guardrails remain beside performance claims.</w:t>
      </w:r>
    </w:p>
    <w:p>
      <w:pPr>
        <w:numPr>
          <w:ilvl w:val="0"/>
          <w:numId w:val="22"/>
        </w:numPr>
        <w:spacing w:lineRule="auto"/>
      </w:pPr>
      <w:r>
        <w:rPr/>
      </w:r>
      <w:r>
        <w:rPr/>
        <w:t xml:space="preserve"> Roadmap horizons are not converted into dates or completion percentages without approval.</w:t>
      </w:r>
    </w:p>
    <w:p>
      <w:pPr>
        <w:numPr>
          <w:ilvl w:val="0"/>
          <w:numId w:val="22"/>
        </w:numPr>
        <w:spacing w:lineRule="auto"/>
      </w:pPr>
      <w:r>
        <w:rPr/>
      </w:r>
      <w:r>
        <w:rPr/>
        <w:t xml:space="preserve"> Security and architecture are described without sensitive topology or access detail.</w:t>
      </w:r>
    </w:p>
    <w:p>
      <w:pPr>
        <w:numPr>
          <w:ilvl w:val="0"/>
          <w:numId w:val="22"/>
        </w:numPr>
        <w:spacing w:lineRule="auto"/>
      </w:pPr>
      <w:r>
        <w:rPr/>
      </w:r>
      <w:r>
        <w:rPr/>
        <w:t xml:space="preserve"> TEKUN ownership, usable export and transition readiness remain explicit.</w:t>
      </w:r>
    </w:p>
    <w:p>
      <w:pPr>
        <w:numPr>
          <w:ilvl w:val="0"/>
          <w:numId w:val="22"/>
        </w:numPr>
        <w:spacing w:lineRule="auto"/>
      </w:pPr>
      <w:r>
        <w:rPr/>
      </w:r>
      <w:r>
        <w:rPr/>
        <w:t xml:space="preserve"> Volatile public facts are reverified.</w:t>
      </w:r>
    </w:p>
    <w:p>
      <w:pPr>
        <w:numPr>
          <w:ilvl w:val="0"/>
          <w:numId w:val="22"/>
        </w:numPr>
        <w:spacing w:lineRule="auto"/>
      </w:pPr>
      <w:r>
        <w:rPr/>
      </w:r>
      <w:r>
        <w:rPr/>
        <w:t xml:space="preserve"> Commercial figures and confidential discovery data have owner approval.</w:t>
      </w:r>
    </w:p>
    <w:p>
      <w:pPr>
        <w:pStyle w:val="Heading2"/>
        <w:spacing w:lineRule="auto"/>
      </w:pPr>
      <w:r>
        <w:rPr/>
        <w:t xml:space="preserve">Closing perspective</w:t>
      </w:r>
    </w:p>
    <w:p>
      <w:pPr>
        <w:spacing w:lineRule="auto"/>
      </w:pPr>
      <w:r>
        <w:rPr/>
        <w:t xml:space="preserve">TEKUN Corporation already has the relationships and operating history of a collection business. Our contribution is the ability to turn complex multi-stakeholder work into a connected, governed and continuously improving operating platform.</w:t>
      </w:r>
    </w:p>
    <w:p>
      <w:pPr>
        <w:spacing w:lineRule="auto"/>
      </w:pPr>
      <w:r>
        <w:rPr/>
        <w:t xml:space="preserve">The strongest partnership is therefore neither “software supplied” nor “collection outsourced.” It is a jointly governed capability:</w:t>
      </w:r>
    </w:p>
    <w:p>
      <w:pPr>
        <w:ind w:left="284"/>
        <w:jc w:val="both"/>
        <w:spacing w:lineRule="auto"/>
      </w:pPr>
      <w:r>
        <w:rPr>
          <w:b/>
        </w:rPr>
        <w:t xml:space="preserve">TEKUN Corporation owns the platform and direction. Our team supplies the technology, authorised operating execution and improvement discipline. Together, the parties build measurable capacity that can serve more principals while protecting customer treatment, evidence and long-term trust.</w:t>
      </w:r>
    </w:p>
    <w:p>
      <w:pPr>
        <w:spacing w:lineRule="auto"/>
      </w:pPr>
      <w:r>
        <w:rPr/>
        <w:t xml:space="preserve">That value must be earned first through discovery and a bounded pilot, then expanded only when the evidence is strong enough.</w:t>
      </w:r>
    </w:p>
    <w:p>
      <w:pPr>
        <w:spacing w:lineRule="auto"/>
      </w:pPr>
      <w:r>
        <w:rPr/>
        <w:t xml:space="preserve">Rendered from the governed Markdown source. Last reviewed 31 August 2026.</w:t>
      </w:r>
    </w:p>
    <w:p>
      <w:pPr>
        <w:spacing w:lineRule="auto"/>
      </w:pPr>
      <w:r>
        <w:rPr/>
        <w:t xml:space="preserve">     const slugCounts = new Map();     const headings = [...document.querySelectorAll('#sourcebook h1, #sourcebook h2')];     for (const heading of headings) {       const base = heading.textContent.toLowerCase()         .normalize('NFKD').replace(/[^a-z0-9\s-]/g, '')         .trim().replace(/\s+/g, '-').slice(0, 72) || 'section';       const count = (slugCounts.get(base) || 0) + 1;       slugCounts.set(base, count);       heading.id = count === 1 ? base : base + '-' + count;       if (heading !== headings[0]) {         const link = document.createElement('a');         link.href = '#' + heading.id;         link.className = heading.tagName === 'H1' ? 'toc-h1' : 'toc-h2';         link.textContent = heading.textContent;         document.querySelector('#toc-links').appendChild(link);       }     }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7" Type="http://schemas.openxmlformats.org/officeDocument/2006/relationships/image" Target="media/image-Q8mvQCiTPXTFEBXiAJcnf.png" TargetMode="Internal"/>
  <Relationship Id="rId9" Type="http://schemas.openxmlformats.org/officeDocument/2006/relationships/image" Target="media/image-yj_yLCPFu3kPXuif13scz.png" TargetMode="Internal"/>
  <Relationship Id="rId11" Type="http://schemas.openxmlformats.org/officeDocument/2006/relationships/image" Target="media/image-9XxZoV86_wNOXRrSfEPZs.png" TargetMode="Internal"/>
  <Relationship Id="rId13" Type="http://schemas.openxmlformats.org/officeDocument/2006/relationships/image" Target="media/image-FVfp1C0CN9cchvqJsveXS.png" TargetMode="Internal"/>
  <Relationship Id="rId15" Type="http://schemas.openxmlformats.org/officeDocument/2006/relationships/image" Target="media/image-q9BKYLHV-StG27Dtv_VrC.png" TargetMode="Internal"/>
  <Relationship Id="rId17" Type="http://schemas.openxmlformats.org/officeDocument/2006/relationships/image" Target="media/image-DXqBvsyXV5ahLjWyPhuvA.png" TargetMode="Internal"/>
  <Relationship Id="rId19" Type="http://schemas.openxmlformats.org/officeDocument/2006/relationships/image" Target="media/image-ss1ojVB00MFdxnVaK7IYR.png" TargetMode="Internal"/>
  <Relationship Id="rId21" Type="http://schemas.openxmlformats.org/officeDocument/2006/relationships/image" Target="media/image-MQHpCks9m4HoR86HQ2r5V.png" TargetMode="Internal"/>
  <Relationship Id="rId23" Type="http://schemas.openxmlformats.org/officeDocument/2006/relationships/image" Target="media/image-NN4Xn5Hxbbiryp7Owmqyv.png" TargetMode="Internal"/>
  <Relationship Id="rId25" Type="http://schemas.openxmlformats.org/officeDocument/2006/relationships/image" Target="media/image-fuKMHVLOc6E7xxMzwsSZh.png" TargetMode="Internal"/>
  <Relationship Id="rId27" Type="http://schemas.openxmlformats.org/officeDocument/2006/relationships/image" Target="media/image-PNwLnOZYq-7C3lBqvbXf8.png" TargetMode="Internal"/>
  <Relationship Id="rId29" Type="http://schemas.openxmlformats.org/officeDocument/2006/relationships/image" Target="media/image-zLZWWMsSQkk3Qp53-JHsD.png" TargetMode="Internal"/>
  <Relationship Id="rId31" Type="http://schemas.openxmlformats.org/officeDocument/2006/relationships/image" Target="media/image-NTBpVqHZOjfdWEu8J5V_r.png" TargetMode="Internal"/>
  <Relationship Id="rId33" Type="http://schemas.openxmlformats.org/officeDocument/2006/relationships/image" Target="media/image-UvD3uD_6YkKrhKB4n1JI3.png" TargetMode="Internal"/>
  <Relationship Id="rId35" Type="http://schemas.openxmlformats.org/officeDocument/2006/relationships/image" Target="media/image-VWlM1oOVdetRGDzDYKdiA.png" TargetMode="Internal"/>
  <Relationship Id="rId36" Type="http://schemas.openxmlformats.org/officeDocument/2006/relationships/footer" Target="footer1.xml" TargetMode="Internal"/>
  <Relationship Id="rId3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TEKUN Corporation Integrated Collection Growth Partnership</dc:title>
  <dc:subject/>
  <dc:creator>Sifututor</dc:creator>
  <cp:keywords>html-to-docx</cp:keywords>
  <dc:description>Platform, managed operations, governance and measurable growth capability sourcebook</dc:description>
  <cp:lastModifiedBy>html-to-docx</cp:lastModifiedBy>
  <cp:revision>1</cp:revision>
  <dcterms:created xsi:type="dcterms:W3CDTF">2026-08-31T06:40:57.734Z</dcterms:created>
  <dcterms:modified xsi:type="dcterms:W3CDTF">2026-08-31T06:40:57.734Z</dcterms:modified>
</cp:coreProperties>
</file>