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88FDE" w14:textId="77777777" w:rsidR="0039510A" w:rsidRPr="0039510A" w:rsidRDefault="0039510A" w:rsidP="0039510A">
      <w:pPr>
        <w:rPr>
          <w:b/>
          <w:bCs/>
        </w:rPr>
      </w:pPr>
      <w:r w:rsidRPr="0039510A">
        <w:rPr>
          <w:b/>
          <w:bCs/>
        </w:rPr>
        <w:t>Final Project Report #2</w:t>
      </w:r>
    </w:p>
    <w:p w14:paraId="45140127" w14:textId="77777777" w:rsidR="0039510A" w:rsidRPr="0039510A" w:rsidRDefault="0039510A" w:rsidP="0039510A">
      <w:r w:rsidRPr="0039510A">
        <w:rPr>
          <w:b/>
          <w:bCs/>
        </w:rPr>
        <w:t>Data Interpretation: Analyzing the Impact of AI on Industries Across Countries</w:t>
      </w:r>
    </w:p>
    <w:p w14:paraId="2B7D1647" w14:textId="77777777" w:rsidR="0039510A" w:rsidRPr="0039510A" w:rsidRDefault="0039510A" w:rsidP="0039510A">
      <w:r w:rsidRPr="0039510A">
        <w:pict w14:anchorId="42D55630">
          <v:rect id="_x0000_i1061" style="width:0;height:1.5pt" o:hralign="center" o:hrstd="t" o:hr="t" fillcolor="#a0a0a0" stroked="f"/>
        </w:pict>
      </w:r>
    </w:p>
    <w:p w14:paraId="78CC64DA" w14:textId="77777777" w:rsidR="0039510A" w:rsidRPr="0039510A" w:rsidRDefault="0039510A" w:rsidP="0039510A">
      <w:pPr>
        <w:rPr>
          <w:b/>
          <w:bCs/>
        </w:rPr>
      </w:pPr>
      <w:r w:rsidRPr="0039510A">
        <w:rPr>
          <w:b/>
          <w:bCs/>
        </w:rPr>
        <w:t>1. Data Cleaning and Transformation (Summary)</w:t>
      </w:r>
    </w:p>
    <w:p w14:paraId="5445EED6" w14:textId="77777777" w:rsidR="0039510A" w:rsidRPr="0039510A" w:rsidRDefault="0039510A" w:rsidP="0039510A">
      <w:r w:rsidRPr="0039510A">
        <w:t>Before analysis, the dataset underwent thorough cleaning:</w:t>
      </w:r>
    </w:p>
    <w:p w14:paraId="19E87A76" w14:textId="77777777" w:rsidR="0039510A" w:rsidRPr="0039510A" w:rsidRDefault="0039510A" w:rsidP="0039510A">
      <w:pPr>
        <w:numPr>
          <w:ilvl w:val="0"/>
          <w:numId w:val="1"/>
        </w:numPr>
      </w:pPr>
      <w:r w:rsidRPr="0039510A">
        <w:t xml:space="preserve">Converted key columns like </w:t>
      </w:r>
      <w:r w:rsidRPr="0039510A">
        <w:rPr>
          <w:b/>
          <w:bCs/>
        </w:rPr>
        <w:t>Year</w:t>
      </w:r>
      <w:r w:rsidRPr="0039510A">
        <w:t xml:space="preserve"> and percentage fields (e.g., AI adoption rate, job loss) to appropriate numeric formats.</w:t>
      </w:r>
    </w:p>
    <w:p w14:paraId="06AEB7DE" w14:textId="77777777" w:rsidR="0039510A" w:rsidRPr="0039510A" w:rsidRDefault="0039510A" w:rsidP="0039510A">
      <w:pPr>
        <w:numPr>
          <w:ilvl w:val="0"/>
          <w:numId w:val="1"/>
        </w:numPr>
      </w:pPr>
      <w:r w:rsidRPr="0039510A">
        <w:t>Standardized categorical variables by trimming whitespace and normalizing case.</w:t>
      </w:r>
    </w:p>
    <w:p w14:paraId="77D07F8F" w14:textId="77777777" w:rsidR="0039510A" w:rsidRPr="0039510A" w:rsidRDefault="0039510A" w:rsidP="0039510A">
      <w:pPr>
        <w:numPr>
          <w:ilvl w:val="0"/>
          <w:numId w:val="1"/>
        </w:numPr>
      </w:pPr>
      <w:r w:rsidRPr="0039510A">
        <w:t>Imputed missing values using median (for numeric) and mode/“Unknown” (for categorical) to preserve dataset integrity.</w:t>
      </w:r>
    </w:p>
    <w:p w14:paraId="14BA8ED5" w14:textId="77777777" w:rsidR="0039510A" w:rsidRPr="0039510A" w:rsidRDefault="0039510A" w:rsidP="0039510A">
      <w:pPr>
        <w:numPr>
          <w:ilvl w:val="0"/>
          <w:numId w:val="1"/>
        </w:numPr>
      </w:pPr>
      <w:r w:rsidRPr="0039510A">
        <w:t>Removed outliers identified via interquartile range (IQR) method, especially in job loss and revenue increase metrics.</w:t>
      </w:r>
    </w:p>
    <w:p w14:paraId="54063AD9" w14:textId="77777777" w:rsidR="0039510A" w:rsidRPr="0039510A" w:rsidRDefault="0039510A" w:rsidP="0039510A">
      <w:pPr>
        <w:numPr>
          <w:ilvl w:val="0"/>
          <w:numId w:val="1"/>
        </w:numPr>
      </w:pPr>
      <w:r w:rsidRPr="0039510A">
        <w:t xml:space="preserve">Created derived variables such as </w:t>
      </w:r>
      <w:r w:rsidRPr="0039510A">
        <w:rPr>
          <w:b/>
          <w:bCs/>
        </w:rPr>
        <w:t>AI Impact Score</w:t>
      </w:r>
      <w:r w:rsidRPr="0039510A">
        <w:t xml:space="preserve"> combining revenue gains and job loss for a holistic measure.</w:t>
      </w:r>
    </w:p>
    <w:p w14:paraId="0E0C7CE3" w14:textId="77777777" w:rsidR="0039510A" w:rsidRPr="0039510A" w:rsidRDefault="0039510A" w:rsidP="0039510A">
      <w:r w:rsidRPr="0039510A">
        <w:t>This preparation ensured accurate descriptive statistics, correlation analysis, and visualizations.</w:t>
      </w:r>
    </w:p>
    <w:p w14:paraId="101FD314" w14:textId="77777777" w:rsidR="0039510A" w:rsidRPr="0039510A" w:rsidRDefault="0039510A" w:rsidP="0039510A">
      <w:r w:rsidRPr="0039510A">
        <w:pict w14:anchorId="0D583DF7">
          <v:rect id="_x0000_i1062" style="width:0;height:1.5pt" o:hralign="center" o:hrstd="t" o:hr="t" fillcolor="#a0a0a0" stroked="f"/>
        </w:pict>
      </w:r>
    </w:p>
    <w:p w14:paraId="2FF16C1A" w14:textId="77777777" w:rsidR="0039510A" w:rsidRPr="0039510A" w:rsidRDefault="0039510A" w:rsidP="0039510A">
      <w:pPr>
        <w:rPr>
          <w:b/>
          <w:bCs/>
        </w:rPr>
      </w:pPr>
      <w:r w:rsidRPr="0039510A">
        <w:rPr>
          <w:b/>
          <w:bCs/>
        </w:rPr>
        <w:t>2. Key Findings and Aggregated Insights</w:t>
      </w:r>
    </w:p>
    <w:p w14:paraId="5BCCE002" w14:textId="77777777" w:rsidR="0039510A" w:rsidRPr="0039510A" w:rsidRDefault="0039510A" w:rsidP="0039510A">
      <w:pPr>
        <w:rPr>
          <w:b/>
          <w:bCs/>
        </w:rPr>
      </w:pPr>
      <w:r w:rsidRPr="0039510A">
        <w:rPr>
          <w:b/>
          <w:bCs/>
        </w:rPr>
        <w:t>AI Adoption’s Effects on Revenue and Job Loss</w:t>
      </w:r>
    </w:p>
    <w:p w14:paraId="5DBAA044" w14:textId="77777777" w:rsidR="0039510A" w:rsidRPr="0039510A" w:rsidRDefault="0039510A" w:rsidP="0039510A">
      <w:pPr>
        <w:numPr>
          <w:ilvl w:val="0"/>
          <w:numId w:val="2"/>
        </w:numPr>
      </w:pPr>
      <w:r w:rsidRPr="0039510A">
        <w:rPr>
          <w:b/>
          <w:bCs/>
        </w:rPr>
        <w:t>Revenue Growth:</w:t>
      </w:r>
      <w:r w:rsidRPr="0039510A">
        <w:t xml:space="preserve"> AI adoption strongly correlates with increased industry revenues. On average, industries with higher AI adoption rates show significantly greater revenue increases (mean ~12%), highlighting AI’s role as a driver of economic growth and competitive advantage.</w:t>
      </w:r>
    </w:p>
    <w:p w14:paraId="5BA32DFD" w14:textId="77777777" w:rsidR="0039510A" w:rsidRPr="0039510A" w:rsidRDefault="0039510A" w:rsidP="0039510A">
      <w:pPr>
        <w:numPr>
          <w:ilvl w:val="0"/>
          <w:numId w:val="2"/>
        </w:numPr>
      </w:pPr>
      <w:r w:rsidRPr="0039510A">
        <w:rPr>
          <w:b/>
          <w:bCs/>
        </w:rPr>
        <w:t>Job Displacement:</w:t>
      </w:r>
      <w:r w:rsidRPr="0039510A">
        <w:t xml:space="preserve"> There is a moderate positive correlation between AI adoption and job loss (~5% on average), confirming concerns about automation reducing certain job categories. However, job losses tend to be lower than revenue gains, indicating net positive economic impact, especially in technologically advanced sectors.</w:t>
      </w:r>
    </w:p>
    <w:p w14:paraId="1E282239" w14:textId="77777777" w:rsidR="0039510A" w:rsidRPr="0039510A" w:rsidRDefault="0039510A" w:rsidP="0039510A">
      <w:pPr>
        <w:rPr>
          <w:b/>
          <w:bCs/>
        </w:rPr>
      </w:pPr>
      <w:r w:rsidRPr="0039510A">
        <w:rPr>
          <w:b/>
          <w:bCs/>
        </w:rPr>
        <w:t>Trends and Anomalies</w:t>
      </w:r>
    </w:p>
    <w:p w14:paraId="04B599FC" w14:textId="77777777" w:rsidR="0039510A" w:rsidRPr="0039510A" w:rsidRDefault="0039510A" w:rsidP="0039510A">
      <w:pPr>
        <w:numPr>
          <w:ilvl w:val="0"/>
          <w:numId w:val="3"/>
        </w:numPr>
      </w:pPr>
      <w:r w:rsidRPr="0039510A">
        <w:t>Industries such as technology, finance, and healthcare lead in AI adoption and revenue gains, while sectors like manufacturing and retail show mixed results with relatively higher job losses.</w:t>
      </w:r>
    </w:p>
    <w:p w14:paraId="45E111A4" w14:textId="77777777" w:rsidR="0039510A" w:rsidRPr="0039510A" w:rsidRDefault="0039510A" w:rsidP="0039510A">
      <w:pPr>
        <w:numPr>
          <w:ilvl w:val="0"/>
          <w:numId w:val="3"/>
        </w:numPr>
      </w:pPr>
      <w:r w:rsidRPr="0039510A">
        <w:lastRenderedPageBreak/>
        <w:t>Developed countries exhibit higher AI adoption and revenue increases but also higher consumer trust, largely influenced by regulatory frameworks.</w:t>
      </w:r>
    </w:p>
    <w:p w14:paraId="666EAA26" w14:textId="77777777" w:rsidR="0039510A" w:rsidRPr="0039510A" w:rsidRDefault="0039510A" w:rsidP="0039510A">
      <w:pPr>
        <w:numPr>
          <w:ilvl w:val="0"/>
          <w:numId w:val="3"/>
        </w:numPr>
      </w:pPr>
      <w:r w:rsidRPr="0039510A">
        <w:t>Some countries report disproportionate job loss without corresponding revenue benefits, suggesting possible structural challenges or ineffective AI integration.</w:t>
      </w:r>
    </w:p>
    <w:p w14:paraId="3E827163" w14:textId="77777777" w:rsidR="0039510A" w:rsidRPr="0039510A" w:rsidRDefault="0039510A" w:rsidP="0039510A">
      <w:pPr>
        <w:rPr>
          <w:b/>
          <w:bCs/>
        </w:rPr>
      </w:pPr>
      <w:r w:rsidRPr="0039510A">
        <w:rPr>
          <w:b/>
          <w:bCs/>
        </w:rPr>
        <w:t>Regulation and Consumer Trust</w:t>
      </w:r>
    </w:p>
    <w:p w14:paraId="2D44A6ED" w14:textId="77777777" w:rsidR="0039510A" w:rsidRPr="0039510A" w:rsidRDefault="0039510A" w:rsidP="0039510A">
      <w:pPr>
        <w:numPr>
          <w:ilvl w:val="0"/>
          <w:numId w:val="4"/>
        </w:numPr>
      </w:pPr>
      <w:r w:rsidRPr="0039510A">
        <w:t>Strict AI regulations are linked to increased consumer trust but slightly reduce AI adoption rates, reflecting a trade-off between innovation speed and societal acceptance.</w:t>
      </w:r>
    </w:p>
    <w:p w14:paraId="3DC4A245" w14:textId="77777777" w:rsidR="0039510A" w:rsidRPr="0039510A" w:rsidRDefault="0039510A" w:rsidP="0039510A">
      <w:pPr>
        <w:numPr>
          <w:ilvl w:val="0"/>
          <w:numId w:val="4"/>
        </w:numPr>
      </w:pPr>
      <w:r w:rsidRPr="0039510A">
        <w:t>Conversely, lenient regulation may accelerate market growth but risks eroding trust if negative social impacts (e.g., job losses) are perceived as unchecked.</w:t>
      </w:r>
    </w:p>
    <w:p w14:paraId="3B92188B" w14:textId="77777777" w:rsidR="0039510A" w:rsidRPr="0039510A" w:rsidRDefault="0039510A" w:rsidP="0039510A">
      <w:r w:rsidRPr="0039510A">
        <w:pict w14:anchorId="0D4DEDFF">
          <v:rect id="_x0000_i1063" style="width:0;height:1.5pt" o:hralign="center" o:hrstd="t" o:hr="t" fillcolor="#a0a0a0" stroked="f"/>
        </w:pict>
      </w:r>
    </w:p>
    <w:p w14:paraId="6EC4606A" w14:textId="77777777" w:rsidR="0039510A" w:rsidRPr="0039510A" w:rsidRDefault="0039510A" w:rsidP="0039510A">
      <w:pPr>
        <w:rPr>
          <w:b/>
          <w:bCs/>
        </w:rPr>
      </w:pPr>
      <w:r w:rsidRPr="0039510A">
        <w:rPr>
          <w:b/>
          <w:bCs/>
        </w:rPr>
        <w:t>3. Implications for Stakeholders</w:t>
      </w:r>
    </w:p>
    <w:p w14:paraId="7EB3AD21" w14:textId="77777777" w:rsidR="0039510A" w:rsidRPr="0039510A" w:rsidRDefault="0039510A" w:rsidP="0039510A">
      <w:pPr>
        <w:rPr>
          <w:b/>
          <w:bCs/>
        </w:rPr>
      </w:pPr>
      <w:r w:rsidRPr="0039510A">
        <w:rPr>
          <w:b/>
          <w:bCs/>
        </w:rPr>
        <w:t>For Policymakers</w:t>
      </w:r>
    </w:p>
    <w:p w14:paraId="4E05B71C" w14:textId="77777777" w:rsidR="0039510A" w:rsidRPr="0039510A" w:rsidRDefault="0039510A" w:rsidP="0039510A">
      <w:pPr>
        <w:numPr>
          <w:ilvl w:val="0"/>
          <w:numId w:val="5"/>
        </w:numPr>
      </w:pPr>
      <w:r w:rsidRPr="0039510A">
        <w:rPr>
          <w:b/>
          <w:bCs/>
        </w:rPr>
        <w:t>Balanced Regulation:</w:t>
      </w:r>
      <w:r w:rsidRPr="0039510A">
        <w:t xml:space="preserve"> Policies should strike a balance between fostering innovation and protecting workers. Encouraging transparent AI deployment while safeguarding employment through reskilling programs is crucial.</w:t>
      </w:r>
    </w:p>
    <w:p w14:paraId="4C4E8B35" w14:textId="77777777" w:rsidR="0039510A" w:rsidRPr="0039510A" w:rsidRDefault="0039510A" w:rsidP="0039510A">
      <w:pPr>
        <w:numPr>
          <w:ilvl w:val="0"/>
          <w:numId w:val="5"/>
        </w:numPr>
      </w:pPr>
      <w:r w:rsidRPr="0039510A">
        <w:rPr>
          <w:b/>
          <w:bCs/>
        </w:rPr>
        <w:t>Building Trust:</w:t>
      </w:r>
      <w:r w:rsidRPr="0039510A">
        <w:t xml:space="preserve"> Regulations that promote ethical AI and transparency can boost consumer trust, which is essential for long-term adoption and acceptance.</w:t>
      </w:r>
    </w:p>
    <w:p w14:paraId="7C3F4884" w14:textId="77777777" w:rsidR="0039510A" w:rsidRPr="0039510A" w:rsidRDefault="0039510A" w:rsidP="0039510A">
      <w:pPr>
        <w:numPr>
          <w:ilvl w:val="0"/>
          <w:numId w:val="5"/>
        </w:numPr>
      </w:pPr>
      <w:r w:rsidRPr="0039510A">
        <w:rPr>
          <w:b/>
          <w:bCs/>
        </w:rPr>
        <w:t>Targeted Support:</w:t>
      </w:r>
      <w:r w:rsidRPr="0039510A">
        <w:t xml:space="preserve"> Recognizing industry and country-specific differences allows targeted incentives and social safety nets to mitigate negative impacts.</w:t>
      </w:r>
    </w:p>
    <w:p w14:paraId="22CDEF1C" w14:textId="77777777" w:rsidR="0039510A" w:rsidRPr="0039510A" w:rsidRDefault="0039510A" w:rsidP="0039510A">
      <w:pPr>
        <w:rPr>
          <w:b/>
          <w:bCs/>
        </w:rPr>
      </w:pPr>
      <w:r w:rsidRPr="0039510A">
        <w:rPr>
          <w:b/>
          <w:bCs/>
        </w:rPr>
        <w:t>For Businesses and Technology Companies</w:t>
      </w:r>
    </w:p>
    <w:p w14:paraId="515AC216" w14:textId="77777777" w:rsidR="0039510A" w:rsidRPr="0039510A" w:rsidRDefault="0039510A" w:rsidP="0039510A">
      <w:pPr>
        <w:numPr>
          <w:ilvl w:val="0"/>
          <w:numId w:val="6"/>
        </w:numPr>
      </w:pPr>
      <w:r w:rsidRPr="0039510A">
        <w:rPr>
          <w:b/>
          <w:bCs/>
        </w:rPr>
        <w:t>Strategic AI Integration:</w:t>
      </w:r>
      <w:r w:rsidRPr="0039510A">
        <w:t xml:space="preserve"> Companies should focus on AI applications that maximize revenue gains while minimizing displacement by emphasizing human-AI collaboration.</w:t>
      </w:r>
    </w:p>
    <w:p w14:paraId="21D4B9AF" w14:textId="77777777" w:rsidR="0039510A" w:rsidRPr="0039510A" w:rsidRDefault="0039510A" w:rsidP="0039510A">
      <w:pPr>
        <w:numPr>
          <w:ilvl w:val="0"/>
          <w:numId w:val="6"/>
        </w:numPr>
      </w:pPr>
      <w:r w:rsidRPr="0039510A">
        <w:rPr>
          <w:b/>
          <w:bCs/>
        </w:rPr>
        <w:t>Reskilling Workforce:</w:t>
      </w:r>
      <w:r w:rsidRPr="0039510A">
        <w:t xml:space="preserve"> Investing in employee retraining and upskilling will mitigate job loss fears and enhance productivity.</w:t>
      </w:r>
    </w:p>
    <w:p w14:paraId="78E4336E" w14:textId="77777777" w:rsidR="0039510A" w:rsidRPr="0039510A" w:rsidRDefault="0039510A" w:rsidP="0039510A">
      <w:pPr>
        <w:numPr>
          <w:ilvl w:val="0"/>
          <w:numId w:val="6"/>
        </w:numPr>
      </w:pPr>
      <w:r w:rsidRPr="0039510A">
        <w:rPr>
          <w:b/>
          <w:bCs/>
        </w:rPr>
        <w:t>Consumer-Centric AI:</w:t>
      </w:r>
      <w:r w:rsidRPr="0039510A">
        <w:t xml:space="preserve"> Building consumer trust through transparent practices and data privacy safeguards can improve market share and adoption.</w:t>
      </w:r>
    </w:p>
    <w:p w14:paraId="65960064" w14:textId="77777777" w:rsidR="0039510A" w:rsidRPr="0039510A" w:rsidRDefault="0039510A" w:rsidP="0039510A">
      <w:pPr>
        <w:rPr>
          <w:b/>
          <w:bCs/>
        </w:rPr>
      </w:pPr>
      <w:r w:rsidRPr="0039510A">
        <w:rPr>
          <w:b/>
          <w:bCs/>
        </w:rPr>
        <w:t>For Industries</w:t>
      </w:r>
    </w:p>
    <w:p w14:paraId="4699D8DD" w14:textId="77777777" w:rsidR="0039510A" w:rsidRPr="0039510A" w:rsidRDefault="0039510A" w:rsidP="0039510A">
      <w:pPr>
        <w:numPr>
          <w:ilvl w:val="0"/>
          <w:numId w:val="7"/>
        </w:numPr>
      </w:pPr>
      <w:r w:rsidRPr="0039510A">
        <w:rPr>
          <w:b/>
          <w:bCs/>
        </w:rPr>
        <w:t>Leverage AI for Productivity:</w:t>
      </w:r>
      <w:r w:rsidRPr="0039510A">
        <w:t xml:space="preserve"> High AI adoption correlates with productivity gains—industries should invest in AI tools tailored to enhance operational efficiency.</w:t>
      </w:r>
    </w:p>
    <w:p w14:paraId="17217CA4" w14:textId="77777777" w:rsidR="0039510A" w:rsidRPr="0039510A" w:rsidRDefault="0039510A" w:rsidP="0039510A">
      <w:pPr>
        <w:numPr>
          <w:ilvl w:val="0"/>
          <w:numId w:val="7"/>
        </w:numPr>
      </w:pPr>
      <w:r w:rsidRPr="0039510A">
        <w:rPr>
          <w:b/>
          <w:bCs/>
        </w:rPr>
        <w:lastRenderedPageBreak/>
        <w:t>Collaborative Models:</w:t>
      </w:r>
      <w:r w:rsidRPr="0039510A">
        <w:t xml:space="preserve"> Encouraging human-AI collaboration, rather than replacement, can optimize outcomes and reduce resistance to AI.</w:t>
      </w:r>
    </w:p>
    <w:p w14:paraId="7AB757B2" w14:textId="77777777" w:rsidR="0039510A" w:rsidRPr="0039510A" w:rsidRDefault="0039510A" w:rsidP="0039510A">
      <w:pPr>
        <w:numPr>
          <w:ilvl w:val="0"/>
          <w:numId w:val="7"/>
        </w:numPr>
      </w:pPr>
      <w:r w:rsidRPr="0039510A">
        <w:rPr>
          <w:b/>
          <w:bCs/>
        </w:rPr>
        <w:t>Monitor Trends:</w:t>
      </w:r>
      <w:r w:rsidRPr="0039510A">
        <w:t xml:space="preserve"> Continuous data-driven evaluation will allow industries to adjust strategies as AI evolves.</w:t>
      </w:r>
    </w:p>
    <w:p w14:paraId="66AC49BD" w14:textId="77777777" w:rsidR="0039510A" w:rsidRPr="0039510A" w:rsidRDefault="0039510A" w:rsidP="0039510A">
      <w:r w:rsidRPr="0039510A">
        <w:pict w14:anchorId="01B00B22">
          <v:rect id="_x0000_i1064" style="width:0;height:1.5pt" o:hralign="center" o:hrstd="t" o:hr="t" fillcolor="#a0a0a0" stroked="f"/>
        </w:pict>
      </w:r>
    </w:p>
    <w:p w14:paraId="7A95BE15" w14:textId="77777777" w:rsidR="0039510A" w:rsidRPr="0039510A" w:rsidRDefault="0039510A" w:rsidP="0039510A">
      <w:pPr>
        <w:rPr>
          <w:b/>
          <w:bCs/>
        </w:rPr>
      </w:pPr>
      <w:r w:rsidRPr="0039510A">
        <w:rPr>
          <w:b/>
          <w:bCs/>
        </w:rPr>
        <w:t>4. Using Insights to Inform Policy and Business Strategy</w:t>
      </w:r>
    </w:p>
    <w:p w14:paraId="5DAA3772" w14:textId="77777777" w:rsidR="0039510A" w:rsidRPr="0039510A" w:rsidRDefault="0039510A" w:rsidP="0039510A">
      <w:pPr>
        <w:numPr>
          <w:ilvl w:val="0"/>
          <w:numId w:val="8"/>
        </w:numPr>
      </w:pPr>
      <w:r w:rsidRPr="0039510A">
        <w:t>Policymakers can use AI adoption and impact data to design regulations that promote responsible AI while cushioning adverse employment effects.</w:t>
      </w:r>
    </w:p>
    <w:p w14:paraId="661DE827" w14:textId="77777777" w:rsidR="0039510A" w:rsidRPr="0039510A" w:rsidRDefault="0039510A" w:rsidP="0039510A">
      <w:pPr>
        <w:numPr>
          <w:ilvl w:val="0"/>
          <w:numId w:val="8"/>
        </w:numPr>
      </w:pPr>
      <w:r w:rsidRPr="0039510A">
        <w:t>Businesses can use insights on industry-specific adoption and consumer trust to prioritize AI investments that align with customer expectations and regulatory environments.</w:t>
      </w:r>
    </w:p>
    <w:p w14:paraId="246014E9" w14:textId="77777777" w:rsidR="0039510A" w:rsidRPr="0039510A" w:rsidRDefault="0039510A" w:rsidP="0039510A">
      <w:pPr>
        <w:numPr>
          <w:ilvl w:val="0"/>
          <w:numId w:val="8"/>
        </w:numPr>
      </w:pPr>
      <w:r w:rsidRPr="0039510A">
        <w:t>Strategic focus on building consumer trust and transparent communication will be key differentiators.</w:t>
      </w:r>
    </w:p>
    <w:p w14:paraId="150EE1F9" w14:textId="77777777" w:rsidR="0039510A" w:rsidRPr="0039510A" w:rsidRDefault="0039510A" w:rsidP="0039510A">
      <w:pPr>
        <w:numPr>
          <w:ilvl w:val="0"/>
          <w:numId w:val="8"/>
        </w:numPr>
      </w:pPr>
      <w:r w:rsidRPr="0039510A">
        <w:t>Collaborative approaches blending AI with human expertise will drive sustainable growth and societal acceptance.</w:t>
      </w:r>
    </w:p>
    <w:p w14:paraId="76FFD130" w14:textId="77777777" w:rsidR="0039510A" w:rsidRPr="0039510A" w:rsidRDefault="0039510A" w:rsidP="0039510A">
      <w:r w:rsidRPr="0039510A">
        <w:pict w14:anchorId="59A7D35E">
          <v:rect id="_x0000_i1065" style="width:0;height:1.5pt" o:hralign="center" o:hrstd="t" o:hr="t" fillcolor="#a0a0a0" stroked="f"/>
        </w:pict>
      </w:r>
    </w:p>
    <w:p w14:paraId="4F09266F" w14:textId="77777777" w:rsidR="0039510A" w:rsidRPr="0039510A" w:rsidRDefault="0039510A" w:rsidP="0039510A">
      <w:pPr>
        <w:rPr>
          <w:b/>
          <w:bCs/>
        </w:rPr>
      </w:pPr>
      <w:r w:rsidRPr="0039510A">
        <w:rPr>
          <w:b/>
          <w:bCs/>
        </w:rPr>
        <w:t>5. Summary of Visualizations and Their Interpretations</w:t>
      </w:r>
    </w:p>
    <w:p w14:paraId="2D143DE0" w14:textId="77777777" w:rsidR="0039510A" w:rsidRPr="0039510A" w:rsidRDefault="0039510A" w:rsidP="0039510A">
      <w:pPr>
        <w:numPr>
          <w:ilvl w:val="0"/>
          <w:numId w:val="9"/>
        </w:numPr>
      </w:pPr>
      <w:r w:rsidRPr="0039510A">
        <w:rPr>
          <w:b/>
          <w:bCs/>
        </w:rPr>
        <w:t>Histograms and KDE plots</w:t>
      </w:r>
      <w:r w:rsidRPr="0039510A">
        <w:t xml:space="preserve"> revealed most industries cluster around moderate AI adoption rates, suggesting room for growth.</w:t>
      </w:r>
    </w:p>
    <w:p w14:paraId="7C969423" w14:textId="77777777" w:rsidR="0039510A" w:rsidRPr="0039510A" w:rsidRDefault="0039510A" w:rsidP="0039510A">
      <w:pPr>
        <w:numPr>
          <w:ilvl w:val="0"/>
          <w:numId w:val="9"/>
        </w:numPr>
      </w:pPr>
      <w:r w:rsidRPr="0039510A">
        <w:rPr>
          <w:b/>
          <w:bCs/>
        </w:rPr>
        <w:t>Box plots</w:t>
      </w:r>
      <w:r w:rsidRPr="0039510A">
        <w:t xml:space="preserve"> highlighted that technology and finance sectors outperform others in revenue gains and maintain moderate job losses.</w:t>
      </w:r>
    </w:p>
    <w:p w14:paraId="37BDF3C8" w14:textId="77777777" w:rsidR="0039510A" w:rsidRPr="0039510A" w:rsidRDefault="0039510A" w:rsidP="0039510A">
      <w:pPr>
        <w:numPr>
          <w:ilvl w:val="0"/>
          <w:numId w:val="9"/>
        </w:numPr>
      </w:pPr>
      <w:r w:rsidRPr="0039510A">
        <w:rPr>
          <w:b/>
          <w:bCs/>
        </w:rPr>
        <w:t>Heatmaps</w:t>
      </w:r>
      <w:r w:rsidRPr="0039510A">
        <w:t xml:space="preserve"> showed strong correlations between adoption, revenue, and trust, guiding focus areas for intervention.</w:t>
      </w:r>
    </w:p>
    <w:p w14:paraId="0D3E1D3F" w14:textId="77777777" w:rsidR="0039510A" w:rsidRPr="0039510A" w:rsidRDefault="0039510A" w:rsidP="0039510A">
      <w:pPr>
        <w:numPr>
          <w:ilvl w:val="0"/>
          <w:numId w:val="9"/>
        </w:numPr>
      </w:pPr>
      <w:r w:rsidRPr="0039510A">
        <w:rPr>
          <w:b/>
          <w:bCs/>
        </w:rPr>
        <w:t>Trend lines</w:t>
      </w:r>
      <w:r w:rsidRPr="0039510A">
        <w:t xml:space="preserve"> indicated steady growth in AI adoption and revenue, signaling ongoing AI influence in economies.</w:t>
      </w:r>
    </w:p>
    <w:p w14:paraId="22F4A858" w14:textId="77777777" w:rsidR="0039510A" w:rsidRPr="0039510A" w:rsidRDefault="0039510A" w:rsidP="0039510A">
      <w:pPr>
        <w:numPr>
          <w:ilvl w:val="0"/>
          <w:numId w:val="9"/>
        </w:numPr>
      </w:pPr>
      <w:r w:rsidRPr="0039510A">
        <w:rPr>
          <w:b/>
          <w:bCs/>
        </w:rPr>
        <w:t>Swarm plots</w:t>
      </w:r>
      <w:r w:rsidRPr="0039510A">
        <w:t xml:space="preserve"> demonstrated that stricter regulations tend to increase consumer trust, reinforcing the role of governance.</w:t>
      </w:r>
    </w:p>
    <w:p w14:paraId="1EEB0320" w14:textId="77777777" w:rsidR="0039510A" w:rsidRPr="0039510A" w:rsidRDefault="0039510A" w:rsidP="0039510A">
      <w:r w:rsidRPr="0039510A">
        <w:pict w14:anchorId="1664A9F3">
          <v:rect id="_x0000_i1066" style="width:0;height:1.5pt" o:hralign="center" o:hrstd="t" o:hr="t" fillcolor="#a0a0a0" stroked="f"/>
        </w:pict>
      </w:r>
    </w:p>
    <w:p w14:paraId="38E39D38" w14:textId="77777777" w:rsidR="0039510A" w:rsidRPr="0039510A" w:rsidRDefault="0039510A" w:rsidP="0039510A">
      <w:pPr>
        <w:rPr>
          <w:b/>
          <w:bCs/>
        </w:rPr>
      </w:pPr>
      <w:r w:rsidRPr="0039510A">
        <w:rPr>
          <w:b/>
          <w:bCs/>
        </w:rPr>
        <w:t>Conclusion</w:t>
      </w:r>
    </w:p>
    <w:p w14:paraId="0F1348D6" w14:textId="77777777" w:rsidR="0039510A" w:rsidRPr="0039510A" w:rsidRDefault="0039510A" w:rsidP="0039510A">
      <w:r w:rsidRPr="0039510A">
        <w:lastRenderedPageBreak/>
        <w:t>The data-driven analysis confirms that AI adoption generally fuels revenue growth across industries and countries, but also leads to some job displacement. The effects vary significantly by industry, country, and regulatory environment. Effective policies, strategic business investments, and consumer-focused approaches are essential to harness AI’s benefits while mitigating risks. Continuous monitoring and adaptive strategies will be crucial as AI evolves globally.</w:t>
      </w:r>
    </w:p>
    <w:p w14:paraId="296423F1" w14:textId="77777777" w:rsidR="008945FA" w:rsidRDefault="008945FA"/>
    <w:sectPr w:rsidR="0089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4D5A"/>
    <w:multiLevelType w:val="multilevel"/>
    <w:tmpl w:val="788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4257"/>
    <w:multiLevelType w:val="multilevel"/>
    <w:tmpl w:val="AABC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3642"/>
    <w:multiLevelType w:val="multilevel"/>
    <w:tmpl w:val="77F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F3C0A"/>
    <w:multiLevelType w:val="multilevel"/>
    <w:tmpl w:val="FC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36DAD"/>
    <w:multiLevelType w:val="multilevel"/>
    <w:tmpl w:val="8C6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54E77"/>
    <w:multiLevelType w:val="multilevel"/>
    <w:tmpl w:val="059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A242D"/>
    <w:multiLevelType w:val="multilevel"/>
    <w:tmpl w:val="0B8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3683D"/>
    <w:multiLevelType w:val="multilevel"/>
    <w:tmpl w:val="5DDC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220A9"/>
    <w:multiLevelType w:val="multilevel"/>
    <w:tmpl w:val="738C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968059">
    <w:abstractNumId w:val="5"/>
  </w:num>
  <w:num w:numId="2" w16cid:durableId="1024206017">
    <w:abstractNumId w:val="2"/>
  </w:num>
  <w:num w:numId="3" w16cid:durableId="702096045">
    <w:abstractNumId w:val="3"/>
  </w:num>
  <w:num w:numId="4" w16cid:durableId="796071643">
    <w:abstractNumId w:val="1"/>
  </w:num>
  <w:num w:numId="5" w16cid:durableId="370034030">
    <w:abstractNumId w:val="7"/>
  </w:num>
  <w:num w:numId="6" w16cid:durableId="1514108565">
    <w:abstractNumId w:val="4"/>
  </w:num>
  <w:num w:numId="7" w16cid:durableId="1064916209">
    <w:abstractNumId w:val="0"/>
  </w:num>
  <w:num w:numId="8" w16cid:durableId="563682391">
    <w:abstractNumId w:val="6"/>
  </w:num>
  <w:num w:numId="9" w16cid:durableId="54664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0A"/>
    <w:rsid w:val="000428AF"/>
    <w:rsid w:val="000E22E6"/>
    <w:rsid w:val="0039510A"/>
    <w:rsid w:val="0041183D"/>
    <w:rsid w:val="008945FA"/>
    <w:rsid w:val="00935959"/>
    <w:rsid w:val="00F31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05919"/>
  <w15:chartTrackingRefBased/>
  <w15:docId w15:val="{AE47AA0E-5BCB-40F8-A0F0-17842CD1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1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1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1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1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51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51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1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1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10A"/>
    <w:rPr>
      <w:rFonts w:eastAsiaTheme="majorEastAsia" w:cstheme="majorBidi"/>
      <w:color w:val="272727" w:themeColor="text1" w:themeTint="D8"/>
    </w:rPr>
  </w:style>
  <w:style w:type="paragraph" w:styleId="Title">
    <w:name w:val="Title"/>
    <w:basedOn w:val="Normal"/>
    <w:next w:val="Normal"/>
    <w:link w:val="TitleChar"/>
    <w:uiPriority w:val="10"/>
    <w:qFormat/>
    <w:rsid w:val="00395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10A"/>
    <w:pPr>
      <w:spacing w:before="160"/>
      <w:jc w:val="center"/>
    </w:pPr>
    <w:rPr>
      <w:i/>
      <w:iCs/>
      <w:color w:val="404040" w:themeColor="text1" w:themeTint="BF"/>
    </w:rPr>
  </w:style>
  <w:style w:type="character" w:customStyle="1" w:styleId="QuoteChar">
    <w:name w:val="Quote Char"/>
    <w:basedOn w:val="DefaultParagraphFont"/>
    <w:link w:val="Quote"/>
    <w:uiPriority w:val="29"/>
    <w:rsid w:val="0039510A"/>
    <w:rPr>
      <w:i/>
      <w:iCs/>
      <w:color w:val="404040" w:themeColor="text1" w:themeTint="BF"/>
    </w:rPr>
  </w:style>
  <w:style w:type="paragraph" w:styleId="ListParagraph">
    <w:name w:val="List Paragraph"/>
    <w:basedOn w:val="Normal"/>
    <w:uiPriority w:val="34"/>
    <w:qFormat/>
    <w:rsid w:val="0039510A"/>
    <w:pPr>
      <w:ind w:left="720"/>
      <w:contextualSpacing/>
    </w:pPr>
  </w:style>
  <w:style w:type="character" w:styleId="IntenseEmphasis">
    <w:name w:val="Intense Emphasis"/>
    <w:basedOn w:val="DefaultParagraphFont"/>
    <w:uiPriority w:val="21"/>
    <w:qFormat/>
    <w:rsid w:val="0039510A"/>
    <w:rPr>
      <w:i/>
      <w:iCs/>
      <w:color w:val="2F5496" w:themeColor="accent1" w:themeShade="BF"/>
    </w:rPr>
  </w:style>
  <w:style w:type="paragraph" w:styleId="IntenseQuote">
    <w:name w:val="Intense Quote"/>
    <w:basedOn w:val="Normal"/>
    <w:next w:val="Normal"/>
    <w:link w:val="IntenseQuoteChar"/>
    <w:uiPriority w:val="30"/>
    <w:qFormat/>
    <w:rsid w:val="00395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10A"/>
    <w:rPr>
      <w:i/>
      <w:iCs/>
      <w:color w:val="2F5496" w:themeColor="accent1" w:themeShade="BF"/>
    </w:rPr>
  </w:style>
  <w:style w:type="character" w:styleId="IntenseReference">
    <w:name w:val="Intense Reference"/>
    <w:basedOn w:val="DefaultParagraphFont"/>
    <w:uiPriority w:val="32"/>
    <w:qFormat/>
    <w:rsid w:val="003951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459018">
      <w:bodyDiv w:val="1"/>
      <w:marLeft w:val="0"/>
      <w:marRight w:val="0"/>
      <w:marTop w:val="0"/>
      <w:marBottom w:val="0"/>
      <w:divBdr>
        <w:top w:val="none" w:sz="0" w:space="0" w:color="auto"/>
        <w:left w:val="none" w:sz="0" w:space="0" w:color="auto"/>
        <w:bottom w:val="none" w:sz="0" w:space="0" w:color="auto"/>
        <w:right w:val="none" w:sz="0" w:space="0" w:color="auto"/>
      </w:divBdr>
    </w:div>
    <w:div w:id="103896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mustafa</dc:creator>
  <cp:keywords/>
  <dc:description/>
  <cp:lastModifiedBy>hafsa mustafa</cp:lastModifiedBy>
  <cp:revision>1</cp:revision>
  <dcterms:created xsi:type="dcterms:W3CDTF">2025-05-15T23:22:00Z</dcterms:created>
  <dcterms:modified xsi:type="dcterms:W3CDTF">2025-05-15T23:22:00Z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be463bb4-147a-499d-a29c-ba747689f1fd</vt:lpwstr>
  </property>
</Properties>
</file>