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EqualTales — Evidence Log</w:t>
      </w:r>
    </w:p>
    <w:p/>
    <w:p>
      <w:r>
        <w:t>Project: EqualTales</w:t>
      </w:r>
    </w:p>
    <w:p>
      <w:r>
        <w:t>Team: Solo Builder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Source Attribution Table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Item / Claim</w:t>
            </w:r>
          </w:p>
        </w:tc>
        <w:tc>
          <w:tcPr>
            <w:tcW w:type="dxa" w:w="1234"/>
          </w:tcPr>
          <w:p>
            <w:r>
              <w:t>Purpose in Project</w:t>
            </w:r>
          </w:p>
        </w:tc>
        <w:tc>
          <w:tcPr>
            <w:tcW w:type="dxa" w:w="1234"/>
          </w:tcPr>
          <w:p>
            <w:r>
              <w:t>Source Link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License / Attribution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React</w:t>
            </w:r>
          </w:p>
        </w:tc>
        <w:tc>
          <w:tcPr>
            <w:tcW w:type="dxa" w:w="1234"/>
          </w:tcPr>
          <w:p>
            <w:r>
              <w:t>Frontend framework</w:t>
            </w:r>
          </w:p>
        </w:tc>
        <w:tc>
          <w:tcPr>
            <w:tcW w:type="dxa" w:w="1234"/>
          </w:tcPr>
          <w:p>
            <w:r>
              <w:t>https://react.dev</w:t>
            </w:r>
          </w:p>
        </w:tc>
        <w:tc>
          <w:tcPr>
            <w:tcW w:type="dxa" w:w="1234"/>
          </w:tcPr>
          <w:p>
            <w:r>
              <w:t>Code</w:t>
            </w:r>
          </w:p>
        </w:tc>
        <w:tc>
          <w:tcPr>
            <w:tcW w:type="dxa" w:w="1234"/>
          </w:tcPr>
          <w:p>
            <w:r>
              <w:t>MIT License</w:t>
            </w:r>
          </w:p>
        </w:tc>
        <w:tc>
          <w:tcPr>
            <w:tcW w:type="dxa" w:w="1234"/>
          </w:tcPr>
          <w:p>
            <w:r>
              <w:t>v18.2.0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Flask</w:t>
            </w:r>
          </w:p>
        </w:tc>
        <w:tc>
          <w:tcPr>
            <w:tcW w:type="dxa" w:w="1234"/>
          </w:tcPr>
          <w:p>
            <w:r>
              <w:t>Backend API framework</w:t>
            </w:r>
          </w:p>
        </w:tc>
        <w:tc>
          <w:tcPr>
            <w:tcW w:type="dxa" w:w="1234"/>
          </w:tcPr>
          <w:p>
            <w:r>
              <w:t>https://flask.palletsprojects.com</w:t>
            </w:r>
          </w:p>
        </w:tc>
        <w:tc>
          <w:tcPr>
            <w:tcW w:type="dxa" w:w="1234"/>
          </w:tcPr>
          <w:p>
            <w:r>
              <w:t>Code</w:t>
            </w:r>
          </w:p>
        </w:tc>
        <w:tc>
          <w:tcPr>
            <w:tcW w:type="dxa" w:w="1234"/>
          </w:tcPr>
          <w:p>
            <w:r>
              <w:t>BSD-3-Clause</w:t>
            </w:r>
          </w:p>
        </w:tc>
        <w:tc>
          <w:tcPr>
            <w:tcW w:type="dxa" w:w="1234"/>
          </w:tcPr>
          <w:p>
            <w:r>
              <w:t>v3.0.0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FastMCP</w:t>
            </w:r>
          </w:p>
        </w:tc>
        <w:tc>
          <w:tcPr>
            <w:tcW w:type="dxa" w:w="1234"/>
          </w:tcPr>
          <w:p>
            <w:r>
              <w:t>MCP server framework for Goose</w:t>
            </w:r>
          </w:p>
        </w:tc>
        <w:tc>
          <w:tcPr>
            <w:tcW w:type="dxa" w:w="1234"/>
          </w:tcPr>
          <w:p>
            <w:r>
              <w:t>https://github.com/jlowin/fastmcp</w:t>
            </w:r>
          </w:p>
        </w:tc>
        <w:tc>
          <w:tcPr>
            <w:tcW w:type="dxa" w:w="1234"/>
          </w:tcPr>
          <w:p>
            <w:r>
              <w:t>Code</w:t>
            </w:r>
          </w:p>
        </w:tc>
        <w:tc>
          <w:tcPr>
            <w:tcW w:type="dxa" w:w="1234"/>
          </w:tcPr>
          <w:p>
            <w:r>
              <w:t>MIT License</w:t>
            </w:r>
          </w:p>
        </w:tc>
        <w:tc>
          <w:tcPr>
            <w:tcW w:type="dxa" w:w="1234"/>
          </w:tcPr>
          <w:p>
            <w:r>
              <w:t>v2.0.0+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OpenAI Python SDK</w:t>
            </w:r>
          </w:p>
        </w:tc>
        <w:tc>
          <w:tcPr>
            <w:tcW w:type="dxa" w:w="1234"/>
          </w:tcPr>
          <w:p>
            <w:r>
              <w:t>API client for DALL-E 3</w:t>
            </w:r>
          </w:p>
        </w:tc>
        <w:tc>
          <w:tcPr>
            <w:tcW w:type="dxa" w:w="1234"/>
          </w:tcPr>
          <w:p>
            <w:r>
              <w:t>https://github.com/openai/openai-python</w:t>
            </w:r>
          </w:p>
        </w:tc>
        <w:tc>
          <w:tcPr>
            <w:tcW w:type="dxa" w:w="1234"/>
          </w:tcPr>
          <w:p>
            <w:r>
              <w:t>Code</w:t>
            </w:r>
          </w:p>
        </w:tc>
        <w:tc>
          <w:tcPr>
            <w:tcW w:type="dxa" w:w="1234"/>
          </w:tcPr>
          <w:p>
            <w:r>
              <w:t>MIT License</w:t>
            </w:r>
          </w:p>
        </w:tc>
        <w:tc>
          <w:tcPr>
            <w:tcW w:type="dxa" w:w="1234"/>
          </w:tcPr>
          <w:p>
            <w:r>
              <w:t>v1.55.0+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python-dotenv</w:t>
            </w:r>
          </w:p>
        </w:tc>
        <w:tc>
          <w:tcPr>
            <w:tcW w:type="dxa" w:w="1234"/>
          </w:tcPr>
          <w:p>
            <w:r>
              <w:t>Environment variable management</w:t>
            </w:r>
          </w:p>
        </w:tc>
        <w:tc>
          <w:tcPr>
            <w:tcW w:type="dxa" w:w="1234"/>
          </w:tcPr>
          <w:p>
            <w:r>
              <w:t>https://github.com/theskumar/python-dotenv</w:t>
            </w:r>
          </w:p>
        </w:tc>
        <w:tc>
          <w:tcPr>
            <w:tcW w:type="dxa" w:w="1234"/>
          </w:tcPr>
          <w:p>
            <w:r>
              <w:t>Code</w:t>
            </w:r>
          </w:p>
        </w:tc>
        <w:tc>
          <w:tcPr>
            <w:tcW w:type="dxa" w:w="1234"/>
          </w:tcPr>
          <w:p>
            <w:r>
              <w:t>BSD-3-Clause</w:t>
            </w:r>
          </w:p>
        </w:tc>
        <w:tc>
          <w:tcPr>
            <w:tcW w:type="dxa" w:w="1234"/>
          </w:tcPr>
          <w:p>
            <w:r>
              <w:t>v1.0.0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Goose</w:t>
            </w:r>
          </w:p>
        </w:tc>
        <w:tc>
          <w:tcPr>
            <w:tcW w:type="dxa" w:w="1234"/>
          </w:tcPr>
          <w:p>
            <w:r>
              <w:t>AI agent orchestration framework</w:t>
            </w:r>
          </w:p>
        </w:tc>
        <w:tc>
          <w:tcPr>
            <w:tcW w:type="dxa" w:w="1234"/>
          </w:tcPr>
          <w:p>
            <w:r>
              <w:t>https://github.com/block/goose</w:t>
            </w:r>
          </w:p>
        </w:tc>
        <w:tc>
          <w:tcPr>
            <w:tcW w:type="dxa" w:w="1234"/>
          </w:tcPr>
          <w:p>
            <w:r>
              <w:t>Code</w:t>
            </w:r>
          </w:p>
        </w:tc>
        <w:tc>
          <w:tcPr>
            <w:tcW w:type="dxa" w:w="1234"/>
          </w:tcPr>
          <w:p>
            <w:r>
              <w:t>Apache 2.0</w:t>
            </w:r>
          </w:p>
        </w:tc>
        <w:tc>
          <w:tcPr>
            <w:tcW w:type="dxa" w:w="1234"/>
          </w:tcPr>
          <w:p>
            <w:r>
              <w:t>Block's open-source framework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Quicksand Font</w:t>
            </w:r>
          </w:p>
        </w:tc>
        <w:tc>
          <w:tcPr>
            <w:tcW w:type="dxa" w:w="1234"/>
          </w:tcPr>
          <w:p>
            <w:r>
              <w:t>Primary display typography</w:t>
            </w:r>
          </w:p>
        </w:tc>
        <w:tc>
          <w:tcPr>
            <w:tcW w:type="dxa" w:w="1234"/>
          </w:tcPr>
          <w:p>
            <w:r>
              <w:t>https://fonts.google.com/specimen/Quicksand</w:t>
            </w:r>
          </w:p>
        </w:tc>
        <w:tc>
          <w:tcPr>
            <w:tcW w:type="dxa" w:w="1234"/>
          </w:tcPr>
          <w:p>
            <w:r>
              <w:t>Visual</w:t>
            </w:r>
          </w:p>
        </w:tc>
        <w:tc>
          <w:tcPr>
            <w:tcW w:type="dxa" w:w="1234"/>
          </w:tcPr>
          <w:p>
            <w:r>
              <w:t>SIL Open Font License</w:t>
            </w:r>
          </w:p>
        </w:tc>
        <w:tc>
          <w:tcPr>
            <w:tcW w:type="dxa" w:w="1234"/>
          </w:tcPr>
          <w:p>
            <w:r>
              <w:t>Titles, headings, story text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DM Sans Font</w:t>
            </w:r>
          </w:p>
        </w:tc>
        <w:tc>
          <w:tcPr>
            <w:tcW w:type="dxa" w:w="1234"/>
          </w:tcPr>
          <w:p>
            <w:r>
              <w:t>UI typography</w:t>
            </w:r>
          </w:p>
        </w:tc>
        <w:tc>
          <w:tcPr>
            <w:tcW w:type="dxa" w:w="1234"/>
          </w:tcPr>
          <w:p>
            <w:r>
              <w:t>https://fonts.google.com/specimen/DM+Sans</w:t>
            </w:r>
          </w:p>
        </w:tc>
        <w:tc>
          <w:tcPr>
            <w:tcW w:type="dxa" w:w="1234"/>
          </w:tcPr>
          <w:p>
            <w:r>
              <w:t>Visual</w:t>
            </w:r>
          </w:p>
        </w:tc>
        <w:tc>
          <w:tcPr>
            <w:tcW w:type="dxa" w:w="1234"/>
          </w:tcPr>
          <w:p>
            <w:r>
              <w:t>SIL Open Font License</w:t>
            </w:r>
          </w:p>
        </w:tc>
        <w:tc>
          <w:tcPr>
            <w:tcW w:type="dxa" w:w="1234"/>
          </w:tcPr>
          <w:p>
            <w:r>
              <w:t>Buttons, forms, labels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Caveat Font</w:t>
            </w:r>
          </w:p>
        </w:tc>
        <w:tc>
          <w:tcPr>
            <w:tcW w:type="dxa" w:w="1234"/>
          </w:tcPr>
          <w:p>
            <w:r>
              <w:t>Handwritten accent typography</w:t>
            </w:r>
          </w:p>
        </w:tc>
        <w:tc>
          <w:tcPr>
            <w:tcW w:type="dxa" w:w="1234"/>
          </w:tcPr>
          <w:p>
            <w:r>
              <w:t>https://fonts.google.com/specimen/Caveat</w:t>
            </w:r>
          </w:p>
        </w:tc>
        <w:tc>
          <w:tcPr>
            <w:tcW w:type="dxa" w:w="1234"/>
          </w:tcPr>
          <w:p>
            <w:r>
              <w:t>Visual</w:t>
            </w:r>
          </w:p>
        </w:tc>
        <w:tc>
          <w:tcPr>
            <w:tcW w:type="dxa" w:w="1234"/>
          </w:tcPr>
          <w:p>
            <w:r>
              <w:t>SIL Open Font License</w:t>
            </w:r>
          </w:p>
        </w:tc>
        <w:tc>
          <w:tcPr>
            <w:tcW w:type="dxa" w:w="1234"/>
          </w:tcPr>
          <w:p>
            <w:r>
              <w:t>Footnotes, timestamps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"Children absorb stereotypes by age 3"</w:t>
            </w:r>
          </w:p>
        </w:tc>
        <w:tc>
          <w:tcPr>
            <w:tcW w:type="dxa" w:w="1234"/>
          </w:tcPr>
          <w:p>
            <w:r>
              <w:t>Problem statement foundation</w:t>
            </w:r>
          </w:p>
        </w:tc>
        <w:tc>
          <w:tcPr>
            <w:tcW w:type="dxa" w:w="1234"/>
          </w:tcPr>
          <w:p>
            <w:r>
              <w:t>Bian, L., Leslie, S. J., &amp; Cimpian, A. (2017). Gender stereotypes about intellectual ability emerge early and influence children's interests. *Science*, 355(6323), 389-391.</w:t>
            </w:r>
          </w:p>
        </w:tc>
        <w:tc>
          <w:tcPr>
            <w:tcW w:type="dxa" w:w="1234"/>
          </w:tcPr>
          <w:p>
            <w:r>
              <w:t>Research</w:t>
            </w:r>
          </w:p>
        </w:tc>
        <w:tc>
          <w:tcPr>
            <w:tcW w:type="dxa" w:w="1234"/>
          </w:tcPr>
          <w:p>
            <w:r>
              <w:t>Academic citation</w:t>
            </w:r>
          </w:p>
        </w:tc>
        <w:tc>
          <w:tcPr>
            <w:tcW w:type="dxa" w:w="1234"/>
          </w:tcPr>
          <w:p>
            <w:r>
              <w:t>DOI: 10.1126/science.aah6524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"By age 6, girls believe boys are smarter"</w:t>
            </w:r>
          </w:p>
        </w:tc>
        <w:tc>
          <w:tcPr>
            <w:tcW w:type="dxa" w:w="1234"/>
          </w:tcPr>
          <w:p>
            <w:r>
              <w:t>Problem statement evidence</w:t>
            </w:r>
          </w:p>
        </w:tc>
        <w:tc>
          <w:tcPr>
            <w:tcW w:type="dxa" w:w="1234"/>
          </w:tcPr>
          <w:p>
            <w:r>
              <w:t>Same as #10 (Bian et al., 2017)</w:t>
            </w:r>
          </w:p>
        </w:tc>
        <w:tc>
          <w:tcPr>
            <w:tcW w:type="dxa" w:w="1234"/>
          </w:tcPr>
          <w:p>
            <w:r>
              <w:t>Research</w:t>
            </w:r>
          </w:p>
        </w:tc>
        <w:tc>
          <w:tcPr>
            <w:tcW w:type="dxa" w:w="1234"/>
          </w:tcPr>
          <w:p>
            <w:r>
              <w:t>Academic citation</w:t>
            </w:r>
          </w:p>
        </w:tc>
        <w:tc>
          <w:tcPr>
            <w:tcW w:type="dxa" w:w="1234"/>
          </w:tcPr>
          <w:p>
            <w:r>
              <w:t>Key finding from same study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"AI-generated stories amplify stereotypes 55% more"</w:t>
            </w:r>
          </w:p>
        </w:tc>
        <w:tc>
          <w:tcPr>
            <w:tcW w:type="dxa" w:w="1234"/>
          </w:tcPr>
          <w:p>
            <w:r>
              <w:t>Justification for QA verification loop</w:t>
            </w:r>
          </w:p>
        </w:tc>
        <w:tc>
          <w:tcPr>
            <w:tcW w:type="dxa" w:w="1234"/>
          </w:tcPr>
          <w:p>
            <w:r>
              <w:t>EMNLP 2025 research on AI bias in children's content</w:t>
            </w:r>
          </w:p>
        </w:tc>
        <w:tc>
          <w:tcPr>
            <w:tcW w:type="dxa" w:w="1234"/>
          </w:tcPr>
          <w:p>
            <w:r>
              <w:t>Research</w:t>
            </w:r>
          </w:p>
        </w:tc>
        <w:tc>
          <w:tcPr>
            <w:tcW w:type="dxa" w:w="1234"/>
          </w:tcPr>
          <w:p>
            <w:r>
              <w:t>Academic citation</w:t>
            </w:r>
          </w:p>
        </w:tc>
        <w:tc>
          <w:tcPr>
            <w:tcW w:type="dxa" w:w="1234"/>
          </w:tcPr>
          <w:p>
            <w:r>
              <w:t>Motivated the verify_story tool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"Counter-stereotypical content shifts attitudes"</w:t>
            </w:r>
          </w:p>
        </w:tc>
        <w:tc>
          <w:tcPr>
            <w:tcW w:type="dxa" w:w="1234"/>
          </w:tcPr>
          <w:p>
            <w:r>
              <w:t>Solution effectiveness basis</w:t>
            </w:r>
          </w:p>
        </w:tc>
        <w:tc>
          <w:tcPr>
            <w:tcW w:type="dxa" w:w="1234"/>
          </w:tcPr>
          <w:p>
            <w:r>
              <w:t>Master, A., Cheryan, S., &amp; Meltzoff, A. N. (2016). Computing whether she belongs. *Journal of Educational Psychology*, 108(3), 424-437.</w:t>
            </w:r>
          </w:p>
        </w:tc>
        <w:tc>
          <w:tcPr>
            <w:tcW w:type="dxa" w:w="1234"/>
          </w:tcPr>
          <w:p>
            <w:r>
              <w:t>Research</w:t>
            </w:r>
          </w:p>
        </w:tc>
        <w:tc>
          <w:tcPr>
            <w:tcW w:type="dxa" w:w="1234"/>
          </w:tcPr>
          <w:p>
            <w:r>
              <w:t>Academic citation</w:t>
            </w:r>
          </w:p>
        </w:tc>
        <w:tc>
          <w:tcPr>
            <w:tcW w:type="dxa" w:w="1234"/>
          </w:tcPr>
          <w:p>
            <w:r>
              <w:t>DOI: 10.1037/edu0000061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Knowledge base women (50 entries)</w:t>
            </w:r>
          </w:p>
        </w:tc>
        <w:tc>
          <w:tcPr>
            <w:tcW w:type="dxa" w:w="1234"/>
          </w:tcPr>
          <w:p>
            <w:r>
              <w:t>Real women featured in stories</w:t>
            </w:r>
          </w:p>
        </w:tc>
        <w:tc>
          <w:tcPr>
            <w:tcW w:type="dxa" w:w="1234"/>
          </w:tcPr>
          <w:p>
            <w:r>
              <w:t>Wikipedia, Britannica, verified biographies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Public domain / Fair use</w:t>
            </w:r>
          </w:p>
        </w:tc>
        <w:tc>
          <w:tcPr>
            <w:tcW w:type="dxa" w:w="1234"/>
          </w:tcPr>
          <w:p>
            <w:r>
              <w:t>Each woman's facts verified against 2+ sources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AI-Generated Content Log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AI Tool Used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What AI Generated</w:t>
            </w:r>
          </w:p>
        </w:tc>
        <w:tc>
          <w:tcPr>
            <w:tcW w:type="dxa" w:w="1728"/>
          </w:tcPr>
          <w:p>
            <w:r>
              <w:t>What You Changed</w:t>
            </w:r>
          </w:p>
        </w:tc>
        <w:tc>
          <w:tcPr>
            <w:tcW w:type="dxa" w:w="1728"/>
          </w:tcPr>
          <w:p>
            <w:r>
              <w:t>Verification Method</w:t>
            </w:r>
          </w:p>
        </w:tc>
      </w:tr>
      <w:tr>
        <w:tc>
          <w:tcPr>
            <w:tcW w:type="dxa" w:w="1728"/>
          </w:tcPr>
          <w:p>
            <w:r>
              <w:t>Claude Opus 4.6 (via OpenRouter)</w:t>
            </w:r>
          </w:p>
        </w:tc>
        <w:tc>
          <w:tcPr>
            <w:tcW w:type="dxa" w:w="1728"/>
          </w:tcPr>
          <w:p>
            <w:r>
              <w:t>Story generation</w:t>
            </w:r>
          </w:p>
        </w:tc>
        <w:tc>
          <w:tcPr>
            <w:tcW w:type="dxa" w:w="1728"/>
          </w:tcPr>
          <w:p>
            <w:r>
              <w:t>5-page narrative text with page titles, discussion prompts, activity suggestion</w:t>
            </w:r>
          </w:p>
        </w:tc>
        <w:tc>
          <w:tcPr>
            <w:tcW w:type="dxa" w:w="1728"/>
          </w:tcPr>
          <w:p>
            <w:r>
              <w:t>Prompt engineering to ensure no race/ethnicity in illustration descriptions; structured JSON output format</w:t>
            </w:r>
          </w:p>
        </w:tc>
        <w:tc>
          <w:tcPr>
            <w:tcW w:type="dxa" w:w="1728"/>
          </w:tcPr>
          <w:p>
            <w:r>
              <w:t>Manual reading of 10+ generated stories; QA verification loop</w:t>
            </w:r>
          </w:p>
        </w:tc>
      </w:tr>
      <w:tr>
        <w:tc>
          <w:tcPr>
            <w:tcW w:type="dxa" w:w="1728"/>
          </w:tcPr>
          <w:p>
            <w:r>
              <w:t>Claude Sonnet 4.5 (via OpenRouter)</w:t>
            </w:r>
          </w:p>
        </w:tc>
        <w:tc>
          <w:tcPr>
            <w:tcW w:type="dxa" w:w="1728"/>
          </w:tcPr>
          <w:p>
            <w:r>
              <w:t>Stereotype classification</w:t>
            </w:r>
          </w:p>
        </w:tc>
        <w:tc>
          <w:tcPr>
            <w:tcW w:type="dxa" w:w="1728"/>
          </w:tcPr>
          <w:p>
            <w:r>
              <w:t>Primary category, secondary categories, emotional tone, age strategy</w:t>
            </w:r>
          </w:p>
        </w:tc>
        <w:tc>
          <w:tcPr>
            <w:tcW w:type="dxa" w:w="1728"/>
          </w:tcPr>
          <w:p>
            <w:r>
              <w:t>Fallback to default category if classification fails</w:t>
            </w:r>
          </w:p>
        </w:tc>
        <w:tc>
          <w:tcPr>
            <w:tcW w:type="dxa" w:w="1728"/>
          </w:tcPr>
          <w:p>
            <w:r>
              <w:t>Tested with 14 different stereotype inputs</w:t>
            </w:r>
          </w:p>
        </w:tc>
      </w:tr>
      <w:tr>
        <w:tc>
          <w:tcPr>
            <w:tcW w:type="dxa" w:w="1728"/>
          </w:tcPr>
          <w:p>
            <w:r>
              <w:t>Claude Sonnet 4.5 (via OpenRouter)</w:t>
            </w:r>
          </w:p>
        </w:tc>
        <w:tc>
          <w:tcPr>
            <w:tcW w:type="dxa" w:w="1728"/>
          </w:tcPr>
          <w:p>
            <w:r>
              <w:t>QA verification</w:t>
            </w:r>
          </w:p>
        </w:tc>
        <w:tc>
          <w:tcPr>
            <w:tcW w:type="dxa" w:w="1728"/>
          </w:tcPr>
          <w:p>
            <w:r>
              <w:t>Passed/failed status, score 1-10, issues list, strengths list</w:t>
            </w:r>
          </w:p>
        </w:tc>
        <w:tc>
          <w:tcPr>
            <w:tcW w:type="dxa" w:w="1728"/>
          </w:tcPr>
          <w:p>
            <w:r>
              <w:t>Safe default (passed=true, score=7) on API failure</w:t>
            </w:r>
          </w:p>
        </w:tc>
        <w:tc>
          <w:tcPr>
            <w:tcW w:type="dxa" w:w="1728"/>
          </w:tcPr>
          <w:p>
            <w:r>
              <w:t>Compared QA scores with manual story review</w:t>
            </w:r>
          </w:p>
        </w:tc>
      </w:tr>
      <w:tr>
        <w:tc>
          <w:tcPr>
            <w:tcW w:type="dxa" w:w="1728"/>
          </w:tcPr>
          <w:p>
            <w:r>
              <w:t>DALL-E 3 (via OpenAI)</w:t>
            </w:r>
          </w:p>
        </w:tc>
        <w:tc>
          <w:tcPr>
            <w:tcW w:type="dxa" w:w="1728"/>
          </w:tcPr>
          <w:p>
            <w:r>
              <w:t>Illustration generation</w:t>
            </w:r>
          </w:p>
        </w:tc>
        <w:tc>
          <w:tcPr>
            <w:tcW w:type="dxa" w:w="1728"/>
          </w:tcPr>
          <w:p>
            <w:r>
              <w:t>5 watercolor-style children's book illustrations per story</w:t>
            </w:r>
          </w:p>
        </w:tc>
        <w:tc>
          <w:tcPr>
            <w:tcW w:type="dxa" w:w="1728"/>
          </w:tcPr>
          <w:p>
            <w:r>
              <w:t>Character description injection for consistency; style constraints in prompt</w:t>
            </w:r>
          </w:p>
        </w:tc>
        <w:tc>
          <w:tcPr>
            <w:tcW w:type="dxa" w:w="1728"/>
          </w:tcPr>
          <w:p>
            <w:r>
              <w:t>Visual inspection of 50+ illustrations</w:t>
            </w:r>
          </w:p>
        </w:tc>
      </w:tr>
      <w:tr>
        <w:tc>
          <w:tcPr>
            <w:tcW w:type="dxa" w:w="1728"/>
          </w:tcPr>
          <w:p>
            <w:r>
              <w:t>Goose AI Agent (Block) with Claude</w:t>
            </w:r>
          </w:p>
        </w:tc>
        <w:tc>
          <w:tcPr>
            <w:tcW w:type="dxa" w:w="1728"/>
          </w:tcPr>
          <w:p>
            <w:r>
              <w:t>Test scaffolding</w:t>
            </w:r>
          </w:p>
        </w:tc>
        <w:tc>
          <w:tcPr>
            <w:tcW w:type="dxa" w:w="1728"/>
          </w:tcPr>
          <w:p>
            <w:r>
              <w:t>pytest fixtures, test structure, mock configurations</w:t>
            </w:r>
          </w:p>
        </w:tc>
        <w:tc>
          <w:tcPr>
            <w:tcW w:type="dxa" w:w="1728"/>
          </w:tcPr>
          <w:p>
            <w:r>
              <w:t>Added project-specific edge cases; fixed mock data structures</w:t>
            </w:r>
          </w:p>
        </w:tc>
        <w:tc>
          <w:tcPr>
            <w:tcW w:type="dxa" w:w="1728"/>
          </w:tcPr>
          <w:p>
            <w:r>
              <w:t>Ran all 117 backend tests successfully</w:t>
            </w:r>
          </w:p>
        </w:tc>
      </w:tr>
      <w:tr>
        <w:tc>
          <w:tcPr>
            <w:tcW w:type="dxa" w:w="1728"/>
          </w:tcPr>
          <w:p>
            <w:r>
              <w:t>Goose AI Agent (Block) with Claude</w:t>
            </w:r>
          </w:p>
        </w:tc>
        <w:tc>
          <w:tcPr>
            <w:tcW w:type="dxa" w:w="1728"/>
          </w:tcPr>
          <w:p>
            <w:r>
              <w:t>React component tests</w:t>
            </w:r>
          </w:p>
        </w:tc>
        <w:tc>
          <w:tcPr>
            <w:tcW w:type="dxa" w:w="1728"/>
          </w:tcPr>
          <w:p>
            <w:r>
              <w:t>Jest test structure, RTL patterns</w:t>
            </w:r>
          </w:p>
        </w:tc>
        <w:tc>
          <w:tcPr>
            <w:tcW w:type="dxa" w:w="1728"/>
          </w:tcPr>
          <w:p>
            <w:r>
              <w:t>Simplified SSE streaming tests (complex to mock)</w:t>
            </w:r>
          </w:p>
        </w:tc>
        <w:tc>
          <w:tcPr>
            <w:tcW w:type="dxa" w:w="1728"/>
          </w:tcPr>
          <w:p>
            <w:r>
              <w:t>Ran 24 passing frontend tests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 Methods</w:t>
      </w:r>
    </w:p>
    <w:p/>
    <w:p>
      <w:pPr>
        <w:pStyle w:val="Heading3"/>
      </w:pPr>
      <w:r>
        <w:t>Code Dependencies</w:t>
      </w:r>
    </w:p>
    <w:p>
      <w:pPr>
        <w:pStyle w:val="ListBullet"/>
      </w:pPr>
      <w:r>
        <w:t>All dependencies checked for license compatibility (MIT, BSD, Apache 2.0 — all permissive)</w:t>
      </w:r>
    </w:p>
    <w:p>
      <w:pPr>
        <w:pStyle w:val="ListBullet"/>
      </w:pPr>
      <w:r>
        <w:t>No GPL or restrictive licenses that would require open-sourcing our code</w:t>
      </w:r>
    </w:p>
    <w:p>
      <w:pPr>
        <w:pStyle w:val="ListBullet"/>
      </w:pPr>
      <w:r>
        <w:t>Version numbers pinned in `requirements.txt` and `package.json`</w:t>
      </w:r>
    </w:p>
    <w:p/>
    <w:p>
      <w:pPr>
        <w:pStyle w:val="Heading3"/>
      </w:pPr>
      <w:r>
        <w:t>Research Claims</w:t>
      </w:r>
    </w:p>
    <w:p>
      <w:pPr>
        <w:pStyle w:val="ListBullet"/>
      </w:pPr>
      <w:r>
        <w:t>Statistics cited with full academic references</w:t>
      </w:r>
    </w:p>
    <w:p>
      <w:pPr>
        <w:pStyle w:val="ListBullet"/>
      </w:pPr>
      <w:r>
        <w:t>"Approximately" or "research suggests" used for synthesized claims</w:t>
      </w:r>
    </w:p>
    <w:p>
      <w:pPr>
        <w:pStyle w:val="ListBullet"/>
      </w:pPr>
      <w:r>
        <w:t>Direct quotes avoided; paraphrased with citation</w:t>
      </w:r>
    </w:p>
    <w:p/>
    <w:p>
      <w:pPr>
        <w:pStyle w:val="Heading3"/>
      </w:pPr>
      <w:r>
        <w:t>AI-Generated Content</w:t>
      </w:r>
    </w:p>
    <w:p>
      <w:pPr>
        <w:pStyle w:val="ListBullet"/>
      </w:pPr>
      <w:r>
        <w:t>Every AI output reviewed before inclusion in final product</w:t>
      </w:r>
    </w:p>
    <w:p>
      <w:pPr>
        <w:pStyle w:val="ListBullet"/>
      </w:pPr>
      <w:r>
        <w:t>QA loop provides automated verification for story content</w:t>
      </w:r>
    </w:p>
    <w:p>
      <w:pPr>
        <w:pStyle w:val="ListBullet"/>
      </w:pPr>
      <w:r>
        <w:t>Illustration style constrained to children's book aesthetic</w:t>
      </w:r>
    </w:p>
    <w:p/>
    <w:p>
      <w:pPr>
        <w:pStyle w:val="Heading3"/>
      </w:pPr>
      <w:r>
        <w:t>Historical Facts</w:t>
      </w:r>
    </w:p>
    <w:p>
      <w:pPr>
        <w:pStyle w:val="ListBullet"/>
      </w:pPr>
      <w:r>
        <w:t>Each of 50 women verified against multiple sources (Wikipedia, Britannica, biographies)</w:t>
      </w:r>
    </w:p>
    <w:p>
      <w:pPr>
        <w:pStyle w:val="ListBullet"/>
      </w:pPr>
      <w:r>
        <w:t>Achievements described in age-appropriate language without exaggeration</w:t>
      </w:r>
    </w:p>
    <w:p>
      <w:pPr>
        <w:pStyle w:val="ListBullet"/>
      </w:pPr>
      <w:r>
        <w:t>Era/dates double-checked for accuracy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License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License Type</w:t>
            </w:r>
          </w:p>
        </w:tc>
        <w:tc>
          <w:tcPr>
            <w:tcW w:type="dxa" w:w="4320"/>
          </w:tcPr>
          <w:p>
            <w:r>
              <w:t>Dependencies</w:t>
            </w:r>
          </w:p>
        </w:tc>
      </w:tr>
      <w:tr>
        <w:tc>
          <w:tcPr>
            <w:tcW w:type="dxa" w:w="4320"/>
          </w:tcPr>
          <w:p>
            <w:r>
              <w:t>MIT</w:t>
            </w:r>
          </w:p>
        </w:tc>
        <w:tc>
          <w:tcPr>
            <w:tcW w:type="dxa" w:w="4320"/>
          </w:tcPr>
          <w:p>
            <w:r>
              <w:t>React, FastMCP, OpenAI SDK, react-scripts</w:t>
            </w:r>
          </w:p>
        </w:tc>
      </w:tr>
      <w:tr>
        <w:tc>
          <w:tcPr>
            <w:tcW w:type="dxa" w:w="4320"/>
          </w:tcPr>
          <w:p>
            <w:r>
              <w:t>BSD-3-Clause</w:t>
            </w:r>
          </w:p>
        </w:tc>
        <w:tc>
          <w:tcPr>
            <w:tcW w:type="dxa" w:w="4320"/>
          </w:tcPr>
          <w:p>
            <w:r>
              <w:t>Flask, python-dotenv</w:t>
            </w:r>
          </w:p>
        </w:tc>
      </w:tr>
      <w:tr>
        <w:tc>
          <w:tcPr>
            <w:tcW w:type="dxa" w:w="4320"/>
          </w:tcPr>
          <w:p>
            <w:r>
              <w:t>Apache 2.0</w:t>
            </w:r>
          </w:p>
        </w:tc>
        <w:tc>
          <w:tcPr>
            <w:tcW w:type="dxa" w:w="4320"/>
          </w:tcPr>
          <w:p>
            <w:r>
              <w:t>Goose</w:t>
            </w:r>
          </w:p>
        </w:tc>
      </w:tr>
      <w:tr>
        <w:tc>
          <w:tcPr>
            <w:tcW w:type="dxa" w:w="4320"/>
          </w:tcPr>
          <w:p>
            <w:r>
              <w:t>SIL OFL</w:t>
            </w:r>
          </w:p>
        </w:tc>
        <w:tc>
          <w:tcPr>
            <w:tcW w:type="dxa" w:w="4320"/>
          </w:tcPr>
          <w:p>
            <w:r>
              <w:t>Quicksand, DM Sans, Caveat fonts</w:t>
            </w:r>
          </w:p>
        </w:tc>
      </w:tr>
      <w:tr>
        <w:tc>
          <w:tcPr>
            <w:tcW w:type="dxa" w:w="4320"/>
          </w:tcPr>
          <w:p>
            <w:r>
              <w:t>Public Domain</w:t>
            </w:r>
          </w:p>
        </w:tc>
        <w:tc>
          <w:tcPr>
            <w:tcW w:type="dxa" w:w="4320"/>
          </w:tcPr>
          <w:p>
            <w:r>
              <w:t>Historical women's biographical facts</w:t>
            </w:r>
          </w:p>
        </w:tc>
      </w:tr>
    </w:tbl>
    <w:p/>
    <w:p>
      <w:r>
        <w:t>All licenses are permissive and compatible with commercial use.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t>Evidence Log maintained throughout development (Feb 27 – Mar 7, 2026)</w:t>
      </w:r>
    </w:p>
    <w:p/>
    <w:p>
      <w:r>
        <w:t>Built for #75HER Challenge | CreateHER Fest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