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pPr>
      <w:r>
        <w:drawing>
          <wp:inline distT="0" distB="0" distL="0" distR="0">
            <wp:extent cx="4089400" cy="609600"/>
            <wp:effectExtent l="0" t="0" r="0" b="0"/>
            <wp:docPr id="1073741825" name="officeArt object" descr="SchPhyAst_colour"/>
            <wp:cNvGraphicFramePr/>
            <a:graphic xmlns:a="http://schemas.openxmlformats.org/drawingml/2006/main">
              <a:graphicData uri="http://schemas.openxmlformats.org/drawingml/2006/picture">
                <pic:pic xmlns:pic="http://schemas.openxmlformats.org/drawingml/2006/picture">
                  <pic:nvPicPr>
                    <pic:cNvPr id="1073741825" name="SchPhyAst_colour" descr="SchPhyAst_colour"/>
                    <pic:cNvPicPr>
                      <a:picLocks noChangeAspect="1"/>
                    </pic:cNvPicPr>
                  </pic:nvPicPr>
                  <pic:blipFill>
                    <a:blip r:embed="rId4">
                      <a:extLst/>
                    </a:blip>
                    <a:stretch>
                      <a:fillRect/>
                    </a:stretch>
                  </pic:blipFill>
                  <pic:spPr>
                    <a:xfrm>
                      <a:off x="0" y="0"/>
                      <a:ext cx="4089400" cy="609600"/>
                    </a:xfrm>
                    <a:prstGeom prst="rect">
                      <a:avLst/>
                    </a:prstGeom>
                    <a:ln w="12700" cap="flat">
                      <a:noFill/>
                      <a:miter lim="400000"/>
                    </a:ln>
                    <a:effectLst/>
                  </pic:spPr>
                </pic:pic>
              </a:graphicData>
            </a:graphic>
          </wp:inline>
        </w:drawing>
      </w:r>
    </w:p>
    <w:p>
      <w:pPr>
        <w:pStyle w:val="Body"/>
        <w:rPr>
          <w:sz w:val="16"/>
          <w:szCs w:val="16"/>
        </w:rPr>
      </w:pPr>
    </w:p>
    <w:p>
      <w:pPr>
        <w:pStyle w:val="Body"/>
        <w:jc w:val="right"/>
        <w:rPr>
          <w:rFonts w:ascii="Arial" w:cs="Arial" w:hAnsi="Arial" w:eastAsia="Arial"/>
          <w:sz w:val="22"/>
          <w:szCs w:val="22"/>
        </w:rPr>
        <w:sectPr>
          <w:headerReference w:type="default" r:id="rId5"/>
          <w:footerReference w:type="default" r:id="rId6"/>
          <w:pgSz w:w="12240" w:h="15840" w:orient="portrait"/>
          <w:pgMar w:top="720" w:right="1440" w:bottom="720" w:left="1440" w:header="709" w:footer="709"/>
          <w:bidi w:val="0"/>
        </w:sectPr>
      </w:pPr>
      <w:r>
        <w:rPr>
          <w:rFonts w:ascii="Arial" w:hAnsi="Arial"/>
          <w:sz w:val="22"/>
          <w:szCs w:val="22"/>
          <w:rtl w:val="0"/>
          <w:lang w:val="en-US"/>
        </w:rPr>
        <w:t>16 July</w:t>
      </w:r>
      <w:r>
        <w:rPr>
          <w:rFonts w:ascii="Arial" w:hAnsi="Arial"/>
          <w:sz w:val="22"/>
          <w:szCs w:val="22"/>
          <w:rtl w:val="0"/>
          <w:lang w:val="en-US"/>
        </w:rPr>
        <w:t xml:space="preserve"> 20</w:t>
      </w:r>
      <w:r>
        <w:rPr>
          <w:rFonts w:ascii="Arial" w:hAnsi="Arial"/>
          <w:sz w:val="22"/>
          <w:szCs w:val="22"/>
          <w:rtl w:val="0"/>
          <w:lang w:val="en-US"/>
        </w:rPr>
        <w:t>20</w:t>
      </w:r>
      <w:r>
        <w:rPr>
          <w:rFonts w:ascii="Arial" w:cs="Arial" w:hAnsi="Arial" w:eastAsia="Arial"/>
          <w:sz w:val="22"/>
          <w:szCs w:val="22"/>
        </w:rPr>
      </w:r>
    </w:p>
    <w:p>
      <w:pPr>
        <w:pStyle w:val="Body"/>
        <w:rPr>
          <w:rFonts w:ascii="Arial" w:cs="Arial" w:hAnsi="Arial" w:eastAsia="Arial"/>
          <w:sz w:val="22"/>
          <w:szCs w:val="22"/>
          <w:lang w:val="en-US"/>
        </w:rPr>
        <w:sectPr>
          <w:type w:val="continuous"/>
          <w:pgSz w:w="12240" w:h="15840" w:orient="portrait"/>
          <w:pgMar w:top="720" w:right="1440" w:bottom="720" w:left="1440" w:header="709" w:footer="709"/>
          <w:bidi w:val="0"/>
        </w:sectPr>
      </w:pPr>
      <w:r>
        <w:rPr>
          <w:rFonts w:ascii="Arial" w:cs="Arial" w:hAnsi="Arial" w:eastAsia="Arial"/>
          <w:sz w:val="22"/>
          <w:szCs w:val="22"/>
          <w:lang w:val="en-US"/>
        </w:rPr>
      </w:r>
    </w:p>
    <w:p>
      <w:pPr>
        <w:pStyle w:val="Body"/>
        <w:widowControl w:val="0"/>
        <w:spacing w:after="240"/>
        <w:rPr>
          <w:sz w:val="22"/>
          <w:szCs w:val="22"/>
        </w:rPr>
      </w:pPr>
      <w:r>
        <w:rPr>
          <w:sz w:val="22"/>
          <w:szCs w:val="22"/>
          <w:rtl w:val="0"/>
          <w:lang w:val="en-US"/>
        </w:rPr>
        <w:t xml:space="preserve">Dear </w:t>
      </w:r>
      <w:r>
        <w:rPr>
          <w:sz w:val="22"/>
          <w:szCs w:val="22"/>
          <w:rtl w:val="0"/>
          <w:lang w:val="en-US"/>
        </w:rPr>
        <w:t>Editor,</w:t>
      </w:r>
    </w:p>
    <w:p>
      <w:pPr>
        <w:pStyle w:val="Default"/>
        <w:bidi w:val="0"/>
        <w:spacing w:line="276" w:lineRule="auto"/>
        <w:ind w:left="0" w:right="0" w:firstLine="0"/>
        <w:jc w:val="left"/>
        <w:rPr>
          <w:rFonts w:ascii="Helvetica" w:cs="Helvetica" w:hAnsi="Helvetica" w:eastAsia="Helvetica"/>
          <w:rtl w:val="0"/>
        </w:rPr>
      </w:pPr>
      <w:r>
        <w:rPr>
          <w:rFonts w:ascii="Helvetica" w:hAnsi="Helvetica"/>
          <w:rtl w:val="0"/>
          <w:lang w:val="en-US"/>
        </w:rPr>
        <w:t xml:space="preserve">We are pleased to provide a substantially revised manuscript for your consideration. The changes that we have made have been guided by the insightful comments provided by the Nature referees and we are confident that we have addressed all of their concerns. </w:t>
      </w:r>
    </w:p>
    <w:p>
      <w:pPr>
        <w:pStyle w:val="Default"/>
        <w:bidi w:val="0"/>
        <w:spacing w:line="276" w:lineRule="auto"/>
        <w:ind w:left="0" w:right="0" w:firstLine="0"/>
        <w:jc w:val="left"/>
        <w:rPr>
          <w:rFonts w:ascii="Helvetica" w:cs="Helvetica" w:hAnsi="Helvetica" w:eastAsia="Helvetica"/>
          <w:rtl w:val="0"/>
        </w:rPr>
      </w:pPr>
    </w:p>
    <w:p>
      <w:pPr>
        <w:pStyle w:val="Default"/>
        <w:bidi w:val="0"/>
        <w:spacing w:line="276" w:lineRule="auto"/>
        <w:ind w:left="0" w:right="0" w:firstLine="0"/>
        <w:jc w:val="left"/>
        <w:rPr>
          <w:rFonts w:ascii="Helvetica" w:cs="Helvetica" w:hAnsi="Helvetica" w:eastAsia="Helvetica"/>
          <w:rtl w:val="0"/>
        </w:rPr>
      </w:pPr>
      <w:r>
        <w:rPr>
          <w:rFonts w:ascii="Helvetica" w:hAnsi="Helvetica"/>
          <w:rtl w:val="0"/>
          <w:lang w:val="en-US"/>
        </w:rPr>
        <w:t>The motivation for our work still remains the same - t</w:t>
      </w:r>
      <w:r>
        <w:rPr>
          <w:rFonts w:ascii="Helvetica" w:hAnsi="Helvetica"/>
          <w:rtl w:val="0"/>
          <w:lang w:val="en-US"/>
        </w:rPr>
        <w:t>he speed that data can be processed to obtain accurate estimates of source parameters is a key issue</w:t>
      </w:r>
      <w:r>
        <w:rPr>
          <w:rFonts w:ascii="Helvetica" w:hAnsi="Helvetica"/>
          <w:rtl w:val="0"/>
          <w:lang w:val="en-US"/>
        </w:rPr>
        <w:t xml:space="preserve"> for gravitational wave astrophysics</w:t>
      </w:r>
      <w:r>
        <w:rPr>
          <w:rFonts w:ascii="Helvetica" w:hAnsi="Helvetica"/>
          <w:rtl w:val="0"/>
        </w:rPr>
        <w:t xml:space="preserve">. </w:t>
      </w:r>
      <w:r>
        <w:rPr>
          <w:rFonts w:ascii="Helvetica" w:hAnsi="Helvetica"/>
          <w:rtl w:val="0"/>
          <w:lang w:val="en-US"/>
        </w:rPr>
        <w:t>The current latency for obtaining source sky position information</w:t>
      </w:r>
      <w:r>
        <w:rPr>
          <w:rFonts w:ascii="Helvetica" w:hAnsi="Helvetica"/>
          <w:rtl w:val="0"/>
          <w:lang w:val="en-US"/>
        </w:rPr>
        <w:t xml:space="preserve"> is O(1) min and this speed is crucial for rapid follow-up with electromagnetic telescopes.</w:t>
      </w:r>
      <w:r>
        <w:rPr>
          <w:rFonts w:ascii="Helvetica" w:hAnsi="Helvetica"/>
          <w:rtl w:val="0"/>
          <w:lang w:val="en-US"/>
        </w:rPr>
        <w:t xml:space="preserve"> </w:t>
      </w:r>
      <w:r>
        <w:rPr>
          <w:rFonts w:ascii="Helvetica" w:hAnsi="Helvetica"/>
          <w:rtl w:val="0"/>
          <w:lang w:val="en-US"/>
        </w:rPr>
        <w:t xml:space="preserve">The complete Bayesian analyses are significantly more computationally costly and for the current LIGO O3 run have taken between 6 hours and 5 days per event. </w:t>
      </w:r>
      <w:r>
        <w:rPr>
          <w:rFonts w:ascii="Helvetica" w:hAnsi="Helvetica"/>
          <w:rtl w:val="0"/>
          <w:lang w:val="en-US"/>
        </w:rPr>
        <w:t xml:space="preserve">Our </w:t>
      </w:r>
      <w:r>
        <w:rPr>
          <w:rFonts w:ascii="Helvetica" w:hAnsi="Helvetica"/>
          <w:rtl w:val="0"/>
          <w:lang w:val="en-US"/>
        </w:rPr>
        <w:t xml:space="preserve">new </w:t>
      </w:r>
      <w:r>
        <w:rPr>
          <w:rFonts w:ascii="Helvetica" w:hAnsi="Helvetica"/>
          <w:rtl w:val="0"/>
          <w:lang w:val="en-US"/>
        </w:rPr>
        <w:t xml:space="preserve">(and now enhanced) </w:t>
      </w:r>
      <w:r>
        <w:rPr>
          <w:rFonts w:ascii="Helvetica" w:hAnsi="Helvetica"/>
          <w:rtl w:val="0"/>
          <w:lang w:val="en-US"/>
        </w:rPr>
        <w:t>machine learning approach to gravitational wave parameter estimation</w:t>
      </w:r>
      <w:r>
        <w:rPr>
          <w:rFonts w:ascii="Helvetica" w:hAnsi="Helvetica"/>
          <w:rtl w:val="0"/>
          <w:lang w:val="en-US"/>
        </w:rPr>
        <w:t xml:space="preserve"> is equivalent in accuracy </w:t>
      </w:r>
      <w:r>
        <w:rPr>
          <w:rFonts w:ascii="Helvetica" w:hAnsi="Helvetica"/>
          <w:rtl w:val="0"/>
          <w:lang w:val="en-US"/>
        </w:rPr>
        <w:t xml:space="preserve">to that of existing </w:t>
      </w:r>
      <w:r>
        <w:rPr>
          <w:rFonts w:ascii="Helvetica" w:hAnsi="Helvetica"/>
          <w:rtl w:val="0"/>
          <w:lang w:val="en-US"/>
        </w:rPr>
        <w:t xml:space="preserve">complete </w:t>
      </w:r>
      <w:r>
        <w:rPr>
          <w:rFonts w:ascii="Helvetica" w:hAnsi="Helvetica"/>
          <w:rtl w:val="0"/>
          <w:lang w:val="en-US"/>
        </w:rPr>
        <w:t xml:space="preserve">Bayesian methods and </w:t>
      </w:r>
      <w:r>
        <w:rPr>
          <w:rFonts w:ascii="Helvetica" w:hAnsi="Helvetica"/>
          <w:rtl w:val="0"/>
          <w:lang w:val="en-US"/>
        </w:rPr>
        <w:t>can generate results</w:t>
      </w:r>
      <w:r>
        <w:rPr>
          <w:rFonts w:ascii="Helvetica" w:hAnsi="Helvetica"/>
          <w:rtl w:val="0"/>
          <w:lang w:val="en-US"/>
        </w:rPr>
        <w:t xml:space="preserve"> ~6 orders of magnitude faster.</w:t>
      </w:r>
      <w:r>
        <w:rPr>
          <w:rFonts w:ascii="Helvetica" w:hAnsi="Helvetica"/>
          <w:rtl w:val="0"/>
          <w:lang w:val="en-US"/>
        </w:rPr>
        <w:t xml:space="preserve"> We are therefore able to produce parameter estimates in under a second using minimal computational resources.</w:t>
      </w:r>
    </w:p>
    <w:p>
      <w:pPr>
        <w:pStyle w:val="Default"/>
        <w:bidi w:val="0"/>
        <w:spacing w:line="276" w:lineRule="auto"/>
        <w:ind w:left="0" w:right="0" w:firstLine="0"/>
        <w:jc w:val="left"/>
        <w:rPr>
          <w:rFonts w:ascii="Helvetica" w:cs="Helvetica" w:hAnsi="Helvetica" w:eastAsia="Helvetica"/>
          <w:rtl w:val="0"/>
        </w:rPr>
      </w:pPr>
    </w:p>
    <w:p>
      <w:pPr>
        <w:pStyle w:val="Default"/>
        <w:bidi w:val="0"/>
        <w:spacing w:line="276" w:lineRule="auto"/>
        <w:ind w:left="0" w:right="0" w:firstLine="0"/>
        <w:jc w:val="left"/>
        <w:rPr>
          <w:rFonts w:ascii="Helvetica" w:cs="Helvetica" w:hAnsi="Helvetica" w:eastAsia="Helvetica"/>
          <w:rtl w:val="0"/>
        </w:rPr>
      </w:pPr>
      <w:r>
        <w:rPr>
          <w:rFonts w:ascii="Helvetica" w:hAnsi="Helvetica"/>
          <w:rtl w:val="0"/>
          <w:lang w:val="en-US"/>
        </w:rPr>
        <w:t>Based on</w:t>
      </w:r>
      <w:r>
        <w:rPr>
          <w:rFonts w:ascii="Helvetica" w:hAnsi="Helvetica"/>
          <w:rtl w:val="0"/>
          <w:lang w:val="en-US"/>
        </w:rPr>
        <w:t xml:space="preserve"> referee comments, we have made several </w:t>
      </w:r>
      <w:r>
        <w:rPr>
          <w:rFonts w:ascii="Helvetica" w:hAnsi="Helvetica"/>
          <w:rtl w:val="0"/>
          <w:lang w:val="en-US"/>
        </w:rPr>
        <w:t xml:space="preserve">changes to the analysis and </w:t>
      </w:r>
      <w:r>
        <w:rPr>
          <w:rFonts w:ascii="Helvetica" w:hAnsi="Helvetica"/>
          <w:rtl w:val="0"/>
          <w:lang w:val="en-US"/>
        </w:rPr>
        <w:t xml:space="preserve">additions to the manuscript. We now include multi-detector data and have incorporated convolutional neural networks to better handle this increased multi-channel complexity. We have expanded the scope of our inference to include additional source parameters (most importantly, </w:t>
      </w:r>
      <w:r>
        <w:rPr>
          <w:rFonts w:ascii="Helvetica" w:hAnsi="Helvetica"/>
          <w:rtl w:val="0"/>
          <w:lang w:val="en-US"/>
        </w:rPr>
        <w:t xml:space="preserve">the </w:t>
      </w:r>
      <w:r>
        <w:rPr>
          <w:rFonts w:ascii="Helvetica" w:hAnsi="Helvetica"/>
          <w:rtl w:val="0"/>
          <w:lang w:val="en-US"/>
        </w:rPr>
        <w:t>sky location). Some of these additional parameters have a complex multi-modal structure and as such we have inc</w:t>
      </w:r>
      <w:r>
        <w:rPr>
          <w:rFonts w:ascii="Helvetica" w:hAnsi="Helvetica"/>
          <w:rtl w:val="0"/>
          <w:lang w:val="en-US"/>
        </w:rPr>
        <w:t>lude</w:t>
      </w:r>
      <w:r>
        <w:rPr>
          <w:rFonts w:ascii="Helvetica" w:hAnsi="Helvetica"/>
          <w:rtl w:val="0"/>
          <w:lang w:val="en-US"/>
        </w:rPr>
        <w:t xml:space="preserve"> a multi-component latent space model to deal with this. Finally, we now </w:t>
      </w:r>
      <w:r>
        <w:rPr>
          <w:rFonts w:ascii="Helvetica" w:hAnsi="Helvetica"/>
          <w:rtl w:val="0"/>
          <w:lang w:val="en-US"/>
        </w:rPr>
        <w:t xml:space="preserve">incorporate </w:t>
      </w:r>
      <w:r>
        <w:rPr>
          <w:rFonts w:ascii="Helvetica" w:hAnsi="Helvetica"/>
          <w:rtl w:val="0"/>
          <w:lang w:val="en-US"/>
        </w:rPr>
        <w:t xml:space="preserve">physically motivated distributions to infer gravitational wave parameters using our </w:t>
      </w:r>
      <w:r>
        <w:rPr>
          <w:rFonts w:ascii="Helvetica" w:hAnsi="Helvetica"/>
          <w:rtl w:val="0"/>
          <w:lang w:val="en-US"/>
        </w:rPr>
        <w:t xml:space="preserve">conditional variational autoencoder </w:t>
      </w:r>
      <w:r>
        <w:rPr>
          <w:rFonts w:ascii="Helvetica" w:hAnsi="Helvetica"/>
          <w:rtl w:val="0"/>
          <w:lang w:val="en-US"/>
        </w:rPr>
        <w:t>method.</w:t>
      </w:r>
    </w:p>
    <w:p>
      <w:pPr>
        <w:pStyle w:val="Default"/>
        <w:bidi w:val="0"/>
        <w:spacing w:line="276" w:lineRule="auto"/>
        <w:ind w:left="0" w:right="0" w:firstLine="0"/>
        <w:jc w:val="left"/>
        <w:rPr>
          <w:rFonts w:ascii="Helvetica" w:cs="Helvetica" w:hAnsi="Helvetica" w:eastAsia="Helvetica"/>
          <w:rtl w:val="0"/>
        </w:rPr>
      </w:pPr>
    </w:p>
    <w:p>
      <w:pPr>
        <w:pStyle w:val="Default"/>
        <w:bidi w:val="0"/>
        <w:spacing w:line="276" w:lineRule="auto"/>
        <w:ind w:left="0" w:right="0" w:firstLine="0"/>
        <w:jc w:val="left"/>
        <w:rPr>
          <w:rFonts w:ascii="Helvetica" w:cs="Helvetica" w:hAnsi="Helvetica" w:eastAsia="Helvetica"/>
          <w:rtl w:val="0"/>
        </w:rPr>
      </w:pPr>
      <w:r>
        <w:rPr>
          <w:rFonts w:ascii="Helvetica" w:hAnsi="Helvetica"/>
          <w:rtl w:val="0"/>
          <w:lang w:val="en-US"/>
        </w:rPr>
        <w:t>In light of the many improvements we have now implemented w</w:t>
      </w:r>
      <w:r>
        <w:rPr>
          <w:rFonts w:ascii="Helvetica" w:hAnsi="Helvetica"/>
          <w:rtl w:val="0"/>
        </w:rPr>
        <w:t xml:space="preserve">e </w:t>
      </w:r>
      <w:r>
        <w:rPr>
          <w:rFonts w:ascii="Helvetica" w:hAnsi="Helvetica"/>
          <w:rtl w:val="0"/>
          <w:lang w:val="en-US"/>
        </w:rPr>
        <w:t xml:space="preserve">remain </w:t>
      </w:r>
      <w:r>
        <w:rPr>
          <w:rFonts w:ascii="Helvetica" w:hAnsi="Helvetica"/>
          <w:rtl w:val="0"/>
          <w:lang w:val="en-US"/>
        </w:rPr>
        <w:t>hope</w:t>
      </w:r>
      <w:r>
        <w:rPr>
          <w:rFonts w:ascii="Helvetica" w:hAnsi="Helvetica"/>
          <w:rtl w:val="0"/>
          <w:lang w:val="en-US"/>
        </w:rPr>
        <w:t>ful</w:t>
      </w:r>
      <w:r>
        <w:rPr>
          <w:rFonts w:ascii="Helvetica" w:hAnsi="Helvetica"/>
          <w:rtl w:val="0"/>
          <w:lang w:val="en-US"/>
        </w:rPr>
        <w:t xml:space="preserve"> that you would consider this for publication in Nature Physics Letters.</w:t>
      </w:r>
    </w:p>
    <w:p>
      <w:pPr>
        <w:pStyle w:val="Default"/>
        <w:bidi w:val="0"/>
        <w:spacing w:line="276" w:lineRule="auto"/>
        <w:ind w:left="0" w:right="0" w:firstLine="0"/>
        <w:jc w:val="left"/>
        <w:rPr>
          <w:rFonts w:ascii="Helvetica" w:cs="Helvetica" w:hAnsi="Helvetica" w:eastAsia="Helvetica"/>
          <w:rtl w:val="0"/>
        </w:rPr>
      </w:pPr>
    </w:p>
    <w:p>
      <w:pPr>
        <w:pStyle w:val="Body"/>
        <w:widowControl w:val="0"/>
        <w:spacing w:after="240"/>
        <w:rPr>
          <w:sz w:val="22"/>
          <w:szCs w:val="22"/>
          <w:lang w:val="en-US"/>
        </w:rPr>
      </w:pPr>
      <w:r>
        <w:rPr>
          <w:sz w:val="22"/>
          <w:szCs w:val="22"/>
          <w:rtl w:val="0"/>
          <w:lang w:val="en-US"/>
        </w:rPr>
        <w:t xml:space="preserve">Yours sincerely, </w:t>
      </w:r>
    </w:p>
    <w:p>
      <w:pPr>
        <w:pStyle w:val="Body"/>
        <w:rPr>
          <w:sz w:val="22"/>
          <w:szCs w:val="22"/>
        </w:rPr>
      </w:pPr>
      <w:r>
        <w:rPr>
          <w:sz w:val="22"/>
          <w:szCs w:val="22"/>
          <w:rtl w:val="0"/>
          <w:lang w:val="de-DE"/>
        </w:rPr>
        <w:t>Hunter Gabbard,</w:t>
      </w:r>
      <w:r>
        <w:rPr>
          <w:position w:val="10"/>
          <w:sz w:val="22"/>
          <w:szCs w:val="22"/>
          <w:rtl w:val="0"/>
          <w:lang w:val="en-US"/>
        </w:rPr>
        <w:t xml:space="preserve"> </w:t>
      </w:r>
      <w:r>
        <w:rPr>
          <w:sz w:val="22"/>
          <w:szCs w:val="22"/>
          <w:rtl w:val="0"/>
        </w:rPr>
        <w:t>Chris Messenger</w:t>
      </w:r>
      <w:r>
        <w:rPr>
          <w:sz w:val="22"/>
          <w:szCs w:val="22"/>
          <w:rtl w:val="0"/>
          <w:lang w:val="en-US"/>
        </w:rPr>
        <w:t xml:space="preserve">, Siong Heng, </w:t>
      </w:r>
      <w:r>
        <w:rPr>
          <w:sz w:val="22"/>
          <w:szCs w:val="22"/>
          <w:rtl w:val="0"/>
          <w:lang w:val="it-IT"/>
        </w:rPr>
        <w:t xml:space="preserve">Francesco Tonolini, and Roderick Murray-Smith </w:t>
      </w:r>
    </w:p>
    <w:p>
      <w:pPr>
        <w:pStyle w:val="Body"/>
        <w:rPr>
          <w:rFonts w:ascii="Arial" w:cs="Arial" w:hAnsi="Arial" w:eastAsia="Arial"/>
          <w:sz w:val="16"/>
          <w:szCs w:val="16"/>
        </w:rPr>
      </w:pPr>
    </w:p>
    <w:tbl>
      <w:tblPr>
        <w:tblW w:w="946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3888"/>
        <w:gridCol w:w="5580"/>
      </w:tblGrid>
      <w:tr>
        <w:tblPrEx>
          <w:shd w:val="clear" w:color="auto" w:fill="ced7e7"/>
        </w:tblPrEx>
        <w:trPr>
          <w:trHeight w:val="473"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shd w:val="nil" w:color="auto" w:fill="auto"/>
              </w:rPr>
            </w:pPr>
            <w:r>
              <w:rPr>
                <w:sz w:val="22"/>
                <w:szCs w:val="22"/>
                <w:shd w:val="nil" w:color="auto" w:fill="auto"/>
                <w:rtl w:val="0"/>
                <w:lang w:val="en-US"/>
              </w:rPr>
              <w:t>SUPA</w:t>
            </w:r>
          </w:p>
          <w:p>
            <w:pPr>
              <w:pStyle w:val="~Footer"/>
              <w:bidi w:val="0"/>
              <w:ind w:left="0" w:right="0" w:firstLine="0"/>
              <w:jc w:val="both"/>
              <w:rPr>
                <w:rtl w:val="0"/>
              </w:rPr>
            </w:pPr>
            <w:r>
              <w:rPr>
                <w:sz w:val="22"/>
                <w:szCs w:val="22"/>
                <w:shd w:val="nil" w:color="auto" w:fill="auto"/>
                <w:rtl w:val="0"/>
                <w:lang w:val="en-US"/>
              </w:rPr>
              <w:t>School of Physics &amp; Astronomy</w:t>
            </w:r>
          </w:p>
        </w:tc>
      </w:tr>
      <w:tr>
        <w:tblPrEx>
          <w:shd w:val="clear" w:color="auto" w:fill="ced7e7"/>
        </w:tblPrEx>
        <w:trPr>
          <w:trHeight w:val="1433" w:hRule="atLeast"/>
        </w:trPr>
        <w:tc>
          <w:tcPr>
            <w:tcW w:type="dxa" w:w="3888"/>
            <w:tcBorders>
              <w:top w:val="nil"/>
              <w:left w:val="nil"/>
              <w:bottom w:val="nil"/>
              <w:right w:val="nil"/>
            </w:tcBorders>
            <w:shd w:val="clear" w:color="auto" w:fill="auto"/>
            <w:tcMar>
              <w:top w:type="dxa" w:w="80"/>
              <w:left w:type="dxa" w:w="80"/>
              <w:bottom w:type="dxa" w:w="80"/>
              <w:right w:type="dxa" w:w="80"/>
            </w:tcMar>
            <w:vAlign w:val="top"/>
          </w:tcPr>
          <w:p/>
        </w:tc>
        <w:tc>
          <w:tcPr>
            <w:tcW w:type="dxa" w:w="5580"/>
            <w:tcBorders>
              <w:top w:val="nil"/>
              <w:left w:val="nil"/>
              <w:bottom w:val="nil"/>
              <w:right w:val="nil"/>
            </w:tcBorders>
            <w:shd w:val="clear" w:color="auto" w:fill="auto"/>
            <w:tcMar>
              <w:top w:type="dxa" w:w="80"/>
              <w:left w:type="dxa" w:w="80"/>
              <w:bottom w:type="dxa" w:w="80"/>
              <w:right w:type="dxa" w:w="80"/>
            </w:tcMar>
            <w:vAlign w:val="top"/>
          </w:tcPr>
          <w:p>
            <w:pPr>
              <w:pStyle w:val="~Footer"/>
              <w:rPr>
                <w:sz w:val="22"/>
                <w:szCs w:val="22"/>
                <w:shd w:val="nil" w:color="auto" w:fill="auto"/>
              </w:rPr>
            </w:pPr>
            <w:r>
              <w:rPr>
                <w:sz w:val="22"/>
                <w:szCs w:val="22"/>
                <w:shd w:val="nil" w:color="auto" w:fill="auto"/>
                <w:rtl w:val="0"/>
                <w:lang w:val="en-US"/>
              </w:rPr>
              <w:t xml:space="preserve">Kelvin Building, University of Glasgow, </w:t>
            </w:r>
          </w:p>
          <w:p>
            <w:pPr>
              <w:pStyle w:val="~Footer"/>
              <w:bidi w:val="0"/>
              <w:ind w:left="0" w:right="0" w:firstLine="0"/>
              <w:jc w:val="both"/>
              <w:rPr>
                <w:sz w:val="22"/>
                <w:szCs w:val="22"/>
                <w:shd w:val="nil" w:color="auto" w:fill="auto"/>
                <w:rtl w:val="0"/>
              </w:rPr>
            </w:pPr>
            <w:r>
              <w:rPr>
                <w:sz w:val="22"/>
                <w:szCs w:val="22"/>
                <w:shd w:val="nil" w:color="auto" w:fill="auto"/>
                <w:rtl w:val="0"/>
                <w:lang w:val="en-US"/>
              </w:rPr>
              <w:t xml:space="preserve">University Avenue, Glasgow, G12 8QQ. </w:t>
            </w:r>
          </w:p>
          <w:p>
            <w:pPr>
              <w:pStyle w:val="~Footer"/>
              <w:bidi w:val="0"/>
              <w:ind w:left="0" w:right="0" w:firstLine="0"/>
              <w:jc w:val="both"/>
              <w:rPr>
                <w:sz w:val="22"/>
                <w:szCs w:val="22"/>
                <w:shd w:val="nil" w:color="auto" w:fill="auto"/>
                <w:rtl w:val="0"/>
              </w:rPr>
            </w:pPr>
            <w:r>
              <w:rPr>
                <w:sz w:val="22"/>
                <w:szCs w:val="22"/>
                <w:shd w:val="nil" w:color="auto" w:fill="auto"/>
                <w:rtl w:val="0"/>
                <w:lang w:val="en-US"/>
              </w:rPr>
              <w:t>Direct Line +44 (0)141 330 3536</w:t>
            </w:r>
          </w:p>
          <w:p>
            <w:pPr>
              <w:pStyle w:val="~Footer"/>
              <w:bidi w:val="0"/>
              <w:ind w:left="0" w:right="0" w:firstLine="0"/>
              <w:jc w:val="both"/>
              <w:rPr>
                <w:sz w:val="22"/>
                <w:szCs w:val="22"/>
                <w:shd w:val="nil" w:color="auto" w:fill="auto"/>
                <w:rtl w:val="0"/>
              </w:rPr>
            </w:pPr>
            <w:r>
              <w:rPr>
                <w:sz w:val="22"/>
                <w:szCs w:val="22"/>
                <w:shd w:val="nil" w:color="auto" w:fill="auto"/>
                <w:rtl w:val="0"/>
                <w:lang w:val="en-US"/>
              </w:rPr>
              <w:t>Email: Christopher.Messenger@glasgow.ac.uk</w:t>
            </w:r>
          </w:p>
          <w:p>
            <w:pPr>
              <w:pStyle w:val="footer"/>
              <w:bidi w:val="0"/>
              <w:ind w:left="0" w:right="0" w:firstLine="0"/>
              <w:jc w:val="left"/>
              <w:rPr>
                <w:rtl w:val="0"/>
              </w:rPr>
            </w:pPr>
            <w:r>
              <w:rPr>
                <w:rFonts w:ascii="Arial" w:hAnsi="Arial"/>
                <w:sz w:val="22"/>
                <w:szCs w:val="22"/>
                <w:shd w:val="nil" w:color="auto" w:fill="auto"/>
                <w:rtl w:val="0"/>
                <w:lang w:val="en-US"/>
              </w:rPr>
              <w:t>The University of Glasgow, charity number SC004401</w:t>
            </w:r>
            <w:r>
              <w:rPr>
                <w:rFonts w:ascii="Arial" w:cs="Arial" w:hAnsi="Arial" w:eastAsia="Arial"/>
                <w:sz w:val="16"/>
                <w:szCs w:val="16"/>
                <w:shd w:val="nil" w:color="auto" w:fill="auto"/>
              </w:rPr>
            </w:r>
          </w:p>
        </w:tc>
      </w:tr>
    </w:tbl>
    <w:p>
      <w:pPr>
        <w:pStyle w:val="Body"/>
      </w:pPr>
    </w:p>
    <w:sectPr>
      <w:type w:val="continuous"/>
      <w:pgSz w:w="12240" w:h="15840" w:orient="portrait"/>
      <w:pgMar w:top="720" w:right="1440" w:bottom="720" w:left="1440" w:header="709" w:footer="709"/>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en-US"/>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153"/>
        <w:tab w:val="right" w:pos="8306"/>
      </w:tabs>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