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</w:t>
      </w:r>
      <w:r>
        <w:t xml:space="preserve"> </w:t>
      </w:r>
      <w:r>
        <w:t xml:space="preserve">“Pretreatment transcriptional state carries condition-specific information about future</w:t>
      </w:r>
      <w:r>
        <w:t xml:space="preserve"> </w:t>
      </w:r>
      <w:r>
        <w:t xml:space="preserve">clonal detection in a lineage-traced melanoma line”</w:t>
      </w:r>
      <w:r>
        <w:t xml:space="preserve"> </w:t>
      </w:r>
      <w:r>
        <w:t xml:space="preserve">for consideration as a Research Article in BMC</w:t>
      </w:r>
      <w:r>
        <w:t xml:space="preserve"> </w:t>
      </w:r>
      <w:r>
        <w:t xml:space="preserve">Bioinformatics.</w:t>
      </w:r>
    </w:p>
    <w:p>
      <w:pPr>
        <w:pStyle w:val="BodyText"/>
      </w:pPr>
      <w:r>
        <w:rPr>
          <w:b/>
          <w:bCs/>
        </w:rPr>
        <w:t xml:space="preserve">Contribution and journal fit.</w:t>
      </w:r>
      <w:r>
        <w:t xml:space="preserve"> </w:t>
      </w:r>
      <w:r>
        <w:t xml:space="preserve">This work presents a reproducible evaluation framework for testing</w:t>
      </w:r>
      <w:r>
        <w:t xml:space="preserve"> </w:t>
      </w:r>
      <w:r>
        <w:t xml:space="preserve">whether pretreatment transcriptional state contains condition-specific information about a future</w:t>
      </w:r>
      <w:r>
        <w:t xml:space="preserve"> </w:t>
      </w:r>
      <w:r>
        <w:t xml:space="preserve">clonal outcome. The evaluation protocol — ranking metric, population, weighting, comparator, null</w:t>
      </w:r>
      <w:r>
        <w:t xml:space="preserve"> </w:t>
      </w:r>
      <w:r>
        <w:t xml:space="preserve">and verdict rule — was fixed by cryptographic digest before any ranking statistic was computed, and</w:t>
      </w:r>
      <w:r>
        <w:t xml:space="preserve"> </w:t>
      </w:r>
      <w:r>
        <w:t xml:space="preserve">the released artifacts include verification tools that reject modified files, so a reader can</w:t>
      </w:r>
      <w:r>
        <w:t xml:space="preserve"> </w:t>
      </w:r>
      <w:r>
        <w:t xml:space="preserve">confirm that what is reported is what was run. The study therefore contributes not only a biological</w:t>
      </w:r>
      <w:r>
        <w:t xml:space="preserve"> </w:t>
      </w:r>
      <w:r>
        <w:t xml:space="preserve">reanalysis, but a methods framework for auditable computational evaluation.</w:t>
      </w:r>
    </w:p>
    <w:p>
      <w:pPr>
        <w:pStyle w:val="BodyText"/>
      </w:pPr>
      <w:r>
        <w:rPr>
          <w:b/>
          <w:bCs/>
        </w:rPr>
        <w:t xml:space="preserve">Context and result.</w:t>
      </w:r>
      <w:r>
        <w:t xml:space="preserve"> </w:t>
      </w:r>
      <w:r>
        <w:t xml:space="preserve">Prior work in this system established that pre-existing single-cell state</w:t>
      </w:r>
      <w:r>
        <w:t xml:space="preserve"> </w:t>
      </w:r>
      <w:r>
        <w:t xml:space="preserve">predicts whether a clone resists treatment. I ask the adjacent question of under which condition a</w:t>
      </w:r>
      <w:r>
        <w:t xml:space="preserve"> </w:t>
      </w:r>
      <w:r>
        <w:t xml:space="preserve">clone remains detectable. Using the publicly deposited six-condition clonal-tracing dataset of</w:t>
      </w:r>
      <w:r>
        <w:t xml:space="preserve"> </w:t>
      </w:r>
      <w:r>
        <w:t xml:space="preserve">Schaff et al. (GSE279162), an explicit state-by-condition interaction improves within-clone</w:t>
      </w:r>
      <w:r>
        <w:t xml:space="preserve"> </w:t>
      </w:r>
      <w:r>
        <w:t xml:space="preserve">condition ordering over a non-interactive additive model, exceeding all 1,000 full-refit permutation</w:t>
      </w:r>
      <w:r>
        <w:t xml:space="preserve"> </w:t>
      </w:r>
      <w:r>
        <w:t xml:space="preserve">draws.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central contribution is methodological: clone-level, condition-specific</w:t>
      </w:r>
      <w:r>
        <w:t xml:space="preserve"> </w:t>
      </w:r>
      <w:r>
        <w:t xml:space="preserve">information can be separated from overall detectability and detected under a protocol fixed in</w:t>
      </w:r>
      <w:r>
        <w:t xml:space="preserve"> </w:t>
      </w:r>
      <w:r>
        <w:t xml:space="preserve">advance. An additive, condition-independent state contribution cannot represent this interaction.</w:t>
      </w:r>
      <w:r>
        <w:t xml:space="preserve"> </w:t>
      </w:r>
      <w:r>
        <w:t xml:space="preserve">The evaluation design is applicable to other lineage-traced systems with pretreatment profiles and</w:t>
      </w:r>
      <w:r>
        <w:t xml:space="preserve"> </w:t>
      </w:r>
      <w:r>
        <w:t xml:space="preserve">multiple conditions.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No new data were generated. The claims are deliberately bounded to one cell line, six</w:t>
      </w:r>
      <w:r>
        <w:t xml:space="preserve"> </w:t>
      </w:r>
      <w:r>
        <w:t xml:space="preserve">observed conditions, an observed clonal-detection proxy rather than death or clinical response, and</w:t>
      </w:r>
      <w:r>
        <w:t xml:space="preserve"> </w:t>
      </w:r>
      <w:r>
        <w:t xml:space="preserve">no independent biological replication. These limitations are stated explicitly in the abstract and</w:t>
      </w:r>
      <w:r>
        <w:t xml:space="preserve"> </w:t>
      </w:r>
      <w:r>
        <w:t xml:space="preserve">the manuscript.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the verification tools are archived at Zenodo (DOI: 10.5281/zenodo.22769562).</w:t>
      </w:r>
    </w:p>
    <w:p>
      <w:pPr>
        <w:pStyle w:val="BodyText"/>
      </w:pPr>
      <w:r>
        <w:t xml:space="preserve">The manuscript is also available as a preprint at Zenodo (DOI: 10.5281/zenodo.22829747) under a CC</w:t>
      </w:r>
      <w:r>
        <w:t xml:space="preserve"> </w:t>
      </w:r>
      <w:r>
        <w:t xml:space="preserve">BY licence. That DOI resolves to the newest version of the record, which is the version submitted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The software and frozen model are released under the PolyForm Noncommercial License 1.0.0. They are</w:t>
      </w:r>
      <w:r>
        <w:t xml:space="preserve"> </w:t>
      </w:r>
      <w:r>
        <w:t xml:space="preserve">free for any non-commercial use without registration or agreement, which meets the journal’s</w:t>
      </w:r>
      <w:r>
        <w:t xml:space="preserve"> </w:t>
      </w:r>
      <w:r>
        <w:t xml:space="preserve">software-availability policy. The licence is source-available rather than OSI-approved open source,</w:t>
      </w:r>
      <w:r>
        <w:t xml:space="preserve"> </w:t>
      </w:r>
      <w:r>
        <w:t xml:space="preserve">because commercial use is restricted; I state that here rather than leave it to be discovered in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Generative AI assistance is disclosed in the Methods section.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Hagai Aviv</w:t>
      </w:r>
      <w:r>
        <w:br/>
      </w:r>
      <w:r>
        <w:t xml:space="preserve">Independent researcher, Ma’ale Adumim, Israel</w:t>
      </w:r>
      <w:r>
        <w:br/>
      </w:r>
      <w:r>
        <w:t xml:space="preserve">hagai.aviv.home@gmail.com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2026-09-24T00:43:06Z</dcterms:created>
  <dcterms:modified xsi:type="dcterms:W3CDTF">2026-09-24T00:43:06Z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