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researcher, Ma’ale Adumim, Israel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924202ce1ceecad95365d584e6aac5f7419ae0bea0e65a3c322e44be7dee254a</w:t>
      </w:r>
      <w:r>
        <w:br/>
      </w:r>
      <w:r>
        <w:rPr>
          <w:rStyle w:val="VerbatimChar"/>
        </w:rPr>
        <w:t xml:space="preserve">  claim lock      87ce74beba6f80a6dde2c44d6ca3cee6ec79bebe35ac24da438c6ce34acfb199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 The additive model did not</w:t>
      </w:r>
      <w:r>
        <w:t xml:space="preserve"> </w:t>
      </w:r>
      <w:r>
        <w:t xml:space="preserve">itself improve that ordering over condition identity alone (0.692176 against 0.692654): the gain</w:t>
      </w:r>
      <w:r>
        <w:t xml:space="preserve"> </w:t>
      </w:r>
      <w:r>
        <w:t xml:space="preserve">is the interaction.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[2];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[3];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[4];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[5].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[6].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FirstParagraph"/>
      </w:pPr>
      <w:r>
        <w:rPr>
          <w:b/>
          <w:bCs/>
        </w:rPr>
        <w:t xml:space="preserve">Table 1</w:t>
      </w:r>
      <w:r>
        <w:t xml:space="preserve"> </w:t>
      </w:r>
      <w:r>
        <w:t xml:space="preserve">The three preregistered model specifications.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  <w:tc>
          <w:tcPr/>
          <w:p>
            <w:pPr>
              <w:pStyle w:val="Compac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B + U</w:t>
            </w:r>
          </w:p>
        </w:tc>
        <w:tc>
          <w:tcPr/>
          <w:p>
            <w:pPr>
              <w:pStyle w:val="Compact"/>
            </w:pPr>
            <w:r>
              <w:t xml:space="preserve">nuisance and condition identity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X + B + U</w:t>
            </w:r>
          </w:p>
        </w:tc>
        <w:tc>
          <w:tcPr/>
          <w:p>
            <w:pPr>
              <w:pStyle w:val="Compact"/>
            </w:pPr>
            <w:r>
              <w:t xml:space="preserve">plus an additive expression 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X + B + U + X*U</w:t>
            </w:r>
          </w:p>
        </w:tc>
        <w:tc>
          <w:tcPr/>
          <w:p>
            <w:pPr>
              <w:pStyle w:val="Compact"/>
            </w:pPr>
            <w:r>
              <w:t xml:space="preserve">plus an explicit state-by-condition interaction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ai-use-disclosure"/>
    <w:p>
      <w:pPr>
        <w:pStyle w:val="Heading3"/>
      </w:pPr>
      <w:r>
        <w:t xml:space="preserve">AI use disclosure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FirstParagraph"/>
      </w:pPr>
      <w:r>
        <w:rPr>
          <w:b/>
          <w:bCs/>
        </w:rPr>
        <w:t xml:space="preserve">Table 2</w:t>
      </w:r>
      <w:r>
        <w:t xml:space="preserve"> </w:t>
      </w:r>
      <w:r>
        <w:t xml:space="preserve">Ranking score by model, and the preregistered difference;</w:t>
      </w:r>
      <w:r>
        <w:t xml:space="preserve"> </w:t>
      </w:r>
      <w:r>
        <w:rPr>
          <w:b/>
          <w:bCs/>
        </w:rPr>
        <w:t xml:space="preserve">Table 1</w:t>
      </w:r>
      <w:r>
        <w:t xml:space="preserve"> </w:t>
      </w:r>
      <w:r>
        <w:t xml:space="preserve">defines the</w:t>
      </w:r>
      <w:r>
        <w:t xml:space="preserve"> </w:t>
      </w:r>
      <w:r>
        <w:t xml:space="preserve">models.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Ranking score R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0.692654</w:t>
            </w:r>
          </w:p>
        </w:tc>
        <w:tc>
          <w:tcPr/>
          <w:p>
            <w:pPr>
              <w:pStyle w:val="Compact"/>
            </w:pPr>
            <w:r>
              <w:t xml:space="preserve">nuisance +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0.692176</w:t>
            </w:r>
          </w:p>
        </w:tc>
        <w:tc>
          <w:tcPr/>
          <w:p>
            <w:pPr>
              <w:pStyle w:val="Compact"/>
            </w:pPr>
            <w:r>
              <w:t xml:space="preserve">+ additive 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0.743781</w:t>
            </w:r>
          </w:p>
        </w:tc>
        <w:tc>
          <w:tcPr/>
          <w:p>
            <w:pPr>
              <w:pStyle w:val="Compact"/>
            </w:pPr>
            <w:r>
              <w:t xml:space="preserve">+ explicit X x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+0.051605</w:t>
            </w:r>
          </w:p>
        </w:tc>
        <w:tc>
          <w:tcPr/>
          <w:p>
            <w:pPr>
              <w:pStyle w:val="Compact"/>
            </w:pPr>
            <w:r>
              <w:t xml:space="preserve">W5 minus W4; CI95 [+0.037197, +0.065571]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FirstParagraph"/>
      </w:pPr>
      <w:r>
        <w:rPr>
          <w:b/>
          <w:bCs/>
        </w:rPr>
        <w:t xml:space="preserve">Table 3</w:t>
      </w:r>
      <w:r>
        <w:t xml:space="preserve"> </w:t>
      </w:r>
      <w:r>
        <w:t xml:space="preserve">The observed statistic against its permutation null.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p95</w:t>
            </w:r>
          </w:p>
        </w:tc>
        <w:tc>
          <w:tcPr/>
          <w:p>
            <w:pPr>
              <w:pStyle w:val="Compact"/>
            </w:pPr>
            <w:r>
              <w:t xml:space="preserve">0.008672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/ null p95</w:t>
            </w:r>
          </w:p>
        </w:tc>
        <w:tc>
          <w:tcPr/>
          <w:p>
            <w:pPr>
              <w:pStyle w:val="Compact"/>
            </w:pPr>
            <w:r>
              <w:t xml:space="preserve">6.0x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vs null mean</w:t>
            </w:r>
          </w:p>
        </w:tc>
        <w:tc>
          <w:tcPr/>
          <w:p>
            <w:pPr>
              <w:pStyle w:val="Compact"/>
            </w:pPr>
            <w:r>
              <w:t xml:space="preserve">11.8 null standard deviations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of 1,000 draws</w:t>
            </w:r>
          </w:p>
        </w:tc>
        <w:tc>
          <w:tcPr/>
          <w:p>
            <w:pPr>
              <w:pStyle w:val="Compact"/>
            </w:pPr>
            <w:r>
              <w:t xml:space="preserve">0.013722 – the observed value exceeds EVERY null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draws reaching observed</w:t>
            </w:r>
          </w:p>
        </w:tc>
        <w:tc>
          <w:tcPr/>
          <w:p>
            <w:pPr>
              <w:pStyle w:val="Compact"/>
            </w:pPr>
            <w:r>
              <w:t xml:space="preserve">0 of 1000 full-refit permutations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FirstParagraph"/>
      </w:pPr>
      <w:r>
        <w:rPr>
          <w:b/>
          <w:bCs/>
        </w:rPr>
        <w:t xml:space="preserve">Table 4</w:t>
      </w:r>
      <w:r>
        <w:t xml:space="preserve"> </w:t>
      </w:r>
      <w:r>
        <w:t xml:space="preserve">delta_RANK within each stratum, by outer fold and by pretreatment depth.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Outer fold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Pretreatment depth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0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 cell</w:t>
            </w:r>
          </w:p>
        </w:tc>
        <w:tc>
          <w:tcPr/>
          <w:p>
            <w:pPr>
              <w:pStyle w:val="Compact"/>
            </w:pPr>
            <w:r>
              <w:t xml:space="preserve">+0.0535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</w:t>
            </w:r>
          </w:p>
        </w:tc>
        <w:tc>
          <w:tcPr/>
          <w:p>
            <w:pPr>
              <w:pStyle w:val="Compact"/>
            </w:pPr>
            <w:r>
              <w:t xml:space="preserve">+0.0548</w:t>
            </w:r>
          </w:p>
        </w:tc>
        <w:tc>
          <w:tcPr/>
          <w:p>
            <w:pPr>
              <w:pStyle w:val="Compact"/>
            </w:pPr>
            <w:r>
              <w:t xml:space="preserve">2 cells</w:t>
            </w:r>
          </w:p>
        </w:tc>
        <w:tc>
          <w:tcPr/>
          <w:p>
            <w:pPr>
              <w:pStyle w:val="Compact"/>
            </w:pPr>
            <w:r>
              <w:t xml:space="preserve">+0.0528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</w:t>
            </w:r>
          </w:p>
        </w:tc>
        <w:tc>
          <w:tcPr/>
          <w:p>
            <w:pPr>
              <w:pStyle w:val="Compact"/>
            </w:pPr>
            <w:r>
              <w:t xml:space="preserve">+0.0658</w:t>
            </w:r>
          </w:p>
        </w:tc>
        <w:tc>
          <w:tcPr/>
          <w:p>
            <w:pPr>
              <w:pStyle w:val="Compact"/>
            </w:pPr>
            <w:r>
              <w:t xml:space="preserve">3-4</w:t>
            </w:r>
          </w:p>
        </w:tc>
        <w:tc>
          <w:tcPr/>
          <w:p>
            <w:pPr>
              <w:pStyle w:val="Compact"/>
            </w:pPr>
            <w:r>
              <w:t xml:space="preserve">+0.0314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</w:t>
            </w:r>
          </w:p>
        </w:tc>
        <w:tc>
          <w:tcPr/>
          <w:p>
            <w:pPr>
              <w:pStyle w:val="Compact"/>
            </w:pPr>
            <w:r>
              <w:t xml:space="preserve">+0.0506</w:t>
            </w:r>
          </w:p>
        </w:tc>
        <w:tc>
          <w:tcPr/>
          <w:p>
            <w:pPr>
              <w:pStyle w:val="Compact"/>
            </w:pPr>
            <w:r>
              <w:t xml:space="preserve">5-9</w:t>
            </w:r>
          </w:p>
        </w:tc>
        <w:tc>
          <w:tcPr/>
          <w:p>
            <w:pPr>
              <w:pStyle w:val="Compact"/>
            </w:pPr>
            <w:r>
              <w:t xml:space="preserve">+0.0462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4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+0.0779</w:t>
            </w:r>
          </w:p>
        </w:tc>
      </w:tr>
    </w:tbl>
    <w:p>
      <w:pPr>
        <w:pStyle w:val="BodyText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FirstParagraph"/>
      </w:pPr>
      <w:r>
        <w:rPr>
          <w:b/>
          <w:bCs/>
        </w:rPr>
        <w:t xml:space="preserve">Table 5</w:t>
      </w:r>
      <w:r>
        <w:t xml:space="preserve"> </w:t>
      </w:r>
      <w:r>
        <w:t xml:space="preserve">The top-choice diagnostic, preregistered as a directional-consistency check.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Diagnostic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delta_TOP1</w:t>
            </w:r>
          </w:p>
        </w:tc>
        <w:tc>
          <w:tcPr/>
          <w:p>
            <w:pPr>
              <w:pStyle w:val="Compact"/>
            </w:pPr>
            <w:r>
              <w:t xml:space="preserve">+0.115471</w:t>
            </w:r>
          </w:p>
        </w:tc>
        <w:tc>
          <w:tcPr/>
          <w:p>
            <w:pPr>
              <w:pStyle w:val="Compact"/>
            </w:pPr>
            <w:r>
              <w:t xml:space="preserve">[+0.082960, +0.145740]</w:t>
            </w:r>
          </w:p>
        </w:tc>
      </w:tr>
    </w:tbl>
    <w:p>
      <w:pPr>
        <w:pStyle w:val="BodyText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5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39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datasets analysed during the current study are all public, but they are not all in one</w:t>
      </w:r>
      <w:r>
        <w:t xml:space="preserve"> </w:t>
      </w:r>
      <w:r>
        <w:t xml:space="preserve">archive.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Role B, which carries the primary result, is in the Gene Expression Omnibus under accession</w:t>
      </w:r>
      <w:r>
        <w:t xml:space="preserve"> </w:t>
      </w:r>
      <w:r>
        <w:t xml:space="preserve">GSE279162 [7], generated and deposited by Schaff et al. [1]. Five files of</w:t>
      </w:r>
      <w:r>
        <w:t xml:space="preserve"> </w:t>
      </w:r>
      <w:r>
        <w:t xml:space="preserve">their own analysis code, read to reconstruct their preprocessing rules rather than guess at them,</w:t>
      </w:r>
      <w:r>
        <w:t xml:space="preserve"> </w:t>
      </w:r>
      <w:r>
        <w:t xml:space="preserve">are archived at Zenodo [8].</w:t>
      </w:r>
    </w:p>
    <w:p>
      <w:pPr>
        <w:pStyle w:val="BodyText"/>
      </w:pPr>
      <w:r>
        <w:t xml:space="preserve">Role A is split between two places. The sequencing data of the two samples used here are in GEO</w:t>
      </w:r>
      <w:r>
        <w:t xml:space="preserve"> </w:t>
      </w:r>
      <w:r>
        <w:t xml:space="preserve">under accession GSE227151 [6]. The three processed barcode tables the reconstruction</w:t>
      </w:r>
      <w:r>
        <w:t xml:space="preserve"> </w:t>
      </w:r>
      <w:r>
        <w:t xml:space="preserve">needs –</w:t>
      </w:r>
      <w:r>
        <w:t xml:space="preserve"> </w:t>
      </w:r>
      <w:r>
        <w:rPr>
          <w:rStyle w:val="VerbatimChar"/>
        </w:rPr>
        <w:t xml:space="preserve">filtered10XCells.txt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stepThreeStarcodeShavedReads_BC_10X.txt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stepThreeStarcodeShavedReads_BC_gDNA.txt</w:t>
      </w:r>
      <w:r>
        <w:t xml:space="preserve"> </w:t>
      </w:r>
      <w:r>
        <w:t xml:space="preserve">– are</w:t>
      </w:r>
      <w:r>
        <w:t xml:space="preserve"> </w:t>
      </w:r>
      <w:r>
        <w:rPr>
          <w:b/>
          <w:bCs/>
        </w:rPr>
        <w:t xml:space="preserve">not part of that GEO deposit</w:t>
      </w:r>
      <w:r>
        <w:t xml:space="preserve">, whose only</w:t>
      </w:r>
      <w:r>
        <w:t xml:space="preserve"> </w:t>
      </w:r>
      <w:r>
        <w:t xml:space="preserve">supplementary file is</w:t>
      </w:r>
      <w:r>
        <w:t xml:space="preserve"> </w:t>
      </w:r>
      <w:r>
        <w:rPr>
          <w:rStyle w:val="VerbatimChar"/>
        </w:rPr>
        <w:t xml:space="preserve">GSE227151_RAW.tar</w:t>
      </w:r>
      <w:r>
        <w:t xml:space="preserve">. The original authors published them in a shared data</w:t>
      </w:r>
      <w:r>
        <w:t xml:space="preserve"> </w:t>
      </w:r>
      <w:r>
        <w:t xml:space="preserve">package [9], linked from the key resources table of Jain et al. [10], and they</w:t>
      </w:r>
      <w:r>
        <w:t xml:space="preserve"> </w:t>
      </w:r>
      <w:r>
        <w:t xml:space="preserve">were taken from there on 21 August 2026. The Rewind authors’ two R1 scripts are archived at Zenodo</w:t>
      </w:r>
      <w:r>
        <w:t xml:space="preserve"> </w:t>
      </w:r>
      <w:r>
        <w:t xml:space="preserve">[11].</w:t>
      </w:r>
    </w:p>
    <w:p>
      <w:pPr>
        <w:pStyle w:val="BodyText"/>
      </w:pPr>
      <w:r>
        <w:t xml:space="preserve">A shared folder is not a persistent identifier and may move. The size and SHA-256 of every input</w:t>
      </w:r>
      <w:r>
        <w:t xml:space="preserve"> </w:t>
      </w:r>
      <w:r>
        <w:t xml:space="preserve">file are recorded in the two Stage-22 manifests inside this study’s archive, and the pipeline</w:t>
      </w:r>
      <w:r>
        <w:t xml:space="preserve"> </w:t>
      </w:r>
      <w:r>
        <w:t xml:space="preserve">refuses any file whose bytes differ, so a reader can check whatever copy they obtain against what</w:t>
      </w:r>
      <w:r>
        <w:t xml:space="preserve"> </w:t>
      </w:r>
      <w:r>
        <w:t xml:space="preserve">was analysed here. Those files belong to the original authors and are not redistributed here.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 [12] and developed openly on</w:t>
      </w:r>
      <w:r>
        <w:t xml:space="preserve"> </w:t>
      </w:r>
      <w:r>
        <w:t xml:space="preserve">GitHub [13].</w:t>
      </w:r>
    </w:p>
    <w:bookmarkStart w:id="35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924202ce1ceecad95365d584e6aac5f7419ae0bea0e65a3c322e44be7dee254a</w:t>
      </w:r>
      <w:r>
        <w:br/>
      </w:r>
      <w:r>
        <w:rPr>
          <w:rStyle w:val="VerbatimChar"/>
        </w:rPr>
        <w:t xml:space="preserve">  claim lock digest      87ce74beba6f80a6dde2c44d6ca3cee6ec79bebe35ac24da438c6ce34acfb199</w:t>
      </w:r>
    </w:p>
    <w:bookmarkEnd w:id="35"/>
    <w:bookmarkStart w:id="36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6"/>
    <w:bookmarkStart w:id="37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7"/>
    <w:bookmarkStart w:id="38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8"/>
    <w:bookmarkEnd w:id="39"/>
    <w:bookmarkStart w:id="40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HA holds the copyright in CellFate-Rx and offers commercial licences for it. HA has received no</w:t>
      </w:r>
      <w:r>
        <w:t xml:space="preserve"> </w:t>
      </w:r>
      <w:r>
        <w:t xml:space="preserve">income from it to date.</w:t>
      </w:r>
    </w:p>
    <w:bookmarkEnd w:id="40"/>
    <w:bookmarkStart w:id="41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1"/>
    <w:bookmarkStart w:id="42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HA conceived the study, set its logic and direction, and directed the AI-assisted implementation</w:t>
      </w:r>
      <w:r>
        <w:t xml:space="preserve"> </w:t>
      </w:r>
      <w:r>
        <w:t xml:space="preserve">and documentation described in Methods. The author read and approved the final manuscript.</w:t>
      </w:r>
    </w:p>
    <w:bookmarkEnd w:id="42"/>
    <w:bookmarkStart w:id="43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3"/>
    <w:bookmarkStart w:id="44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treatments.</w:t>
      </w:r>
      <w:r>
        <w:t xml:space="preserve"> </w:t>
      </w:r>
      <w:r>
        <w:t xml:space="preserve">Cell Genomics. 2026;6(6):101191. doi:10.1016/j.xgen.2026.101191</w:t>
      </w:r>
    </w:p>
    <w:p>
      <w:pPr>
        <w:numPr>
          <w:ilvl w:val="0"/>
          <w:numId w:val="1002"/>
        </w:numPr>
      </w:pPr>
      <w:r>
        <w:t xml:space="preserve">Shaffer SM, Dunagin MC, Torborg SR, Torre EA, Emert B, et al.</w:t>
      </w:r>
      <w:r>
        <w:t xml:space="preserve"> </w:t>
      </w:r>
      <w:r>
        <w:t xml:space="preserve">Rare cell variability and drug-induced reprogramming as a mode of cancer drug resistance.</w:t>
      </w:r>
      <w:r>
        <w:t xml:space="preserve"> </w:t>
      </w:r>
      <w:r>
        <w:t xml:space="preserve">Nature. 2017;546(7658):431-5. doi:10.1038/nature22794</w:t>
      </w:r>
    </w:p>
    <w:p>
      <w:pPr>
        <w:numPr>
          <w:ilvl w:val="0"/>
          <w:numId w:val="1002"/>
        </w:numPr>
      </w:pPr>
      <w:r>
        <w:t xml:space="preserve">Emert BL, Cote CJ, Torre EA, Dardani IP, Jiang CL, Jain N, et al.</w:t>
      </w:r>
      <w:r>
        <w:t xml:space="preserve"> </w:t>
      </w:r>
      <w:r>
        <w:t xml:space="preserve">Variability within rare cell states enables multiple paths toward drug resistance.</w:t>
      </w:r>
      <w:r>
        <w:t xml:space="preserve"> </w:t>
      </w:r>
      <w:r>
        <w:t xml:space="preserve">Nat Biotechnol. 2021;39(7):865-76. doi:10.1038/s41587-021-00837-3</w:t>
      </w:r>
    </w:p>
    <w:p>
      <w:pPr>
        <w:numPr>
          <w:ilvl w:val="0"/>
          <w:numId w:val="1002"/>
        </w:numPr>
      </w:pPr>
      <w:r>
        <w:t xml:space="preserve">Goyal Y, Busch GT, Pillai M, Li J, Boe RH, et al.</w:t>
      </w:r>
      <w:r>
        <w:t xml:space="preserve"> </w:t>
      </w:r>
      <w:r>
        <w:t xml:space="preserve">Diverse clonal fates emerge upon drug treatment of homogeneous cancer cells.</w:t>
      </w:r>
      <w:r>
        <w:t xml:space="preserve"> </w:t>
      </w:r>
      <w:r>
        <w:t xml:space="preserve">Nature. 2023;620(7974):651-9. doi:10.1038/s41586-023-06342-8</w:t>
      </w:r>
    </w:p>
    <w:p>
      <w:pPr>
        <w:numPr>
          <w:ilvl w:val="0"/>
          <w:numId w:val="1002"/>
        </w:numPr>
      </w:pPr>
      <w:r>
        <w:t xml:space="preserve">Kapoor S, Narayanan A.</w:t>
      </w:r>
      <w:r>
        <w:t xml:space="preserve"> </w:t>
      </w:r>
      <w:r>
        <w:t xml:space="preserve">Leakage and the reproducibility crisis in machine-learning-based science.</w:t>
      </w:r>
      <w:r>
        <w:t xml:space="preserve"> </w:t>
      </w:r>
      <w:r>
        <w:t xml:space="preserve">Patterns. 2023;4(9):100804. doi:10.1016/j.patter.2023.100804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 [dataset]. Gene Expression Omnibus, GSE227151. 2023.</w:t>
      </w:r>
      <w:r>
        <w:t xml:space="preserve"> </w:t>
      </w:r>
      <w:r>
        <w:t xml:space="preserve">https://www.ncbi.nlm.nih.gov/geo/query/acc.cgi?acc=GSE227151 Accessed 21 Aug 2026.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 [dataset].</w:t>
      </w:r>
      <w:r>
        <w:t xml:space="preserve"> </w:t>
      </w:r>
      <w:r>
        <w:t xml:space="preserve">Gene Expression Omnibus, GSE279162. 2024.</w:t>
      </w:r>
      <w:r>
        <w:t xml:space="preserve"> </w:t>
      </w:r>
      <w:r>
        <w:t xml:space="preserve">https://www.ncbi.nlm.nih.gov/geo/query/acc.cgi?acc=GSE279162 Accessed 12 Jul 2026.</w:t>
      </w:r>
    </w:p>
    <w:p>
      <w:pPr>
        <w:numPr>
          <w:ilvl w:val="0"/>
          <w:numId w:val="1002"/>
        </w:numPr>
      </w:pPr>
      <w:r>
        <w:t xml:space="preserve">Schaff DL (dylanschaff).</w:t>
      </w:r>
      <w:r>
        <w:t xml:space="preserve"> </w:t>
      </w:r>
      <w:r>
        <w:t xml:space="preserve">dylanschaff/Schaff_manuscript: Schaff_manuscript_first_submission [software].</w:t>
      </w:r>
      <w:r>
        <w:t xml:space="preserve"> </w:t>
      </w:r>
      <w:r>
        <w:t xml:space="preserve">Zenodo. 2024. doi:10.5281/zenodo.13935305</w:t>
      </w:r>
      <w:r>
        <w:t xml:space="preserve"> </w:t>
      </w:r>
      <w:r>
        <w:t xml:space="preserve">https://doi.org/10.5281/zenodo.13935305 Accessed 21 Aug 2026.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Processed barcode data for iPSC Rewind, GSE227151 [data package].</w:t>
      </w:r>
      <w:r>
        <w:t xml:space="preserve"> </w:t>
      </w:r>
      <w:r>
        <w:t xml:space="preserve">filtered10XCells.txt, stepThreeStarcodeShavedReads_BC_10X.txt and</w:t>
      </w:r>
      <w:r>
        <w:t xml:space="preserve"> </w:t>
      </w:r>
      <w:r>
        <w:t xml:space="preserve">stepThreeStarcodeShavedReads_BC_gDNA.txt for GSE227151. Dropbox. 2024.</w:t>
      </w:r>
      <w:r>
        <w:t xml:space="preserve"> </w:t>
      </w:r>
      <w:r>
        <w:t xml:space="preserve">https://www.dropbox.com/sh/ulu6728tcp49dv2/AAAPwLYQiVLloH_JL38lvTj6a?dl=0</w:t>
      </w:r>
      <w:r>
        <w:t xml:space="preserve"> </w:t>
      </w:r>
      <w:r>
        <w:t xml:space="preserve">Accessed 21 Aug 2026. Linked from the key resources table of Jain et al.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cells. Cell Syst. 2024;15(2):109-133.e10.</w:t>
      </w:r>
      <w:r>
        <w:t xml:space="preserve"> </w:t>
      </w:r>
      <w:r>
        <w:t xml:space="preserve">doi:10.1016/j.cels.2024.01.001</w:t>
      </w:r>
    </w:p>
    <w:p>
      <w:pPr>
        <w:numPr>
          <w:ilvl w:val="0"/>
          <w:numId w:val="1002"/>
        </w:numPr>
      </w:pPr>
      <w:r>
        <w:t xml:space="preserve">Jain N, et al. (goldengopherforlife).</w:t>
      </w:r>
      <w:r>
        <w:t xml:space="preserve"> </w:t>
      </w:r>
      <w:r>
        <w:t xml:space="preserve">arjunrajlaboratory/iPSC_Rewind: Final Release [software].</w:t>
      </w:r>
      <w:r>
        <w:t xml:space="preserve"> </w:t>
      </w:r>
      <w:r>
        <w:t xml:space="preserve">Zenodo. 2024. doi:10.5281/zenodo.7707418</w:t>
      </w:r>
      <w:r>
        <w:t xml:space="preserve"> </w:t>
      </w:r>
      <w:r>
        <w:t xml:space="preserve">https://doi.org/10.5281/zenodo.7707418 Accessed 21 Aug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 Gen-1: frozen model and reproducibility artifacts, version 1.0.2 [software].</w:t>
      </w:r>
      <w:r>
        <w:t xml:space="preserve"> </w:t>
      </w:r>
      <w:r>
        <w:t xml:space="preserve">Zenodo. 2026. doi:10.5281/zenodo.22769562</w:t>
      </w:r>
      <w:r>
        <w:t xml:space="preserve"> </w:t>
      </w:r>
      <w:r>
        <w:t xml:space="preserve">https://doi.org/10.5281/zenodo.22769562 Accessed 20 Sep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CellFate-Rx: cellular outcomes of perturbations [software repository].</w:t>
      </w:r>
      <w:r>
        <w:t xml:space="preserve"> </w:t>
      </w:r>
      <w:r>
        <w:t xml:space="preserve">GitHub. 2026. Archived at doi:10.5281/zenodo.22769562</w:t>
      </w:r>
      <w:r>
        <w:t xml:space="preserve"> </w:t>
      </w:r>
      <w:r>
        <w:t xml:space="preserve">https://github.com/hagai-tyty/Cellular-Outcomes-of-Perturbations Accessed 20 Sep 2026.</w:t>
      </w:r>
    </w:p>
    <w:p>
      <w:r>
        <w:pict>
          <v:rect style="width:0;height:1.5pt" o:hralign="center" o:hrstd="t" o:hr="t"/>
        </w:pict>
      </w:r>
    </w:p>
    <w:bookmarkEnd w:id="46"/>
    <w:bookmarkStart w:id="47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2026-09-24T00:43:04Z</dcterms:created>
  <dcterms:modified xsi:type="dcterms:W3CDTF">2026-09-24T00:43:04Z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