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294a7c26e719c84d14ffc338de4db07a55e6318"/>
    <w:p>
      <w:pPr>
        <w:pStyle w:val="Heading1"/>
      </w:pPr>
      <w:r>
        <w:t xml:space="preserve">Pretreatment transcriptional state carries condition-specific information about future clonal detection in a lineage-traced melanoma line</w:t>
      </w:r>
    </w:p>
    <w:p>
      <w:pPr>
        <w:pStyle w:val="FirstParagraph"/>
      </w:pPr>
      <w:r>
        <w:rPr>
          <w:b/>
          <w:bCs/>
        </w:rPr>
        <w:t xml:space="preserve">CellFate-Rx, Generation 1.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Hagai Aviv · ORCID</w:t>
      </w:r>
      <w:r>
        <w:t xml:space="preserve"> </w:t>
      </w:r>
      <w:hyperlink r:id="rId9">
        <w:r>
          <w:rPr>
            <w:rStyle w:val="Hyperlink"/>
          </w:rPr>
          <w:t xml:space="preserve">0009-0004-4503-6629</w:t>
        </w:r>
      </w:hyperlink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researcher, Ma’ale Adumim, Israel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hagai.aviv.home@gmail.com</w:t>
      </w:r>
    </w:p>
    <w:p>
      <w:pPr>
        <w:pStyle w:val="SourceCode"/>
      </w:pPr>
      <w:r>
        <w:rPr>
          <w:rStyle w:val="VerbatimChar"/>
        </w:rPr>
        <w:t xml:space="preserve">  evidence lock   4581fce568a8733d53f2e9c5e011b0c2cafc8e0aff5a2b65487b8055eff3a3c2</w:t>
      </w:r>
      <w:r>
        <w:br/>
      </w:r>
      <w:r>
        <w:rPr>
          <w:rStyle w:val="VerbatimChar"/>
        </w:rPr>
        <w:t xml:space="preserve">  claim lock      fcd25d3eb37aa9e4b4c973975a54565db0c49dfb60b7cdfea9be6821b4d051de</w:t>
      </w:r>
    </w:p>
    <w:p>
      <w:pPr>
        <w:pStyle w:val="FirstParagraph"/>
      </w:pPr>
      <w:r>
        <w:t xml:space="preserve">Both digests are verifiable from the repository. See</w:t>
      </w:r>
      <w:r>
        <w:t xml:space="preserve"> </w:t>
      </w:r>
      <w:r>
        <w:rPr>
          <w:b/>
          <w:bCs/>
        </w:rPr>
        <w:t xml:space="preserve">Availability of data and materials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Whether a cell’s molecular state before a perturbation predicts what happens to it afterwards is</w:t>
      </w:r>
      <w:r>
        <w:t xml:space="preserve"> </w:t>
      </w:r>
      <w:r>
        <w:t xml:space="preserve">usually asked retrospectively, after outcome and state have been measured in the same cells. We ask</w:t>
      </w:r>
      <w:r>
        <w:t xml:space="preserve"> </w:t>
      </w:r>
      <w:r>
        <w:t xml:space="preserve">it prospectively at clone level, in one BRAF-V600E melanoma cell line (WM989, GSE279162), in which</w:t>
      </w:r>
      <w:r>
        <w:t xml:space="preserve"> </w:t>
      </w:r>
      <w:r>
        <w:t xml:space="preserve">a barcoded population was split across six observed experimental conditions: Acid, Cisplatin, CoCl2,</w:t>
      </w:r>
      <w:r>
        <w:t xml:space="preserve"> </w:t>
      </w:r>
      <w:r>
        <w:t xml:space="preserve">Dabrafenib, Doxorubicin and Trametinib. Of the clones that experiment recovered, 1,401 carry a</w:t>
      </w:r>
      <w:r>
        <w:t xml:space="preserve"> </w:t>
      </w:r>
      <w:r>
        <w:t xml:space="preserve">pretreatment profile and are therefore analysable prospectively; those are the clones used here.</w:t>
      </w:r>
      <w:r>
        <w:t xml:space="preserve"> </w:t>
      </w:r>
      <w:r>
        <w:t xml:space="preserve">The ranking test uses the 892 of them detected under at least one condition and undetected under at</w:t>
      </w:r>
      <w:r>
        <w:t xml:space="preserve"> </w:t>
      </w:r>
      <w:r>
        <w:t xml:space="preserve">least one other.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Within this system, pretreatment gene expression contains condition-specific information about</w:t>
      </w:r>
      <w:r>
        <w:t xml:space="preserve"> </w:t>
      </w:r>
      <w:r>
        <w:t xml:space="preserve">future clonal detection beyond condition identity and captured pretreatment clone abundance, under</w:t>
      </w:r>
      <w:r>
        <w:t xml:space="preserve"> </w:t>
      </w:r>
      <w:r>
        <w:t xml:space="preserve">clone-held-out evaluation whose folds, features and exclusions were fixed</w:t>
      </w:r>
      <w:r>
        <w:t xml:space="preserve"> </w:t>
      </w:r>
      <w:r>
        <w:t xml:space="preserve">before any model was fitted. Under a test preregistered in full — the metric, population, weighting,</w:t>
      </w:r>
      <w:r>
        <w:t xml:space="preserve"> </w:t>
      </w:r>
      <w:r>
        <w:t xml:space="preserve">comparator, null and verdict rule all fixed by digest before any ranking statistic was computed,</w:t>
      </w:r>
      <w:r>
        <w:t xml:space="preserve"> </w:t>
      </w:r>
      <w:r>
        <w:t xml:space="preserve">though after earlier predictive analyses of the same data — a frozen state-by-condition interaction</w:t>
      </w:r>
      <w:r>
        <w:t xml:space="preserve"> </w:t>
      </w:r>
      <w:r>
        <w:t xml:space="preserve">model improves clone-specific ordering of the six conditions over a non-interactive additive model:</w:t>
      </w:r>
      <w:r>
        <w:t xml:space="preserve"> </w:t>
      </w:r>
      <w:r>
        <w:t xml:space="preserve">+0.051605 in equal-clone-weighted within-clone AUROC, 95% CI [+0.037197, +0.065571], with 0 of 1000</w:t>
      </w:r>
      <w:r>
        <w:t xml:space="preserve"> </w:t>
      </w:r>
      <w:r>
        <w:t xml:space="preserve">full-refit permutation draws reaching the observed value (p &lt; 0.001). The additive model did not</w:t>
      </w:r>
      <w:r>
        <w:t xml:space="preserve"> </w:t>
      </w:r>
      <w:r>
        <w:t xml:space="preserve">itself improve that ordering over condition identity alone (0.692176 against 0.692654): the gain</w:t>
      </w:r>
      <w:r>
        <w:t xml:space="preserve"> </w:t>
      </w:r>
      <w:r>
        <w:t xml:space="preserve">is the interaction.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A state contribution shared additively across all conditions cannot change their ordering within a</w:t>
      </w:r>
      <w:r>
        <w:t xml:space="preserve"> </w:t>
      </w:r>
      <w:r>
        <w:t xml:space="preserve">clone. Allowing state effects to vary by condition improved that ordering in WM989: part of what a</w:t>
      </w:r>
      <w:r>
        <w:t xml:space="preserve"> </w:t>
      </w:r>
      <w:r>
        <w:t xml:space="preserve">clone’s pretreatment state carries bears on which of the six conditions it is still detected after,</w:t>
      </w:r>
      <w:r>
        <w:t xml:space="preserve"> </w:t>
      </w:r>
      <w:r>
        <w:t xml:space="preserve">not only on how detectable it is overall. The outcome is a detection proxy and is not death,</w:t>
      </w:r>
      <w:r>
        <w:t xml:space="preserve"> </w:t>
      </w:r>
      <w:r>
        <w:t xml:space="preserve">sensitivity, resistance or clinical response. The design and the artifacts behind it are released,</w:t>
      </w:r>
      <w:r>
        <w:t xml:space="preserve"> </w:t>
      </w:r>
      <w:r>
        <w:t xml:space="preserve">so that the result can be reproduced from the public data and tested in other lineage-traced</w:t>
      </w:r>
      <w:r>
        <w:t xml:space="preserve"> </w:t>
      </w:r>
      <w:r>
        <w:t xml:space="preserve">systems, where it has not yet been tested.</w:t>
      </w:r>
    </w:p>
    <w:p>
      <w:r>
        <w:pict>
          <v:rect style="width:0;height:1.5pt" o:hralign="center" o:hrstd="t" o:hr="t"/>
        </w:pict>
      </w:r>
    </w:p>
    <w:bookmarkEnd w:id="10"/>
    <w:bookmarkStart w:id="11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clonal barcoding; lineage tracing; drug resistance; preregistration; reproducibility;</w:t>
      </w:r>
      <w:r>
        <w:t xml:space="preserve"> </w:t>
      </w:r>
      <w:r>
        <w:t xml:space="preserve">within-clone ranking; permutation test; melanoma; reanalysis</w:t>
      </w:r>
    </w:p>
    <w:p>
      <w:r>
        <w:pict>
          <v:rect style="width:0;height:1.5pt" o:hralign="center" o:hrstd="t" o:hr="t"/>
        </w:pict>
      </w:r>
    </w:p>
    <w:bookmarkEnd w:id="11"/>
    <w:bookmarkStart w:id="13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The question is easy to state and hard to evaluate honestly: before a perturbation is applied, does</w:t>
      </w:r>
      <w:r>
        <w:t xml:space="preserve"> </w:t>
      </w:r>
      <w:r>
        <w:t xml:space="preserve">a cell’s transcriptional state say anything about which perturbation that cell is still detected</w:t>
      </w:r>
      <w:r>
        <w:t xml:space="preserve"> </w:t>
      </w:r>
      <w:r>
        <w:t xml:space="preserve">after?</w:t>
      </w:r>
    </w:p>
    <w:p>
      <w:pPr>
        <w:pStyle w:val="BodyText"/>
      </w:pPr>
      <w:r>
        <w:t xml:space="preserve">Barcoded lineage tracing solves the hardest part of asking it. A clone is split, part of it is</w:t>
      </w:r>
      <w:r>
        <w:t xml:space="preserve"> </w:t>
      </w:r>
      <w:r>
        <w:t xml:space="preserve">profiled before anything is done to it, and the remaining parts are exposed to different</w:t>
      </w:r>
      <w:r>
        <w:t xml:space="preserve"> </w:t>
      </w:r>
      <w:r>
        <w:t xml:space="preserve">conditions, so the pretreatment profile is genuinely prior to the outcome rather than a consequence</w:t>
      </w:r>
      <w:r>
        <w:t xml:space="preserve"> </w:t>
      </w:r>
      <w:r>
        <w:t xml:space="preserve">of it.</w:t>
      </w:r>
    </w:p>
    <w:p>
      <w:pPr>
        <w:pStyle w:val="BodyText"/>
      </w:pPr>
      <w:r>
        <w:rPr>
          <w:b/>
          <w:bCs/>
        </w:rPr>
        <w:t xml:space="preserve">That design, and the data used here, are not ours.</w:t>
      </w:r>
      <w:r>
        <w:t xml:space="preserve"> </w:t>
      </w:r>
      <w:r>
        <w:t xml:space="preserve">Schaff et al. built exactly such a system</w:t>
      </w:r>
      <w:r>
        <w:t xml:space="preserve"> </w:t>
      </w:r>
      <w:r>
        <w:t xml:space="preserve">across six conditions in parallel and showed that pre-existing state predicts which clones go on to</w:t>
      </w:r>
      <w:r>
        <w:t xml:space="preserve"> </w:t>
      </w:r>
      <w:r>
        <w:t xml:space="preserve">resist, identifying high CD44 expression in treatment-naive cells as a marker of resistance across</w:t>
      </w:r>
      <w:r>
        <w:t xml:space="preserve"> </w:t>
      </w:r>
      <w:r>
        <w:t xml:space="preserve">multiple conditions [1]. This work is a reanalysis of their data and takes no credit for the</w:t>
      </w:r>
      <w:r>
        <w:t xml:space="preserve"> </w:t>
      </w:r>
      <w:r>
        <w:t xml:space="preserve">experiment.</w:t>
      </w:r>
    </w:p>
    <w:p>
      <w:pPr>
        <w:pStyle w:val="BodyText"/>
      </w:pPr>
      <w:r>
        <w:t xml:space="preserve">What that establishes is a</w:t>
      </w:r>
      <w:r>
        <w:t xml:space="preserve"> </w:t>
      </w:r>
      <w:r>
        <w:rPr>
          <w:b/>
          <w:bCs/>
        </w:rPr>
        <w:t xml:space="preserve">general propensity</w:t>
      </w:r>
      <w:r>
        <w:t xml:space="preserve">: some clones resist more of the conditions than</w:t>
      </w:r>
      <w:r>
        <w:t xml:space="preserve"> </w:t>
      </w:r>
      <w:r>
        <w:t xml:space="preserve">others do. It leaves a different question open — whether pretreatment state says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a</w:t>
      </w:r>
      <w:r>
        <w:t xml:space="preserve"> </w:t>
      </w:r>
      <w:r>
        <w:t xml:space="preserve">given clone is still detected after, rather than how resistant that clone is overall. The two are</w:t>
      </w:r>
      <w:r>
        <w:t xml:space="preserve"> </w:t>
      </w:r>
      <w:r>
        <w:t xml:space="preserve">separable, and separating them is what this work does.</w:t>
      </w:r>
    </w:p>
    <w:p>
      <w:pPr>
        <w:pStyle w:val="BodyText"/>
      </w:pPr>
      <w:r>
        <w:t xml:space="preserve">Two things make the ordering question hard to evaluate rather than merely to observe. The first is</w:t>
      </w:r>
      <w:r>
        <w:t xml:space="preserve"> </w:t>
      </w:r>
      <w:r>
        <w:t xml:space="preserve">that clone abundance dominates: a clone that was large before treatment is more likely to be</w:t>
      </w:r>
      <w:r>
        <w:t xml:space="preserve"> </w:t>
      </w:r>
      <w:r>
        <w:t xml:space="preserve">detected after it for reasons that have nothing to do with state, so any comparison that does not</w:t>
      </w:r>
      <w:r>
        <w:t xml:space="preserve"> </w:t>
      </w:r>
      <w:r>
        <w:t xml:space="preserve">hold abundance fixed will find a signal that is really a headcount. The second is that</w:t>
      </w:r>
      <w:r>
        <w:t xml:space="preserve"> </w:t>
      </w:r>
      <w:r>
        <w:t xml:space="preserve">clone-specific ordering is not something a model can produce by being generally right about a clone</w:t>
      </w:r>
      <w:r>
        <w:t xml:space="preserve"> </w:t>
      </w:r>
      <w:r>
        <w:t xml:space="preserve">— it requires an explicit interaction between state and condition, because a state contribution</w:t>
      </w:r>
      <w:r>
        <w:t xml:space="preserve"> </w:t>
      </w:r>
      <w:r>
        <w:t xml:space="preserve">shared additively across the six conditions shifts all six of a clone’s scores together and leaves</w:t>
      </w:r>
      <w:r>
        <w:t xml:space="preserve"> </w:t>
      </w:r>
      <w:r>
        <w:t xml:space="preserve">their order untouched.</w:t>
      </w:r>
    </w:p>
    <w:p>
      <w:pPr>
        <w:pStyle w:val="BodyText"/>
      </w:pPr>
      <w:r>
        <w:t xml:space="preserve">This work evaluates exactly that, once, under a protocol frozen in advance.</w:t>
      </w:r>
    </w:p>
    <w:bookmarkStart w:id="12" w:name="relation-to-prior-work"/>
    <w:p>
      <w:pPr>
        <w:pStyle w:val="Heading3"/>
      </w:pPr>
      <w:r>
        <w:t xml:space="preserve">Relation to prior work</w:t>
      </w:r>
    </w:p>
    <w:p>
      <w:pPr>
        <w:pStyle w:val="FirstParagraph"/>
      </w:pPr>
      <w:r>
        <w:t xml:space="preserve">The finding that pre-existing, non-genetic single-cell state predicts which cells resist therapy is</w:t>
      </w:r>
      <w:r>
        <w:t xml:space="preserve"> </w:t>
      </w:r>
      <w:r>
        <w:t xml:space="preserve">established in this system and is not claimed here. Shaffer et al. showed that rare transcriptional</w:t>
      </w:r>
      <w:r>
        <w:t xml:space="preserve"> </w:t>
      </w:r>
      <w:r>
        <w:t xml:space="preserve">states in WM989 predict which cells resist vemurafenib and are stabilised by drug exposure [2];</w:t>
      </w:r>
      <w:r>
        <w:t xml:space="preserve"> </w:t>
      </w:r>
      <w:r>
        <w:t xml:space="preserve">Emert et al. resolved substructure within those rare states and linked it to distinct resistant</w:t>
      </w:r>
      <w:r>
        <w:t xml:space="preserve"> </w:t>
      </w:r>
      <w:r>
        <w:t xml:space="preserve">outcomes [3]; Goyal et al. showed that clonal fates after drug are largely predetermined by</w:t>
      </w:r>
      <w:r>
        <w:t xml:space="preserve"> </w:t>
      </w:r>
      <w:r>
        <w:t xml:space="preserve">pre-treatment molecular differences and are diverse rather than binary [4]; and Schaff et al.</w:t>
      </w:r>
      <w:r>
        <w:t xml:space="preserve"> </w:t>
      </w:r>
      <w:r>
        <w:t xml:space="preserve">extended clonal tracing to six conditions in parallel, reporting cross-condition resistance</w:t>
      </w:r>
      <w:r>
        <w:t xml:space="preserve"> </w:t>
      </w:r>
      <w:r>
        <w:t xml:space="preserve">correlation and CD44 as a marker of resistance across several of them [1].</w:t>
      </w:r>
    </w:p>
    <w:p>
      <w:pPr>
        <w:pStyle w:val="BodyText"/>
      </w:pPr>
      <w:r>
        <w:rPr>
          <w:b/>
          <w:bCs/>
        </w:rPr>
        <w:t xml:space="preserve">We do not claim to be the first to look at condition-specific expression in this system.</w:t>
      </w:r>
      <w:r>
        <w:t xml:space="preserve"> </w:t>
      </w:r>
      <w:r>
        <w:t xml:space="preserve">Schaff</w:t>
      </w:r>
      <w:r>
        <w:t xml:space="preserve"> </w:t>
      </w:r>
      <w:r>
        <w:t xml:space="preserve">et al.’s own deposited analysis reports condition-associated markers and signatures alongside the</w:t>
      </w:r>
      <w:r>
        <w:t xml:space="preserve"> </w:t>
      </w:r>
      <w:r>
        <w:t xml:space="preserve">cross-condition results, and earlier work resolves substructure that distinguishes resistant</w:t>
      </w:r>
      <w:r>
        <w:t xml:space="preserve"> </w:t>
      </w:r>
      <w:r>
        <w:t xml:space="preserve">outcomes [4,5]. What has not been done is the specific thing tested here: a</w:t>
      </w:r>
      <w:r>
        <w:t xml:space="preserve"> </w:t>
      </w:r>
      <w:r>
        <w:rPr>
          <w:b/>
          <w:bCs/>
        </w:rPr>
        <w:t xml:space="preserve">frozen,</w:t>
      </w:r>
      <w:r>
        <w:rPr>
          <w:b/>
          <w:bCs/>
        </w:rPr>
        <w:t xml:space="preserve"> </w:t>
      </w:r>
      <w:r>
        <w:rPr>
          <w:b/>
          <w:bCs/>
        </w:rPr>
        <w:t xml:space="preserve">clone-held-out, preregistered test of whether an explicit state-by-condition interaction improves</w:t>
      </w:r>
      <w:r>
        <w:rPr>
          <w:b/>
          <w:bCs/>
        </w:rPr>
        <w:t xml:space="preserve"> </w:t>
      </w:r>
      <w:r>
        <w:rPr>
          <w:b/>
          <w:bCs/>
        </w:rPr>
        <w:t xml:space="preserve">clone-specific ORDERING</w:t>
      </w:r>
      <w:r>
        <w:t xml:space="preserve"> </w:t>
      </w:r>
      <w:r>
        <w:t xml:space="preserve">over a non-interactive additive model, with captured pretreatment</w:t>
      </w:r>
      <w:r>
        <w:t xml:space="preserve"> </w:t>
      </w:r>
      <w:r>
        <w:t xml:space="preserve">abundance held fixed in every model including the null.</w:t>
      </w:r>
    </w:p>
    <w:p>
      <w:pPr>
        <w:pStyle w:val="BodyText"/>
      </w:pPr>
      <w:r>
        <w:t xml:space="preserve">The distinction the design turns on is not rhetorical. A state contribution shared additively across</w:t>
      </w:r>
      <w:r>
        <w:t xml:space="preserve"> </w:t>
      </w:r>
      <w:r>
        <w:t xml:space="preserve">the six conditions — including whatever part of a general resistance propensity, or of a per-clone</w:t>
      </w:r>
      <w:r>
        <w:t xml:space="preserve"> </w:t>
      </w:r>
      <w:r>
        <w:t xml:space="preserve">marker level, is the same for each of them — shifts all six of that clone’s predicted scores</w:t>
      </w:r>
      <w:r>
        <w:t xml:space="preserve"> </w:t>
      </w:r>
      <w:r>
        <w:t xml:space="preserve">together and therefore contributes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 </w:t>
      </w:r>
      <w:r>
        <w:t xml:space="preserve">to a within-clone ordering metric. The</w:t>
      </w:r>
      <w:r>
        <w:t xml:space="preserve"> </w:t>
      </w:r>
      <w:r>
        <w:t xml:space="preserve">comparator was chosen to enforce that separation before any ranking statistic was computed, and the</w:t>
      </w:r>
      <w:r>
        <w:t xml:space="preserve"> </w:t>
      </w:r>
      <w:r>
        <w:t xml:space="preserve">outcome is that the additive state term contributes nothing to ordering while the interaction</w:t>
      </w:r>
      <w:r>
        <w:t xml:space="preserve"> </w:t>
      </w:r>
      <w:r>
        <w:t xml:space="preserve">contributes all of the gain. The contribution is the evaluation and its preregistration, not the</w:t>
      </w:r>
      <w:r>
        <w:t xml:space="preserve"> </w:t>
      </w:r>
      <w:r>
        <w:t xml:space="preserve">observation that state carries condition-relevant information.</w:t>
      </w:r>
    </w:p>
    <w:p>
      <w:pPr>
        <w:pStyle w:val="BodyText"/>
      </w:pPr>
      <w:r>
        <w:t xml:space="preserve">The methodological posture is borrowed rather than invented. Kapoor and Narayanan catalogue eight</w:t>
      </w:r>
      <w:r>
        <w:t xml:space="preserve"> </w:t>
      </w:r>
      <w:r>
        <w:t xml:space="preserve">kinds of leakage across 294 papers in seventeen fields, and observe that complex models frequently</w:t>
      </w:r>
      <w:r>
        <w:t xml:space="preserve"> </w:t>
      </w:r>
      <w:r>
        <w:t xml:space="preserve">fail to beat logistic regression once the leakage is corrected [5]. That is the failure mode this</w:t>
      </w:r>
      <w:r>
        <w:t xml:space="preserve"> </w:t>
      </w:r>
      <w:r>
        <w:t xml:space="preserve">design is built against: the comparator is a simpler model of the same family, every preprocessing</w:t>
      </w:r>
      <w:r>
        <w:t xml:space="preserve"> </w:t>
      </w:r>
      <w:r>
        <w:t xml:space="preserve">step is refitted inside the training fold, the permutation null refits the whole pipeline rather</w:t>
      </w:r>
      <w:r>
        <w:t xml:space="preserve"> </w:t>
      </w:r>
      <w:r>
        <w:t xml:space="preserve">than shuffling labels, and the metric, population, comparator and verdict rule were fixed in a</w:t>
      </w:r>
      <w:r>
        <w:t xml:space="preserve"> </w:t>
      </w:r>
      <w:r>
        <w:t xml:space="preserve">digest-frozen protocol before any ranking statistic was computed. That protocol was written after,</w:t>
      </w:r>
      <w:r>
        <w:t xml:space="preserve"> </w:t>
      </w:r>
      <w:r>
        <w:t xml:space="preserve">and in the light of, earlier predictive analyses of the same data, which the stage records keep in</w:t>
      </w:r>
      <w:r>
        <w:t xml:space="preserve"> </w:t>
      </w:r>
      <w:r>
        <w:t xml:space="preserve">full.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methods"/>
    <w:p>
      <w:pPr>
        <w:pStyle w:val="Heading2"/>
      </w:pPr>
      <w:r>
        <w:t xml:space="preserve">Methods</w:t>
      </w:r>
    </w:p>
    <w:bookmarkStart w:id="14" w:name="data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VerbatimChar"/>
        </w:rPr>
        <w:t xml:space="preserve">ROLE B, primary       GSE279162 (WM989)      benchmark, model, tool and ranking analysis</w:t>
      </w:r>
      <w:r>
        <w:br/>
      </w:r>
      <w:r>
        <w:rPr>
          <w:rStyle w:val="VerbatimChar"/>
        </w:rPr>
        <w:t xml:space="preserve">ROLE A, supporting    GSE227151 (Rewind)     historical supporting evidence only</w:t>
      </w:r>
    </w:p>
    <w:p>
      <w:pPr>
        <w:pStyle w:val="FirstParagraph"/>
      </w:pPr>
      <w:r>
        <w:t xml:space="preserve">Role B is one BRAF-V600E melanoma cell line. The source experiment recovered many thousands of</w:t>
      </w:r>
      <w:r>
        <w:t xml:space="preserve"> </w:t>
      </w:r>
      <w:r>
        <w:t xml:space="preserve">barcoded clones;</w:t>
      </w:r>
      <w:r>
        <w:t xml:space="preserve"> </w:t>
      </w:r>
      <w:r>
        <w:rPr>
          <w:b/>
          <w:bCs/>
        </w:rPr>
        <w:t xml:space="preserve">1,401 of them carry a pretreatment observation</w:t>
      </w:r>
      <w:r>
        <w:t xml:space="preserve">, which is what a prospective</w:t>
      </w:r>
      <w:r>
        <w:t xml:space="preserve"> </w:t>
      </w:r>
      <w:r>
        <w:t xml:space="preserve">clone-level question requires, and those 1,401 are the analysis population here. It carries the</w:t>
      </w:r>
      <w:r>
        <w:t xml:space="preserve"> </w:t>
      </w:r>
      <w:r>
        <w:t xml:space="preserve">whole primary claim.</w:t>
      </w:r>
    </w:p>
    <w:p>
      <w:pPr>
        <w:pStyle w:val="BodyText"/>
      </w:pPr>
      <w:r>
        <w:rPr>
          <w:b/>
          <w:bCs/>
        </w:rPr>
        <w:t xml:space="preserve">Role B is a reanalysis. We generated no new data.</w:t>
      </w:r>
      <w:r>
        <w:t xml:space="preserve"> </w:t>
      </w:r>
      <w:r>
        <w:t xml:space="preserve">The experiment was performed by Schaff et</w:t>
      </w:r>
      <w:r>
        <w:t xml:space="preserve"> </w:t>
      </w:r>
      <w:r>
        <w:t xml:space="preserve">al. [1], who introduced a barcode library into WM989 A6-G3, isolated 350,000 uniquely barcoded</w:t>
      </w:r>
      <w:r>
        <w:t xml:space="preserve"> </w:t>
      </w:r>
      <w:r>
        <w:t xml:space="preserve">cells, expanded them for approximately six doublings, and divided the population across twelve</w:t>
      </w:r>
      <w:r>
        <w:t xml:space="preserve"> </w:t>
      </w:r>
      <w:r>
        <w:t xml:space="preserve">treatment arms — two replicates of each of the six conditions reanalysed here. Dabrafenib,</w:t>
      </w:r>
      <w:r>
        <w:t xml:space="preserve"> </w:t>
      </w:r>
      <w:r>
        <w:t xml:space="preserve">trametinib, CoCl2 and acidic media were applied continuously; cisplatin and doxorubicin were applied</w:t>
      </w:r>
      <w:r>
        <w:t xml:space="preserve"> </w:t>
      </w:r>
      <w:r>
        <w:t xml:space="preserve">for a treatment period followed by a recovery period, each arm spanning four weeks in total. Exact</w:t>
      </w:r>
      <w:r>
        <w:t xml:space="preserve"> </w:t>
      </w:r>
      <w:r>
        <w:t xml:space="preserve">concentrations and schedules are in [1].</w:t>
      </w:r>
    </w:p>
    <w:p>
      <w:pPr>
        <w:pStyle w:val="BodyText"/>
      </w:pPr>
      <w:r>
        <w:t xml:space="preserve">Role A is a separately reconstructed reprogramming system [6]. It contributes one supporting</w:t>
      </w:r>
      <w:r>
        <w:t xml:space="preserve"> </w:t>
      </w:r>
      <w:r>
        <w:t xml:space="preserve">sentence and nothing else; its own confirmation gate failed. It is not a replication of Role B, and</w:t>
      </w:r>
      <w:r>
        <w:t xml:space="preserve"> </w:t>
      </w:r>
      <w:r>
        <w:t xml:space="preserve">it does not provide the same multi-condition task or the same outcome.</w:t>
      </w:r>
    </w:p>
    <w:p>
      <w:pPr>
        <w:pStyle w:val="BodyText"/>
      </w:pPr>
      <w:r>
        <w:t xml:space="preserve">No additional dataset was searched, downloaded, qualified or used. Raw sequencing data is not</w:t>
      </w:r>
      <w:r>
        <w:t xml:space="preserve"> </w:t>
      </w:r>
      <w:r>
        <w:t xml:space="preserve">vendored; accessions are given above.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summarises the design and the evaluable</w:t>
      </w:r>
      <w:r>
        <w:t xml:space="preserve"> </w:t>
      </w:r>
      <w:r>
        <w:t xml:space="preserve">population.</w:t>
      </w:r>
    </w:p>
    <w:bookmarkEnd w:id="14"/>
    <w:bookmarkStart w:id="15" w:name="benchmark-construction"/>
    <w:p>
      <w:pPr>
        <w:pStyle w:val="Heading3"/>
      </w:pPr>
      <w:r>
        <w:t xml:space="preserve">Benchmark construction</w:t>
      </w:r>
    </w:p>
    <w:p>
      <w:pPr>
        <w:pStyle w:val="FirstParagraph"/>
      </w:pPr>
      <w:r>
        <w:t xml:space="preserve">Clone assignments, outcome construction, the five outer folds, feature rules, condition aliases and</w:t>
      </w:r>
      <w:r>
        <w:t xml:space="preserve"> </w:t>
      </w:r>
      <w:r>
        <w:t xml:space="preserve">exclusions were all fixed before any model was fitted, and were not revised afterwards.</w:t>
      </w:r>
    </w:p>
    <w:p>
      <w:pPr>
        <w:pStyle w:val="BodyText"/>
      </w:pPr>
      <w:r>
        <w:t xml:space="preserve">Two endpoint families were built.</w:t>
      </w:r>
      <w:r>
        <w:t xml:space="preserve"> </w:t>
      </w:r>
      <w:r>
        <w:rPr>
          <w:b/>
          <w:bCs/>
        </w:rPr>
        <w:t xml:space="preserve">C1</w:t>
      </w:r>
      <w:r>
        <w:t xml:space="preserve"> </w:t>
      </w:r>
      <w:r>
        <w:t xml:space="preserve">is post-treatment clone detection: an observed zero means</w:t>
      </w:r>
      <w:r>
        <w:t xml:space="preserve"> </w:t>
      </w:r>
      <w:r>
        <w:t xml:space="preserve">no assigned post-treatment cell was seen for that clone-condition row.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t xml:space="preserve">is a clone-balanced</w:t>
      </w:r>
      <w:r>
        <w:t xml:space="preserve"> </w:t>
      </w:r>
      <w:r>
        <w:t xml:space="preserve">abundance endpoint. Everything reported below is C1.</w:t>
      </w:r>
    </w:p>
    <w:p>
      <w:pPr>
        <w:pStyle w:val="BodyText"/>
      </w:pPr>
      <w:r>
        <w:t xml:space="preserve">Expression is clone-level pseudobulk: raw pretreatment counts are summed over a clone’s cells, then</w:t>
      </w:r>
      <w:r>
        <w:t xml:space="preserve"> </w:t>
      </w:r>
      <w:r>
        <w:t xml:space="preserve">CP10K-normalised and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-transformed exactly once. Applying the transform twice, or summing</w:t>
      </w:r>
      <w:r>
        <w:t xml:space="preserve"> </w:t>
      </w:r>
      <w:r>
        <w:t xml:space="preserve">already-normalised cells, produces a different feature space and a model the benchmark never</w:t>
      </w:r>
      <w:r>
        <w:t xml:space="preserve"> </w:t>
      </w:r>
      <w:r>
        <w:t xml:space="preserve">evaluated.</w:t>
      </w:r>
    </w:p>
    <w:bookmarkEnd w:id="15"/>
    <w:bookmarkStart w:id="16" w:name="models"/>
    <w:p>
      <w:pPr>
        <w:pStyle w:val="Heading3"/>
      </w:pPr>
      <w:r>
        <w:t xml:space="preserve">Models</w:t>
      </w:r>
    </w:p>
    <w:p>
      <w:pPr>
        <w:pStyle w:val="FirstParagraph"/>
      </w:pPr>
      <w:r>
        <w:rPr>
          <w:b/>
          <w:bCs/>
        </w:rPr>
        <w:t xml:space="preserve">Table 1</w:t>
      </w:r>
      <w:r>
        <w:t xml:space="preserve"> </w:t>
      </w:r>
      <w:r>
        <w:t xml:space="preserve">The three preregistered model specifications.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What it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B + U</w:t>
            </w:r>
          </w:p>
        </w:tc>
        <w:tc>
          <w:tcPr/>
          <w:p>
            <w:pPr>
              <w:pStyle w:val="Compact"/>
            </w:pPr>
            <w:r>
              <w:t xml:space="preserve">nuisance and condition identity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X + B + U</w:t>
            </w:r>
          </w:p>
        </w:tc>
        <w:tc>
          <w:tcPr/>
          <w:p>
            <w:pPr>
              <w:pStyle w:val="Compact"/>
            </w:pPr>
            <w:r>
              <w:t xml:space="preserve">plus an additive expression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X + B + U + X*U</w:t>
            </w:r>
          </w:p>
        </w:tc>
        <w:tc>
          <w:tcPr/>
          <w:p>
            <w:pPr>
              <w:pStyle w:val="Compact"/>
            </w:pPr>
            <w:r>
              <w:t xml:space="preserve">plus an explicit state-by-condition interaction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X</w:t>
      </w:r>
      <w:r>
        <w:t xml:space="preserve"> </w:t>
      </w:r>
      <w:r>
        <w:t xml:space="preserve">is the clone expression profile reduced to 50 principal components on a train-only basis.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 the captured-abundance nuisance block: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cell counts, total and per pretreatment library.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is condition identity, encoded as five non-reference indicators with Acid as reference. The</w:t>
      </w:r>
      <w:r>
        <w:t xml:space="preserve"> </w:t>
      </w:r>
      <w:r>
        <w:t xml:space="preserve">design has 309 columns: 50 components, 4 nuisance terms, 5 indicators and 250 interaction terms.</w:t>
      </w:r>
    </w:p>
    <w:p>
      <w:pPr>
        <w:pStyle w:val="BodyText"/>
      </w:pPr>
      <w:r>
        <w:rPr>
          <w:rStyle w:val="VerbatimChar"/>
        </w:rPr>
        <w:t xml:space="preserve">B</w:t>
      </w:r>
      <w:r>
        <w:t xml:space="preserve"> </w:t>
      </w:r>
      <w:r>
        <w:t xml:space="preserve">is not optional. Abundance is the confounder that makes a naive version of this question</w:t>
      </w:r>
      <w:r>
        <w:t xml:space="preserve"> </w:t>
      </w:r>
      <w:r>
        <w:t xml:space="preserve">trivial, so it is in every model including the null, and the tool refuses to score without it.</w:t>
      </w:r>
    </w:p>
    <w:bookmarkEnd w:id="16"/>
    <w:bookmarkStart w:id="17" w:name="evaluation"/>
    <w:p>
      <w:pPr>
        <w:pStyle w:val="Heading3"/>
      </w:pPr>
      <w:r>
        <w:t xml:space="preserve">Evaluation</w:t>
      </w:r>
    </w:p>
    <w:p>
      <w:pPr>
        <w:pStyle w:val="FirstParagraph"/>
      </w:pPr>
      <w:r>
        <w:t xml:space="preserve">Five outer folds, held out</w:t>
      </w:r>
      <w:r>
        <w:t xml:space="preserve"> </w:t>
      </w:r>
      <w:r>
        <w:rPr>
          <w:b/>
          <w:bCs/>
        </w:rPr>
        <w:t xml:space="preserve">by clone</w:t>
      </w:r>
      <w:r>
        <w:t xml:space="preserve">, so no model ever scores a clone it trained on. Gene</w:t>
      </w:r>
      <w:r>
        <w:t xml:space="preserve"> </w:t>
      </w:r>
      <w:r>
        <w:t xml:space="preserve">filtering, the PCA basis and every scaler are refitted inside each training fold. Hyperparameters</w:t>
      </w:r>
      <w:r>
        <w:t xml:space="preserve"> </w:t>
      </w:r>
      <w:r>
        <w:t xml:space="preserve">are selected by an inner grouped split within the training folds only.</w:t>
      </w:r>
    </w:p>
    <w:bookmarkEnd w:id="17"/>
    <w:bookmarkStart w:id="18" w:name="the-preregistered-ranking-test"/>
    <w:p>
      <w:pPr>
        <w:pStyle w:val="Heading3"/>
      </w:pPr>
      <w:r>
        <w:t xml:space="preserve">The preregistered ranking test</w:t>
      </w:r>
    </w:p>
    <w:p>
      <w:pPr>
        <w:pStyle w:val="FirstParagraph"/>
      </w:pPr>
      <w:r>
        <w:t xml:space="preserve">The primary question is whether W5 orders the six conditions</w:t>
      </w:r>
      <w:r>
        <w:t xml:space="preserve"> </w:t>
      </w:r>
      <w:r>
        <w:rPr>
          <w:i/>
          <w:iCs/>
        </w:rPr>
        <w:t xml:space="preserve">within a clone</w:t>
      </w:r>
      <w:r>
        <w:t xml:space="preserve"> </w:t>
      </w:r>
      <w:r>
        <w:t xml:space="preserve">better than W4. The</w:t>
      </w:r>
      <w:r>
        <w:t xml:space="preserve"> </w:t>
      </w:r>
      <w:r>
        <w:t xml:space="preserve">metric is equal-clone-weighted within-clone AUROC: for each clone, the mean over positive/zero</w:t>
      </w:r>
      <w:r>
        <w:t xml:space="preserve"> </w:t>
      </w:r>
      <w:r>
        <w:t xml:space="preserve">condition pairs with ties scoring exactly 0.5; then a plain mean over clones, so a clone</w:t>
      </w:r>
      <w:r>
        <w:t xml:space="preserve"> </w:t>
      </w:r>
      <w:r>
        <w:t xml:space="preserve">contributing many pairs cannot outweigh one contributing few.</w:t>
      </w:r>
    </w:p>
    <w:p>
      <w:pPr>
        <w:pStyle w:val="BodyText"/>
      </w:pPr>
      <w:r>
        <w:t xml:space="preserve">The evaluable population is clones with at least one detected and one undetected condition; a clone</w:t>
      </w:r>
      <w:r>
        <w:t xml:space="preserve"> </w:t>
      </w:r>
      <w:r>
        <w:t xml:space="preserve">with no contrast has an undefined within-clone AUROC. This yields 892 of 1,401 clones — 472 were</w:t>
      </w:r>
      <w:r>
        <w:t xml:space="preserve"> </w:t>
      </w:r>
      <w:r>
        <w:t xml:space="preserve">never detected under any condition and 37 were always detected.</w:t>
      </w:r>
    </w:p>
    <w:p>
      <w:pPr>
        <w:pStyle w:val="BodyText"/>
      </w:pPr>
      <w:r>
        <w:t xml:space="preserve">The comparator is W4, not W1. An additive expression term cannot by construction create</w:t>
      </w:r>
      <w:r>
        <w:t xml:space="preserve"> </w:t>
      </w:r>
      <w:r>
        <w:t xml:space="preserve">clone-specific ordering, so W4 isolates the interaction as the only thing that could.</w:t>
      </w:r>
    </w:p>
    <w:p>
      <w:pPr>
        <w:pStyle w:val="BodyText"/>
      </w:pPr>
      <w:r>
        <w:t xml:space="preserve">The null is a</w:t>
      </w:r>
      <w:r>
        <w:t xml:space="preserve"> </w:t>
      </w:r>
      <w:r>
        <w:rPr>
          <w:b/>
          <w:bCs/>
        </w:rPr>
        <w:t xml:space="preserve">full refit</w:t>
      </w:r>
      <w:r>
        <w:t xml:space="preserve">: profiles are permuted within stratum on each side of the outer-fold</w:t>
      </w:r>
      <w:r>
        <w:t xml:space="preserve"> </w:t>
      </w:r>
      <w:r>
        <w:t xml:space="preserve">boundary and never across it, and the entire pipeline — filtering, PCA, scaler fitting and</w:t>
      </w:r>
      <w:r>
        <w:t xml:space="preserve"> </w:t>
      </w:r>
      <w:r>
        <w:t xml:space="preserve">hyperparameter selection — is re-run inside every draw. Observed-data hyperparameters are never</w:t>
      </w:r>
      <w:r>
        <w:t xml:space="preserve"> </w:t>
      </w:r>
      <w:r>
        <w:t xml:space="preserve">reused. 1000 draws, no early stopping, with a completeness assertion that refuses an incomplete</w:t>
      </w:r>
      <w:r>
        <w:t xml:space="preserve"> </w:t>
      </w:r>
      <w:r>
        <w:t xml:space="preserve">null rather than silently reporting a smaller one.</w:t>
      </w:r>
    </w:p>
    <w:p>
      <w:pPr>
        <w:pStyle w:val="BodyText"/>
      </w:pPr>
      <w:r>
        <w:t xml:space="preserve">Uncertainty on the observed statistic is a 2,000-replicate clone bootstrap, conditional on the</w:t>
      </w:r>
      <w:r>
        <w:t xml:space="preserve"> </w:t>
      </w:r>
      <w:r>
        <w:t xml:space="preserve">fitted models.</w:t>
      </w:r>
    </w:p>
    <w:bookmarkEnd w:id="18"/>
    <w:bookmarkStart w:id="19" w:name="ai-use-disclosure"/>
    <w:p>
      <w:pPr>
        <w:pStyle w:val="Heading3"/>
      </w:pPr>
      <w:r>
        <w:t xml:space="preserve">AI use disclosure</w:t>
      </w:r>
    </w:p>
    <w:p>
      <w:pPr>
        <w:pStyle w:val="FirstParagraph"/>
      </w:pPr>
      <w:r>
        <w:t xml:space="preserve">Generative AI assistants were used throughout this work. Claude Opus 5 and Claude Opus 4.8</w:t>
      </w:r>
      <w:r>
        <w:t xml:space="preserve"> </w:t>
      </w:r>
      <w:r>
        <w:t xml:space="preserve">(Anthropic) wrote most of the code and documentation. Gemini 3.1 Pro (Google), Claude Haiku 4.5</w:t>
      </w:r>
      <w:r>
        <w:t xml:space="preserve"> </w:t>
      </w:r>
      <w:r>
        <w:t xml:space="preserve">(Anthropic), GPT 5.6 sol and GPT 6 astra (OpenAI) were used to check that work. The study’s logic</w:t>
      </w:r>
      <w:r>
        <w:t xml:space="preserve"> </w:t>
      </w:r>
      <w:r>
        <w:t xml:space="preserve">and direction came mainly from the author. Each protocol was fixed by cryptographic digest before</w:t>
      </w:r>
      <w:r>
        <w:t xml:space="preserve"> </w:t>
      </w:r>
      <w:r>
        <w:t xml:space="preserve">the statistics it governs were computed, and every number reported here is produced by the frozen</w:t>
      </w:r>
      <w:r>
        <w:t xml:space="preserve"> </w:t>
      </w:r>
      <w:r>
        <w:t xml:space="preserve">code and traced mechanically to a locked artifact. The author reviewed the work and takes full</w:t>
      </w:r>
      <w:r>
        <w:t xml:space="preserve"> </w:t>
      </w:r>
      <w:r>
        <w:t xml:space="preserve">responsibility for its content.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results"/>
    <w:p>
      <w:pPr>
        <w:pStyle w:val="Heading2"/>
      </w:pPr>
      <w:r>
        <w:t xml:space="preserve">Results</w:t>
      </w:r>
    </w:p>
    <w:bookmarkStart w:id="21" w:name="X510cde361a6596f5eb069fe1df471f472f6158d"/>
    <w:p>
      <w:pPr>
        <w:pStyle w:val="Heading3"/>
      </w:pPr>
      <w:r>
        <w:t xml:space="preserve">The interaction improves clone-specific ordering</w:t>
      </w:r>
    </w:p>
    <w:p>
      <w:pPr>
        <w:pStyle w:val="FirstParagraph"/>
      </w:pPr>
      <w:r>
        <w:rPr>
          <w:b/>
          <w:bCs/>
        </w:rPr>
        <w:t xml:space="preserve">Table 2</w:t>
      </w:r>
      <w:r>
        <w:t xml:space="preserve"> </w:t>
      </w:r>
      <w:r>
        <w:t xml:space="preserve">Ranking score by model, and the preregistered difference;</w:t>
      </w:r>
      <w:r>
        <w:t xml:space="preserve"> </w:t>
      </w:r>
      <w:r>
        <w:rPr>
          <w:b/>
          <w:bCs/>
        </w:rPr>
        <w:t xml:space="preserve">Table 1</w:t>
      </w:r>
      <w:r>
        <w:t xml:space="preserve"> </w:t>
      </w:r>
      <w:r>
        <w:t xml:space="preserve">defines the</w:t>
      </w:r>
      <w:r>
        <w:t xml:space="preserve"> </w:t>
      </w:r>
      <w:r>
        <w:t xml:space="preserve">models.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Ranking score R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0.692654</w:t>
            </w:r>
          </w:p>
        </w:tc>
        <w:tc>
          <w:tcPr/>
          <w:p>
            <w:pPr>
              <w:pStyle w:val="Compact"/>
            </w:pPr>
            <w:r>
              <w:t xml:space="preserve">nuisance +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0.692176</w:t>
            </w:r>
          </w:p>
        </w:tc>
        <w:tc>
          <w:tcPr/>
          <w:p>
            <w:pPr>
              <w:pStyle w:val="Compact"/>
            </w:pPr>
            <w:r>
              <w:t xml:space="preserve">+ additive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0.743781</w:t>
            </w:r>
          </w:p>
        </w:tc>
        <w:tc>
          <w:tcPr/>
          <w:p>
            <w:pPr>
              <w:pStyle w:val="Compact"/>
            </w:pPr>
            <w:r>
              <w:t xml:space="preserve">+ explicit X x 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delta_RANK</w:t>
            </w:r>
          </w:p>
        </w:tc>
        <w:tc>
          <w:tcPr/>
          <w:p>
            <w:pPr>
              <w:pStyle w:val="Compact"/>
            </w:pPr>
            <w:r>
              <w:t xml:space="preserve">+0.051605</w:t>
            </w:r>
          </w:p>
        </w:tc>
        <w:tc>
          <w:tcPr/>
          <w:p>
            <w:pPr>
              <w:pStyle w:val="Compact"/>
            </w:pPr>
            <w:r>
              <w:t xml:space="preserve">W5 minus W4; CI95 [+0.037197, +0.065571]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2</w:t>
      </w:r>
      <w:r>
        <w:t xml:space="preserve"> </w:t>
      </w:r>
      <w:r>
        <w:t xml:space="preserve">shows the three models and the observed statistic against its null.</w:t>
      </w:r>
    </w:p>
    <w:p>
      <w:pPr>
        <w:pStyle w:val="BodyText"/>
      </w:pPr>
      <w:r>
        <w:rPr>
          <w:rStyle w:val="VerbatimChar"/>
        </w:rPr>
        <w:t xml:space="preserve">R(W4)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rPr>
          <w:rStyle w:val="VerbatimChar"/>
        </w:rPr>
        <w:t xml:space="preserve">R(W1)</w:t>
      </w:r>
      <w:r>
        <w:t xml:space="preserve"> </w:t>
      </w:r>
      <w:r>
        <w:t xml:space="preserve">by 0.0005. The additive expression term contributes nothing to</w:t>
      </w:r>
      <w:r>
        <w:t xml:space="preserve"> </w:t>
      </w:r>
      <w:r>
        <w:t xml:space="preserve">ordering, which is precisely why W4 was preregistered as the comparator. The entire ordering gain is</w:t>
      </w:r>
      <w:r>
        <w:t xml:space="preserve"> </w:t>
      </w:r>
      <w:r>
        <w:t xml:space="preserve">the interaction.</w:t>
      </w:r>
    </w:p>
    <w:p>
      <w:pPr>
        <w:pStyle w:val="BodyText"/>
      </w:pPr>
      <w:r>
        <w:rPr>
          <w:b/>
          <w:bCs/>
        </w:rPr>
        <w:t xml:space="preserve">This also says what the gain is not.</w:t>
      </w:r>
      <w:r>
        <w:t xml:space="preserve"> </w:t>
      </w:r>
      <w:r>
        <w:t xml:space="preserve">A state contribution shared additively across all six</w:t>
      </w:r>
      <w:r>
        <w:t xml:space="preserve"> </w:t>
      </w:r>
      <w:r>
        <w:t xml:space="preserve">conditions cannot change their ordering within a clone: it moves all six of that clone’s scores</w:t>
      </w:r>
      <w:r>
        <w:t xml:space="preserve"> </w:t>
      </w:r>
      <w:r>
        <w:t xml:space="preserve">together, and within-clone AUROC compares those six scores, so such a contribution counts</w:t>
      </w:r>
      <w:r>
        <w:t xml:space="preserve"> </w:t>
      </w:r>
      <w:r>
        <w:rPr>
          <w:b/>
          <w:b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here by construction. W4 carries exactly that contribution, and it adds nothing to the</w:t>
      </w:r>
      <w:r>
        <w:t xml:space="preserve"> </w:t>
      </w:r>
      <w:r>
        <w:t xml:space="preserve">ordering. Allowing state effects to vary by condition, as W5 does, is what improved it. That does</w:t>
      </w:r>
      <w:r>
        <w:t xml:space="preserve"> </w:t>
      </w:r>
      <w:r>
        <w:t xml:space="preserve">not rule out one shared biological programme behind those effects: a multi-condition signal of the</w:t>
      </w:r>
      <w:r>
        <w:t xml:space="preserve"> </w:t>
      </w:r>
      <w:r>
        <w:t xml:space="preserve">kind CD44 marks in this system [1] would be such a programme, and one whose influence differs</w:t>
      </w:r>
      <w:r>
        <w:t xml:space="preserve"> </w:t>
      </w:r>
      <w:r>
        <w:t xml:space="preserve">between conditions would appear as an interaction too. What this measurement locates is</w:t>
      </w:r>
      <w:r>
        <w:t xml:space="preserve"> </w:t>
      </w:r>
      <w:r>
        <w:t xml:space="preserve">condition-dependent state effects, not the number of programmes behind them.</w:t>
      </w:r>
    </w:p>
    <w:bookmarkEnd w:id="21"/>
    <w:bookmarkStart w:id="22" w:name="X5cb65fe27dd6a94686ff242dcafa6b1a779f3ed"/>
    <w:p>
      <w:pPr>
        <w:pStyle w:val="Heading3"/>
      </w:pPr>
      <w:r>
        <w:t xml:space="preserve">The separation, not the p-value, is the result</w:t>
      </w:r>
    </w:p>
    <w:p>
      <w:pPr>
        <w:pStyle w:val="FirstParagraph"/>
      </w:pPr>
      <w:r>
        <w:rPr>
          <w:b/>
          <w:bCs/>
        </w:rPr>
        <w:t xml:space="preserve">Table 3</w:t>
      </w:r>
      <w:r>
        <w:t xml:space="preserve"> </w:t>
      </w:r>
      <w:r>
        <w:t xml:space="preserve">The observed statistic against its permutation null.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p95</w:t>
            </w:r>
          </w:p>
        </w:tc>
        <w:tc>
          <w:tcPr/>
          <w:p>
            <w:pPr>
              <w:pStyle w:val="Compact"/>
            </w:pPr>
            <w:r>
              <w:t xml:space="preserve">0.008672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/ null p95</w:t>
            </w:r>
          </w:p>
        </w:tc>
        <w:tc>
          <w:tcPr/>
          <w:p>
            <w:pPr>
              <w:pStyle w:val="Compact"/>
            </w:pPr>
            <w:r>
              <w:t xml:space="preserve">6.0x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vs null mean</w:t>
            </w:r>
          </w:p>
        </w:tc>
        <w:tc>
          <w:tcPr/>
          <w:p>
            <w:pPr>
              <w:pStyle w:val="Compact"/>
            </w:pPr>
            <w:r>
              <w:t xml:space="preserve">11.8 null standard deviations above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of 1,000 draws</w:t>
            </w:r>
          </w:p>
        </w:tc>
        <w:tc>
          <w:tcPr/>
          <w:p>
            <w:pPr>
              <w:pStyle w:val="Compact"/>
            </w:pPr>
            <w:r>
              <w:t xml:space="preserve">0.013722 – the observed value exceeds EVERY null 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draws reaching observed</w:t>
            </w:r>
          </w:p>
        </w:tc>
        <w:tc>
          <w:tcPr/>
          <w:p>
            <w:pPr>
              <w:pStyle w:val="Compact"/>
            </w:pPr>
            <w:r>
              <w:t xml:space="preserve">0 of 1000 full-refit permutations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 &lt; 0.001</w:t>
      </w:r>
      <w:r>
        <w:t xml:space="preserve"> </w:t>
      </w:r>
      <w:r>
        <w:t xml:space="preserve">is the floor of a 1,000-draw permutation test and is reported as such, never as a point</w:t>
      </w:r>
      <w:r>
        <w:t xml:space="preserve"> </w:t>
      </w:r>
      <w:r>
        <w:t xml:space="preserve">estimate. The number that carries weight is the separation: nothing the null produced came close.</w:t>
      </w:r>
    </w:p>
    <w:bookmarkEnd w:id="22"/>
    <w:bookmarkStart w:id="23" w:name="Xb12f7b2e3758a08970f6737f74d6f6eee45efa0"/>
    <w:p>
      <w:pPr>
        <w:pStyle w:val="Heading3"/>
      </w:pPr>
      <w:r>
        <w:t xml:space="preserve">It holds in every stratum it was broken down by</w:t>
      </w:r>
    </w:p>
    <w:p>
      <w:pPr>
        <w:pStyle w:val="FirstParagraph"/>
      </w:pPr>
      <w:r>
        <w:rPr>
          <w:b/>
          <w:bCs/>
        </w:rPr>
        <w:t xml:space="preserve">Table 4</w:t>
      </w:r>
      <w:r>
        <w:t xml:space="preserve"> </w:t>
      </w:r>
      <w:r>
        <w:t xml:space="preserve">delta_RANK within each stratum, by outer fold and by pretreatment depth.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Outer fold</w:t>
            </w:r>
          </w:p>
        </w:tc>
        <w:tc>
          <w:tcPr/>
          <w:p>
            <w:pPr>
              <w:pStyle w:val="Compact"/>
            </w:pPr>
            <w:r>
              <w:t xml:space="preserve">delta_RANK</w:t>
            </w:r>
          </w:p>
        </w:tc>
        <w:tc>
          <w:tcPr/>
          <w:p>
            <w:pPr>
              <w:pStyle w:val="Compact"/>
            </w:pPr>
            <w:r>
              <w:t xml:space="preserve">Pretreatment depth</w:t>
            </w:r>
          </w:p>
        </w:tc>
        <w:tc>
          <w:tcPr/>
          <w:p>
            <w:pPr>
              <w:pStyle w:val="Compact"/>
            </w:pPr>
            <w:r>
              <w:t xml:space="preserve">delta_RANK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0</w:t>
            </w:r>
          </w:p>
        </w:tc>
        <w:tc>
          <w:tcPr/>
          <w:p>
            <w:pPr>
              <w:pStyle w:val="Compact"/>
            </w:pPr>
            <w:r>
              <w:t xml:space="preserve">+0.0435</w:t>
            </w:r>
          </w:p>
        </w:tc>
        <w:tc>
          <w:tcPr/>
          <w:p>
            <w:pPr>
              <w:pStyle w:val="Compact"/>
            </w:pPr>
            <w:r>
              <w:t xml:space="preserve">1 cell</w:t>
            </w:r>
          </w:p>
        </w:tc>
        <w:tc>
          <w:tcPr/>
          <w:p>
            <w:pPr>
              <w:pStyle w:val="Compact"/>
            </w:pPr>
            <w:r>
              <w:t xml:space="preserve">+0.0535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1</w:t>
            </w:r>
          </w:p>
        </w:tc>
        <w:tc>
          <w:tcPr/>
          <w:p>
            <w:pPr>
              <w:pStyle w:val="Compact"/>
            </w:pPr>
            <w:r>
              <w:t xml:space="preserve">+0.0548</w:t>
            </w:r>
          </w:p>
        </w:tc>
        <w:tc>
          <w:tcPr/>
          <w:p>
            <w:pPr>
              <w:pStyle w:val="Compact"/>
            </w:pPr>
            <w:r>
              <w:t xml:space="preserve">2 cells</w:t>
            </w:r>
          </w:p>
        </w:tc>
        <w:tc>
          <w:tcPr/>
          <w:p>
            <w:pPr>
              <w:pStyle w:val="Compact"/>
            </w:pPr>
            <w:r>
              <w:t xml:space="preserve">+0.0528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2</w:t>
            </w:r>
          </w:p>
        </w:tc>
        <w:tc>
          <w:tcPr/>
          <w:p>
            <w:pPr>
              <w:pStyle w:val="Compact"/>
            </w:pPr>
            <w:r>
              <w:t xml:space="preserve">+0.0658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+0.0314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3</w:t>
            </w:r>
          </w:p>
        </w:tc>
        <w:tc>
          <w:tcPr/>
          <w:p>
            <w:pPr>
              <w:pStyle w:val="Compact"/>
            </w:pPr>
            <w:r>
              <w:t xml:space="preserve">+0.0506</w:t>
            </w:r>
          </w:p>
        </w:tc>
        <w:tc>
          <w:tcPr/>
          <w:p>
            <w:pPr>
              <w:pStyle w:val="Compact"/>
            </w:pPr>
            <w:r>
              <w:t xml:space="preserve">5-9</w:t>
            </w:r>
          </w:p>
        </w:tc>
        <w:tc>
          <w:tcPr/>
          <w:p>
            <w:pPr>
              <w:pStyle w:val="Compact"/>
            </w:pPr>
            <w:r>
              <w:t xml:space="preserve">+0.0462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 4</w:t>
            </w:r>
          </w:p>
        </w:tc>
        <w:tc>
          <w:tcPr/>
          <w:p>
            <w:pPr>
              <w:pStyle w:val="Compact"/>
            </w:pPr>
            <w:r>
              <w:t xml:space="preserve">+0.0435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+0.0779</w:t>
            </w:r>
          </w:p>
        </w:tc>
      </w:tr>
    </w:tbl>
    <w:p>
      <w:pPr>
        <w:pStyle w:val="BodyText"/>
      </w:pPr>
      <w:r>
        <w:t xml:space="preserve">Positive in all five folds and all five depth strata (</w:t>
      </w:r>
      <w:r>
        <w:rPr>
          <w:b/>
          <w:bCs/>
        </w:rPr>
        <w:t xml:space="preserve">Figure 3A, 3B</w:t>
      </w:r>
      <w:r>
        <w:t xml:space="preserve">). These were preregistered</w:t>
      </w:r>
      <w:r>
        <w:t xml:space="preserve"> </w:t>
      </w:r>
      <w:r>
        <w:t xml:space="preserve">as descriptive and could not have rescued a failed primary gate; they were not asked to.</w:t>
      </w:r>
      <w:r>
        <w:t xml:space="preserve"> </w:t>
      </w:r>
      <w:r>
        <w:t xml:space="preserve">The breakdown is by fold and by depth only; across the six conditions the interaction is not uniform</w:t>
      </w:r>
      <w:r>
        <w:t xml:space="preserve"> </w:t>
      </w:r>
      <w:r>
        <w:t xml:space="preserve">(Limitation 3).</w:t>
      </w:r>
    </w:p>
    <w:bookmarkEnd w:id="23"/>
    <w:bookmarkStart w:id="24" w:name="choosing-the-lowest-scoring-condition"/>
    <w:p>
      <w:pPr>
        <w:pStyle w:val="Heading3"/>
      </w:pPr>
      <w:r>
        <w:t xml:space="preserve">Choosing the lowest-scoring condition</w:t>
      </w:r>
    </w:p>
    <w:p>
      <w:pPr>
        <w:pStyle w:val="FirstParagraph"/>
      </w:pPr>
      <w:r>
        <w:rPr>
          <w:b/>
          <w:bCs/>
        </w:rPr>
        <w:t xml:space="preserve">Table 5</w:t>
      </w:r>
      <w:r>
        <w:t xml:space="preserve"> </w:t>
      </w:r>
      <w:r>
        <w:t xml:space="preserve">The top-choice diagnostic, preregistered as a directional-consistency 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delta_TOP1</w:t>
            </w:r>
          </w:p>
        </w:tc>
        <w:tc>
          <w:tcPr/>
          <w:p>
            <w:pPr>
              <w:pStyle w:val="Compact"/>
            </w:pPr>
            <w:r>
              <w:t xml:space="preserve">+0.115471</w:t>
            </w:r>
          </w:p>
        </w:tc>
        <w:tc>
          <w:tcPr/>
          <w:p>
            <w:pPr>
              <w:pStyle w:val="Compact"/>
            </w:pPr>
            <w:r>
              <w:t xml:space="preserve">[+0.082960, +0.145740]</w:t>
            </w:r>
          </w:p>
        </w:tc>
      </w:tr>
    </w:tbl>
    <w:p>
      <w:pPr>
        <w:pStyle w:val="BodyText"/>
      </w:pPr>
      <w:r>
        <w:t xml:space="preserve">Selecting each clone’s lowest predicted detection score finds a genuine zero for 82.8% of evaluable</w:t>
      </w:r>
      <w:r>
        <w:t xml:space="preserve"> </w:t>
      </w:r>
      <w:r>
        <w:t xml:space="preserve">clones under W5 against 71.3% under W4 (</w:t>
      </w:r>
      <w:r>
        <w:rPr>
          <w:b/>
          <w:bCs/>
        </w:rPr>
        <w:t xml:space="preserve">Figure 3C</w:t>
      </w:r>
      <w:r>
        <w:t xml:space="preserve">). This was preregistered as a directional-consistency check,</w:t>
      </w:r>
      <w:r>
        <w:t xml:space="preserve"> </w:t>
      </w:r>
      <w:r>
        <w:t xml:space="preserve">not a significance test: it could withhold support, never grant it. It did not withhold.</w:t>
      </w:r>
    </w:p>
    <w:bookmarkEnd w:id="24"/>
    <w:bookmarkStart w:id="25" w:name="the-tool"/>
    <w:p>
      <w:pPr>
        <w:pStyle w:val="Heading3"/>
      </w:pPr>
      <w:r>
        <w:t xml:space="preserve">The tool</w:t>
      </w:r>
    </w:p>
    <w:p>
      <w:pPr>
        <w:pStyle w:val="FirstParagraph"/>
      </w:pPr>
      <w:r>
        <w:t xml:space="preserve">A frozen predictor ships with this work. For one starting clone it returns a</w:t>
      </w:r>
      <w:r>
        <w:t xml:space="preserve"> </w:t>
      </w:r>
      <w:r>
        <w:rPr>
          <w:rStyle w:val="VerbatimChar"/>
        </w:rPr>
        <w:t xml:space="preserve">future_detection_score</w:t>
      </w:r>
      <w:r>
        <w:t xml:space="preserve"> </w:t>
      </w:r>
      <w:r>
        <w:t xml:space="preserve">for each of the six observed conditions, reproducing the frozen</w:t>
      </w:r>
      <w:r>
        <w:t xml:space="preserve"> </w:t>
      </w:r>
      <w:r>
        <w:t xml:space="preserve">out-of-fold predictions to within 5e-16.</w:t>
      </w:r>
    </w:p>
    <w:p>
      <w:pPr>
        <w:pStyle w:val="BodyText"/>
      </w:pPr>
      <w:r>
        <w:t xml:space="preserve">What it refuses is as much of the specification as what it returns:</w:t>
      </w:r>
    </w:p>
    <w:p>
      <w:pPr>
        <w:pStyle w:val="SourceCode"/>
      </w:pPr>
      <w:r>
        <w:rPr>
          <w:rStyle w:val="VerbatimChar"/>
        </w:rPr>
        <w:t xml:space="preserve">  an unknown condition        -&gt; UNSUPPORTED_TREATMENT, and no score</w:t>
      </w:r>
      <w:r>
        <w:br/>
      </w:r>
      <w:r>
        <w:rPr>
          <w:rStyle w:val="VerbatimChar"/>
        </w:rPr>
        <w:t xml:space="preserve">  a missing nuisance block    -&gt; MISSING_REQUIRED_NUISANCE, never imputed</w:t>
      </w:r>
      <w:r>
        <w:br/>
      </w:r>
      <w:r>
        <w:rPr>
          <w:rStyle w:val="VerbatimChar"/>
        </w:rPr>
        <w:t xml:space="preserve">  a wrong feature schema      -&gt; UNSUPPORTED_FEATURE_SCHEMA</w:t>
      </w:r>
      <w:r>
        <w:br/>
      </w:r>
      <w:r>
        <w:rPr>
          <w:rStyle w:val="VerbatimChar"/>
        </w:rPr>
        <w:t xml:space="preserve">  a validated ordering        -&gt; withheld unless the preregistered verdict file is supplied</w:t>
      </w:r>
    </w:p>
    <w:p>
      <w:pPr>
        <w:pStyle w:val="FirstParagraph"/>
      </w:pPr>
      <w:r>
        <w:t xml:space="preserve">The refusal was tested adversarially rather than asserted. 56 of 56 hostile condition strings were</w:t>
      </w:r>
      <w:r>
        <w:t xml:space="preserve"> </w:t>
      </w:r>
      <w:r>
        <w:t xml:space="preserve">refused: case and whitespace variants, dose formats, unicode look-alikes, controls, and sixteen real</w:t>
      </w:r>
      <w:r>
        <w:t xml:space="preserve"> </w:t>
      </w:r>
      <w:r>
        <w:t xml:space="preserve">oncology drugs including Vemurafenib — the drug for this exact mutation — and Carboplatin, one</w:t>
      </w:r>
      <w:r>
        <w:t xml:space="preserve"> </w:t>
      </w:r>
      <w:r>
        <w:t xml:space="preserve">substitution from a condition 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supported.</w:t>
      </w:r>
    </w:p>
    <w:p>
      <w:pPr>
        <w:pStyle w:val="BodyText"/>
      </w:pPr>
      <w:r>
        <w:t xml:space="preserve">That test found something worth stating. Acid is the reference level and is encoded as five zero</w:t>
      </w:r>
      <w:r>
        <w:t xml:space="preserve"> </w:t>
      </w:r>
      <w:r>
        <w:t xml:space="preserve">indicators, so the indicator encoder alone maps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unrecognised string to the Acid row and would</w:t>
      </w:r>
      <w:r>
        <w:t xml:space="preserve"> </w:t>
      </w:r>
      <w:r>
        <w:t xml:space="preserve">return the Acid score under another name. The vocabulary filter is the only thing preventing this,</w:t>
      </w:r>
      <w:r>
        <w:t xml:space="preserve"> </w:t>
      </w:r>
      <w:r>
        <w:t xml:space="preserve">and it was verified to hold rather than assumed 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result is narrow by design, and this section keeps apart three things that are easy to run</w:t>
      </w:r>
      <w:r>
        <w:t xml:space="preserve"> </w:t>
      </w:r>
      <w:r>
        <w:t xml:space="preserve">together: what the result cannot support, what may not be said about it in any form, and what would</w:t>
      </w:r>
      <w:r>
        <w:t xml:space="preserve"> </w:t>
      </w:r>
      <w:r>
        <w:t xml:space="preserve">actually test it. The first two are separate on purpose; neither should have to be inferred from the</w:t>
      </w:r>
      <w:r>
        <w:t xml:space="preserve"> </w:t>
      </w:r>
      <w:r>
        <w:t xml:space="preserve">other.</w:t>
      </w:r>
    </w:p>
    <w:bookmarkStart w:id="27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Carried verbatim from the preregistered verdict.</w:t>
      </w:r>
    </w:p>
    <w:p>
      <w:pPr>
        <w:pStyle w:val="SourceCode"/>
      </w:pPr>
      <w:r>
        <w:rPr>
          <w:rStyle w:val="VerbatimChar"/>
        </w:rPr>
        <w:t xml:space="preserve">  1  No independent biological replication of the Role-B finding. Clone-held-out folds and</w:t>
      </w:r>
      <w:r>
        <w:br/>
      </w:r>
      <w:r>
        <w:rPr>
          <w:rStyle w:val="VerbatimChar"/>
        </w:rPr>
        <w:t xml:space="preserve">     two endpoint families are not replication.</w:t>
      </w:r>
      <w:r>
        <w:br/>
      </w:r>
      <w:r>
        <w:rPr>
          <w:rStyle w:val="VerbatimChar"/>
        </w:rPr>
        <w:t xml:space="preserve">  2  Captured pretreatment clone abundance remains ~3.45x the whole state contribution.</w:t>
      </w:r>
      <w:r>
        <w:br/>
      </w:r>
      <w:r>
        <w:rPr>
          <w:rStyle w:val="VerbatimChar"/>
        </w:rPr>
        <w:t xml:space="preserve">     The ordering is abundance first, then condition-specific state.</w:t>
      </w:r>
      <w:r>
        <w:br/>
      </w:r>
      <w:r>
        <w:rPr>
          <w:rStyle w:val="VerbatimChar"/>
        </w:rPr>
        <w:t xml:space="preserve">  3  Four of six conditions carry meaningful interaction. Cisplatin is negligible on C1</w:t>
      </w:r>
      <w:r>
        <w:br/>
      </w:r>
      <w:r>
        <w:rPr>
          <w:rStyle w:val="VerbatimChar"/>
        </w:rPr>
        <w:t xml:space="preserve">     and Doxorubicin is negative on both endpoint families.</w:t>
      </w:r>
      <w:r>
        <w:br/>
      </w:r>
      <w:r>
        <w:rPr>
          <w:rStyle w:val="VerbatimChar"/>
        </w:rPr>
        <w:t xml:space="preserve">  4  C1 is an observed detection proxy -- not death, sensitivity or clinical response.</w:t>
      </w:r>
      <w:r>
        <w:br/>
      </w:r>
      <w:r>
        <w:rPr>
          <w:rStyle w:val="VerbatimChar"/>
        </w:rPr>
        <w:t xml:space="preserve">  5  The bootstrap interval is conditional on the fitted models; only the null refits.</w:t>
      </w:r>
      <w:r>
        <w:br/>
      </w:r>
      <w:r>
        <w:rPr>
          <w:rStyle w:val="VerbatimChar"/>
        </w:rPr>
        <w:t xml:space="preserve">  6  Role A remains positive-but-underpowered supporting evidence. Its confirmation gate</w:t>
      </w:r>
      <w:r>
        <w:br/>
      </w:r>
      <w:r>
        <w:rPr>
          <w:rStyle w:val="VerbatimChar"/>
        </w:rPr>
        <w:t xml:space="preserve">     18.3 FAILED at 0.64 against a 0.80 threshold, and a later audit of the instrument</w:t>
      </w:r>
      <w:r>
        <w:br/>
      </w:r>
      <w:r>
        <w:rPr>
          <w:rStyle w:val="VerbatimChar"/>
        </w:rPr>
        <w:t xml:space="preserve">     put the true power at 0.45 -- lower still. Its effect size must not be quoted as an</w:t>
      </w:r>
      <w:r>
        <w:br/>
      </w:r>
      <w:r>
        <w:rPr>
          <w:rStyle w:val="VerbatimChar"/>
        </w:rPr>
        <w:t xml:space="preserve">     estimate, because an underpowered design that reaches significance inflates it.</w:t>
      </w:r>
    </w:p>
    <w:p>
      <w:pPr>
        <w:pStyle w:val="FirstParagraph"/>
      </w:pPr>
      <w:r>
        <w:t xml:space="preserve">Limitation 2 is the one most likely to be misread. This work does not show that state dominates</w:t>
      </w:r>
      <w:r>
        <w:t xml:space="preserve"> </w:t>
      </w:r>
      <w:r>
        <w:t xml:space="preserve">outcome. It shows that state adds something specific, on top of an abundance term that is several</w:t>
      </w:r>
      <w:r>
        <w:t xml:space="preserve"> </w:t>
      </w:r>
      <w:r>
        <w:t xml:space="preserve">times larger.</w:t>
      </w:r>
    </w:p>
    <w:p>
      <w:pPr>
        <w:pStyle w:val="BodyText"/>
      </w:pPr>
      <w:r>
        <w:t xml:space="preserve">Limitation 3 has a pattern that this experiment cannot interpret. Schaff et al. chose the six</w:t>
      </w:r>
      <w:r>
        <w:t xml:space="preserve"> </w:t>
      </w:r>
      <w:r>
        <w:t xml:space="preserve">conditions as three pairs [1]: two targeted inhibitors, dabrafenib against BRAF and trametinib</w:t>
      </w:r>
      <w:r>
        <w:t xml:space="preserve"> </w:t>
      </w:r>
      <w:r>
        <w:t xml:space="preserve">against MEK; two non-clinical stresses, CoCl2 mimicking hypoxia and acidic media mimicking acidosis;</w:t>
      </w:r>
      <w:r>
        <w:t xml:space="preserve"> </w:t>
      </w:r>
      <w:r>
        <w:t xml:space="preserve">and two DNA-damaging agents, cisplatin cross-linking DNA and doxorubicin inhibiting topoisomerases.</w:t>
      </w:r>
      <w:r>
        <w:t xml:space="preserve"> </w:t>
      </w:r>
      <w:r>
        <w:t xml:space="preserve">The four conditions that carry meaningful interaction are the first two pairs, and the two that do</w:t>
      </w:r>
      <w:r>
        <w:t xml:space="preserve"> </w:t>
      </w:r>
      <w:r>
        <w:t xml:space="preserve">not are the DNA-damaging pair. The same four were also the ones applied continuously, and the same</w:t>
      </w:r>
      <w:r>
        <w:t xml:space="preserve"> </w:t>
      </w:r>
      <w:r>
        <w:t xml:space="preserve">two were given for a treatment period followed by recovery (Methods), so class and treatment</w:t>
      </w:r>
      <w:r>
        <w:t xml:space="preserve"> </w:t>
      </w:r>
      <w:r>
        <w:t xml:space="preserve">schedule divide the six conditions identically and cannot be told apart here. With two conditions in</w:t>
      </w:r>
      <w:r>
        <w:t xml:space="preserve"> </w:t>
      </w:r>
      <w:r>
        <w:t xml:space="preserve">each class, and a grouping noticed only after the results, neither reading is a finding and neither</w:t>
      </w:r>
      <w:r>
        <w:t xml:space="preserve"> </w:t>
      </w:r>
      <w:r>
        <w:t xml:space="preserve">is claimed. Separating them needs conditions in which class and schedule vary independently.</w:t>
      </w:r>
    </w:p>
    <w:p>
      <w:pPr>
        <w:pStyle w:val="BodyText"/>
      </w:pPr>
      <w:r>
        <w:t xml:space="preserve">Limitation 6 is the honest position on Role A. Its own gate failed, we audited our own power</w:t>
      </w:r>
      <w:r>
        <w:t xml:space="preserve"> </w:t>
      </w:r>
      <w:r>
        <w:t xml:space="preserve">calculation and found it had been too generous, and we report the worse number.</w:t>
      </w:r>
    </w:p>
    <w:bookmarkEnd w:id="27"/>
    <w:bookmarkStart w:id="28" w:name="what-this-does-not-show"/>
    <w:p>
      <w:pPr>
        <w:pStyle w:val="Heading3"/>
      </w:pPr>
      <w:r>
        <w:t xml:space="preserve">What this does not show</w:t>
      </w:r>
    </w:p>
    <w:p>
      <w:pPr>
        <w:pStyle w:val="FirstParagraph"/>
      </w:pPr>
      <w:r>
        <w:t xml:space="preserve">Separate from the limitations above, these are claims this work may not make, in any form.</w:t>
      </w:r>
    </w:p>
    <w:p>
      <w:pPr>
        <w:pStyle w:val="SourceCode"/>
      </w:pPr>
      <w:r>
        <w:rPr>
          <w:rStyle w:val="VerbatimChar"/>
        </w:rPr>
        <w:t xml:space="preserve">  1  NEVER  unseen-condition generalization</w:t>
      </w:r>
      <w:r>
        <w:br/>
      </w:r>
      <w:r>
        <w:rPr>
          <w:rStyle w:val="VerbatimChar"/>
        </w:rPr>
        <w:t xml:space="preserve">  2  NEVER  cross-cell-line or cross-patient generalization</w:t>
      </w:r>
      <w:r>
        <w:br/>
      </w:r>
      <w:r>
        <w:rPr>
          <w:rStyle w:val="VerbatimChar"/>
        </w:rPr>
        <w:t xml:space="preserve">  3  NEVER  clinical treatment recommendation</w:t>
      </w:r>
      <w:r>
        <w:br/>
      </w:r>
      <w:r>
        <w:rPr>
          <w:rStyle w:val="VerbatimChar"/>
        </w:rPr>
        <w:t xml:space="preserve">  4  NEVER  causal treatment-effect estimation</w:t>
      </w:r>
      <w:r>
        <w:br/>
      </w:r>
      <w:r>
        <w:rPr>
          <w:rStyle w:val="VerbatimChar"/>
        </w:rPr>
        <w:t xml:space="preserve">  5  NEVER  a calibrated probability</w:t>
      </w:r>
      <w:r>
        <w:br/>
      </w:r>
      <w:r>
        <w:rPr>
          <w:rStyle w:val="VerbatimChar"/>
        </w:rPr>
        <w:t xml:space="preserve">  6  NEVER  independent biological replication of Role B</w:t>
      </w:r>
      <w:r>
        <w:br/>
      </w:r>
      <w:r>
        <w:rPr>
          <w:rStyle w:val="VerbatimChar"/>
        </w:rPr>
        <w:t xml:space="preserve">  7  NEVER  uniform benefit across the six conditions</w:t>
      </w:r>
      <w:r>
        <w:br/>
      </w:r>
      <w:r>
        <w:rPr>
          <w:rStyle w:val="VerbatimChar"/>
        </w:rPr>
        <w:t xml:space="preserve">  8  NEVER  a confirmed Role-A result</w:t>
      </w:r>
      <w:r>
        <w:br/>
      </w:r>
      <w:r>
        <w:rPr>
          <w:rStyle w:val="VerbatimChar"/>
        </w:rPr>
        <w:t xml:space="preserve">  9  NEVER  single-cell input equivalence, the model being trained on clone pseudobulk</w:t>
      </w:r>
    </w:p>
    <w:p>
      <w:pPr>
        <w:pStyle w:val="FirstParagraph"/>
      </w:pPr>
      <w:r>
        <w:t xml:space="preserve">The result is bounded to one cell line, six observed experimental conditions, and one observed</w:t>
      </w:r>
      <w:r>
        <w:t xml:space="preserve"> </w:t>
      </w:r>
      <w:r>
        <w:t xml:space="preserve">detection proxy. It is not evidence about therapy, and the six conditions include non-clinical</w:t>
      </w:r>
      <w:r>
        <w:t xml:space="preserve"> </w:t>
      </w:r>
      <w:r>
        <w:t xml:space="preserve">stress contexts that no one would administer to anything.</w:t>
      </w:r>
    </w:p>
    <w:bookmarkEnd w:id="28"/>
    <w:bookmarkStart w:id="29" w:name="generation-2"/>
    <w:p>
      <w:pPr>
        <w:pStyle w:val="Heading3"/>
      </w:pPr>
      <w:r>
        <w:t xml:space="preserve">Generation 2</w:t>
      </w:r>
    </w:p>
    <w:p>
      <w:pPr>
        <w:pStyle w:val="FirstParagraph"/>
      </w:pPr>
      <w:r>
        <w:t xml:space="preserve">What would actually test this, none of which was a gate on the present result:</w:t>
      </w:r>
    </w:p>
    <w:p>
      <w:pPr>
        <w:pStyle w:val="SourceCode"/>
      </w:pPr>
      <w:r>
        <w:rPr>
          <w:rStyle w:val="VerbatimChar"/>
        </w:rPr>
        <w:t xml:space="preserve">  independent biological replication in a different lineage-traced system</w:t>
      </w:r>
      <w:r>
        <w:br/>
      </w:r>
      <w:r>
        <w:rPr>
          <w:rStyle w:val="VerbatimChar"/>
        </w:rPr>
        <w:t xml:space="preserve">  transfer to conditions the model has never seen, which requires a condition</w:t>
      </w:r>
      <w:r>
        <w:br/>
      </w:r>
      <w:r>
        <w:rPr>
          <w:rStyle w:val="VerbatimChar"/>
        </w:rPr>
        <w:t xml:space="preserve">    representation the present design does not have</w:t>
      </w:r>
      <w:r>
        <w:br/>
      </w:r>
      <w:r>
        <w:rPr>
          <w:rStyle w:val="VerbatimChar"/>
        </w:rPr>
        <w:t xml:space="preserve">  a dataset-independent nuisance definition, since the current abundance block counts</w:t>
      </w:r>
      <w:r>
        <w:br/>
      </w:r>
      <w:r>
        <w:rPr>
          <w:rStyle w:val="VerbatimChar"/>
        </w:rPr>
        <w:t xml:space="preserve">    cells in this experiment's three specific pretreatment libraries and therefore</w:t>
      </w:r>
      <w:r>
        <w:br/>
      </w:r>
      <w:r>
        <w:rPr>
          <w:rStyle w:val="VerbatimChar"/>
        </w:rPr>
        <w:t xml:space="preserve">    cannot be computed anywhere else</w:t>
      </w:r>
      <w:r>
        <w:br/>
      </w:r>
      <w:r>
        <w:rPr>
          <w:rStyle w:val="VerbatimChar"/>
        </w:rPr>
        <w:t xml:space="preserve">  calibration, frozen and tested separately</w:t>
      </w:r>
      <w:r>
        <w:br/>
      </w:r>
      <w:r>
        <w:rPr>
          <w:rStyle w:val="VerbatimChar"/>
        </w:rPr>
        <w:t xml:space="preserve">  out-of-distribution behaviour</w:t>
      </w:r>
    </w:p>
    <w:p>
      <w:pPr>
        <w:pStyle w:val="FirstParagraph"/>
      </w:pPr>
      <w:r>
        <w:t xml:space="preserve">The first is the one that matters. Everything here rests on a single lineage-traced system, and one</w:t>
      </w:r>
      <w:r>
        <w:t xml:space="preserve"> </w:t>
      </w:r>
      <w:r>
        <w:t xml:space="preserve">system is one system however carefully it is evaluated.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In the WM989 lineage-traced melanoma system, a clone’s gene expression before treatment carries</w:t>
      </w:r>
      <w:r>
        <w:t xml:space="preserve"> </w:t>
      </w:r>
      <w:r>
        <w:t xml:space="preserve">information about which of six observed experimental conditions it is still detected after:</w:t>
      </w:r>
      <w:r>
        <w:t xml:space="preserve"> </w:t>
      </w:r>
      <w:r>
        <w:t xml:space="preserve">information specific to each condition, beyond condition identity and captured pretreatment clone</w:t>
      </w:r>
      <w:r>
        <w:t xml:space="preserve"> </w:t>
      </w:r>
      <w:r>
        <w:t xml:space="preserve">abundance, under clone-held-out evaluation. Under a test preregistered in full, all of the gain in</w:t>
      </w:r>
      <w:r>
        <w:t xml:space="preserve"> </w:t>
      </w:r>
      <w:r>
        <w:t xml:space="preserve">ordering a clone’s six conditions came from an explicit state-by-condition interaction; an additive</w:t>
      </w:r>
      <w:r>
        <w:t xml:space="preserve"> </w:t>
      </w:r>
      <w:r>
        <w:t xml:space="preserve">state term contributed nothing.</w:t>
      </w:r>
    </w:p>
    <w:p>
      <w:pPr>
        <w:pStyle w:val="BodyText"/>
      </w:pPr>
      <w:r>
        <w:t xml:space="preserve">What this means is that pre-existing state in this system is not only a matter of how detectable a</w:t>
      </w:r>
      <w:r>
        <w:t xml:space="preserve"> </w:t>
      </w:r>
      <w:r>
        <w:t xml:space="preserve">clone is overall. Part of it bears on which condition the clone is still detected after. A state</w:t>
      </w:r>
      <w:r>
        <w:t xml:space="preserve"> </w:t>
      </w:r>
      <w:r>
        <w:t xml:space="preserve">contribution shared additively across all conditions cannot change their ordering within a clone, so</w:t>
      </w:r>
      <w:r>
        <w:t xml:space="preserve"> </w:t>
      </w:r>
      <w:r>
        <w:t xml:space="preserve">an analysis that admits state only that way cannot see this part, as the additive model here could</w:t>
      </w:r>
      <w:r>
        <w:t xml:space="preserve"> </w:t>
      </w:r>
      <w:r>
        <w:t xml:space="preserve">not; allowing state effects to vary by condition improved the ordering. That does not mean separate</w:t>
      </w:r>
      <w:r>
        <w:t xml:space="preserve"> </w:t>
      </w:r>
      <w:r>
        <w:t xml:space="preserve">biology behind each condition: one programme whose effect differs between conditions would show the</w:t>
      </w:r>
      <w:r>
        <w:t xml:space="preserve"> </w:t>
      </w:r>
      <w:r>
        <w:t xml:space="preserve">same pattern.</w:t>
      </w:r>
    </w:p>
    <w:p>
      <w:pPr>
        <w:pStyle w:val="BodyText"/>
      </w:pPr>
      <w:r>
        <w:t xml:space="preserve">This opens directions others can take. The interaction terms of the frozen model are a starting</w:t>
      </w:r>
      <w:r>
        <w:t xml:space="preserve"> </w:t>
      </w:r>
      <w:r>
        <w:t xml:space="preserve">point for finding the pretreatment programmes behind these condition-dependent effects, whether one</w:t>
      </w:r>
      <w:r>
        <w:t xml:space="preserve"> </w:t>
      </w:r>
      <w:r>
        <w:t xml:space="preserve">or several. Any lineage-traced experiment that splits clones across several perturbations can ask</w:t>
      </w:r>
      <w:r>
        <w:t xml:space="preserve"> </w:t>
      </w:r>
      <w:r>
        <w:t xml:space="preserve">the same question with the same design: ordering within a clone, abundance held fixed in every</w:t>
      </w:r>
      <w:r>
        <w:t xml:space="preserve"> </w:t>
      </w:r>
      <w:r>
        <w:t xml:space="preserve">model, a null that refits the whole pipeline, and a protocol fixed before the statistic is computed.</w:t>
      </w:r>
      <w:r>
        <w:t xml:space="preserve"> </w:t>
      </w:r>
      <w:r>
        <w:t xml:space="preserve">The most informative of these is a test in an independent lineage-traced system, which has not yet</w:t>
      </w:r>
      <w:r>
        <w:t xml:space="preserve"> </w:t>
      </w:r>
      <w:r>
        <w:t xml:space="preserve">been done. If the result holds there, pretreatment profiling could help choose which perturbations</w:t>
      </w:r>
      <w:r>
        <w:t xml:space="preserve"> </w:t>
      </w:r>
      <w:r>
        <w:t xml:space="preserve">to test on which subpopulations in experimental work. The outcome measured here is a detection</w:t>
      </w:r>
      <w:r>
        <w:t xml:space="preserve"> </w:t>
      </w:r>
      <w:r>
        <w:t xml:space="preserve">proxy, not death or clinical response; that is where the result points, not what it shows.</w:t>
      </w:r>
    </w:p>
    <w:p>
      <w:pPr>
        <w:pStyle w:val="BodyText"/>
      </w:pPr>
      <w:r>
        <w:t xml:space="preserve">Everything needed to reproduce the result from the public data, and to apply the design to new data,</w:t>
      </w:r>
      <w:r>
        <w:t xml:space="preserve"> </w:t>
      </w:r>
      <w:r>
        <w:t xml:space="preserve">is released with this work.</w:t>
      </w:r>
    </w:p>
    <w:p>
      <w:r>
        <w:pict>
          <v:rect style="width:0;height:1.5pt" o:hralign="center" o:hrstd="t" o:hr="t"/>
        </w:pict>
      </w:r>
    </w:p>
    <w:bookmarkEnd w:id="31"/>
    <w:bookmarkStart w:id="32" w:name="list-of-abbreviations"/>
    <w:p>
      <w:pPr>
        <w:pStyle w:val="Heading2"/>
      </w:pPr>
      <w:r>
        <w:t xml:space="preserve">List of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AUROC</w:t>
      </w:r>
      <w:r>
        <w:t xml:space="preserve"> </w:t>
      </w:r>
      <w:r>
        <w:t xml:space="preserve">— area under the receiver operating characteristic curve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— the captured-abundance nuisance block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C1, C2</w:t>
      </w:r>
      <w:r>
        <w:t xml:space="preserve"> </w:t>
      </w:r>
      <w:r>
        <w:t xml:space="preserve">— the two endpoint families: post-treatment clone detection, and clone-balanced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</w:t>
      </w:r>
      <w:r>
        <w:t xml:space="preserve"> </w:t>
      </w:r>
      <w:r>
        <w:t xml:space="preserve">— confidence interval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CoCl2</w:t>
      </w:r>
      <w:r>
        <w:t xml:space="preserve"> </w:t>
      </w:r>
      <w:r>
        <w:t xml:space="preserve">— cobalt(II) chloride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CP10K</w:t>
      </w:r>
      <w:r>
        <w:t xml:space="preserve"> </w:t>
      </w:r>
      <w:r>
        <w:t xml:space="preserve">— counts per 10,000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delta_RANK</w:t>
      </w:r>
      <w:r>
        <w:t xml:space="preserve"> </w:t>
      </w:r>
      <w:r>
        <w:t xml:space="preserve">— W5 minus W4 in equal-clone-weighted within-clone AUROC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delta_TOP1</w:t>
      </w:r>
      <w:r>
        <w:t xml:space="preserve"> </w:t>
      </w:r>
      <w:r>
        <w:t xml:space="preserve">— W5 minus W4 in the lowest-predicted-score top-choice diagnostic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</w:t>
      </w:r>
      <w:r>
        <w:t xml:space="preserve"> </w:t>
      </w:r>
      <w:r>
        <w:t xml:space="preserve">— Gene Expression Omnibus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— principal component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</w:t>
      </w:r>
      <w:r>
        <w:t xml:space="preserve"> </w:t>
      </w:r>
      <w:r>
        <w:t xml:space="preserve">— the condition-identity indicators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W1, W4, W5</w:t>
      </w:r>
      <w:r>
        <w:t xml:space="preserve"> </w:t>
      </w:r>
      <w:r>
        <w:t xml:space="preserve">— the three preregistered model specifications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</w:t>
      </w:r>
      <w:r>
        <w:t xml:space="preserve"> </w:t>
      </w:r>
      <w:r>
        <w:t xml:space="preserve">— the clone expression profile, as 50 train-only principal components</w:t>
      </w:r>
    </w:p>
    <w:p>
      <w:r>
        <w:pict>
          <v:rect style="width:0;height:1.5pt" o:hralign="center" o:hrstd="t" o:hr="t"/>
        </w:pict>
      </w:r>
    </w:p>
    <w:bookmarkEnd w:id="32"/>
    <w:bookmarkStart w:id="45" w:name="declarations"/>
    <w:p>
      <w:pPr>
        <w:pStyle w:val="Heading2"/>
      </w:pPr>
      <w:r>
        <w:t xml:space="preserve">Declarations</w:t>
      </w:r>
    </w:p>
    <w:bookmarkStart w:id="33" w:name="Xd182db0490b2de20bd2b4e4cc8698599182035f"/>
    <w:p>
      <w:pPr>
        <w:pStyle w:val="Heading3"/>
      </w:pPr>
      <w:r>
        <w:t xml:space="preserve">Ethics approval and consent to participate</w:t>
      </w:r>
    </w:p>
    <w:p>
      <w:pPr>
        <w:pStyle w:val="FirstParagraph"/>
      </w:pPr>
      <w:r>
        <w:t xml:space="preserve">Not applicable. This study is a computational reanalysis of published, publicly available data from</w:t>
      </w:r>
      <w:r>
        <w:t xml:space="preserve"> </w:t>
      </w:r>
      <w:r>
        <w:t xml:space="preserve">an immortalised cell line. No human participants, human material or animals were involved.</w:t>
      </w:r>
    </w:p>
    <w:bookmarkEnd w:id="33"/>
    <w:bookmarkStart w:id="34" w:name="consent-for-publication"/>
    <w:p>
      <w:pPr>
        <w:pStyle w:val="Heading3"/>
      </w:pPr>
      <w:r>
        <w:t xml:space="preserve">Consent for publication</w:t>
      </w:r>
    </w:p>
    <w:p>
      <w:pPr>
        <w:pStyle w:val="FirstParagraph"/>
      </w:pPr>
      <w:r>
        <w:t xml:space="preserve">Not applicable.</w:t>
      </w:r>
    </w:p>
    <w:bookmarkEnd w:id="34"/>
    <w:bookmarkStart w:id="39" w:name="availability-of-data-and-materials"/>
    <w:p>
      <w:pPr>
        <w:pStyle w:val="Heading3"/>
      </w:pPr>
      <w:r>
        <w:t xml:space="preserve">Availability of data and materials</w:t>
      </w:r>
    </w:p>
    <w:p>
      <w:pPr>
        <w:pStyle w:val="FirstParagraph"/>
      </w:pPr>
      <w:r>
        <w:t xml:space="preserve">The datasets analysed during the current study are all public, but they are not all in one</w:t>
      </w:r>
      <w:r>
        <w:t xml:space="preserve"> </w:t>
      </w:r>
      <w:r>
        <w:t xml:space="preserve">archive.</w:t>
      </w:r>
      <w:r>
        <w:t xml:space="preserve"> </w:t>
      </w:r>
      <w:r>
        <w:rPr>
          <w:b/>
          <w:bCs/>
        </w:rPr>
        <w:t xml:space="preserve">No new data were generated for this study.</w:t>
      </w:r>
    </w:p>
    <w:p>
      <w:pPr>
        <w:pStyle w:val="BodyText"/>
      </w:pPr>
      <w:r>
        <w:t xml:space="preserve">Role B, which carries the primary result, is in the Gene Expression Omnibus under accession</w:t>
      </w:r>
      <w:r>
        <w:t xml:space="preserve"> </w:t>
      </w:r>
      <w:r>
        <w:t xml:space="preserve">GSE279162 [7], generated and deposited by Schaff et al. [1]. Five files of</w:t>
      </w:r>
      <w:r>
        <w:t xml:space="preserve"> </w:t>
      </w:r>
      <w:r>
        <w:t xml:space="preserve">their own analysis code, read to reconstruct their preprocessing rules rather than guess at them,</w:t>
      </w:r>
      <w:r>
        <w:t xml:space="preserve"> </w:t>
      </w:r>
      <w:r>
        <w:t xml:space="preserve">are archived at Zenodo [8].</w:t>
      </w:r>
    </w:p>
    <w:p>
      <w:pPr>
        <w:pStyle w:val="BodyText"/>
      </w:pPr>
      <w:r>
        <w:t xml:space="preserve">Role A is split between two places. The sequencing data of the two samples used here are in GEO</w:t>
      </w:r>
      <w:r>
        <w:t xml:space="preserve"> </w:t>
      </w:r>
      <w:r>
        <w:t xml:space="preserve">under accession GSE227151 [6]. The three processed barcode tables the reconstruction</w:t>
      </w:r>
      <w:r>
        <w:t xml:space="preserve"> </w:t>
      </w:r>
      <w:r>
        <w:t xml:space="preserve">needs –</w:t>
      </w:r>
      <w:r>
        <w:t xml:space="preserve"> </w:t>
      </w:r>
      <w:r>
        <w:rPr>
          <w:rStyle w:val="VerbatimChar"/>
        </w:rPr>
        <w:t xml:space="preserve">filtered10XCells.txt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stepThreeStarcodeShavedReads_BC_10X.txt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stepThreeStarcodeShavedReads_BC_gDNA.txt</w:t>
      </w:r>
      <w:r>
        <w:t xml:space="preserve"> </w:t>
      </w:r>
      <w:r>
        <w:t xml:space="preserve">– are</w:t>
      </w:r>
      <w:r>
        <w:t xml:space="preserve"> </w:t>
      </w:r>
      <w:r>
        <w:rPr>
          <w:b/>
          <w:bCs/>
        </w:rPr>
        <w:t xml:space="preserve">not part of that GEO deposit</w:t>
      </w:r>
      <w:r>
        <w:t xml:space="preserve">, whose only</w:t>
      </w:r>
      <w:r>
        <w:t xml:space="preserve"> </w:t>
      </w:r>
      <w:r>
        <w:t xml:space="preserve">supplementary file is</w:t>
      </w:r>
      <w:r>
        <w:t xml:space="preserve"> </w:t>
      </w:r>
      <w:r>
        <w:rPr>
          <w:rStyle w:val="VerbatimChar"/>
        </w:rPr>
        <w:t xml:space="preserve">GSE227151_RAW.tar</w:t>
      </w:r>
      <w:r>
        <w:t xml:space="preserve">. The original authors published them in a shared data</w:t>
      </w:r>
      <w:r>
        <w:t xml:space="preserve"> </w:t>
      </w:r>
      <w:r>
        <w:t xml:space="preserve">package [9], linked from the key resources table of Jain et al. [10], and they</w:t>
      </w:r>
      <w:r>
        <w:t xml:space="preserve"> </w:t>
      </w:r>
      <w:r>
        <w:t xml:space="preserve">were taken from there on 21 August 2026. The Rewind authors’ two R1 scripts are archived at Zenodo</w:t>
      </w:r>
      <w:r>
        <w:t xml:space="preserve"> </w:t>
      </w:r>
      <w:r>
        <w:t xml:space="preserve">[11].</w:t>
      </w:r>
    </w:p>
    <w:p>
      <w:pPr>
        <w:pStyle w:val="BodyText"/>
      </w:pPr>
      <w:r>
        <w:t xml:space="preserve">A shared folder is not a persistent identifier and may move. The size and SHA-256 of every input</w:t>
      </w:r>
      <w:r>
        <w:t xml:space="preserve"> </w:t>
      </w:r>
      <w:r>
        <w:t xml:space="preserve">file are recorded in the two Stage-22 manifests inside this study’s archive, and the pipeline</w:t>
      </w:r>
      <w:r>
        <w:t xml:space="preserve"> </w:t>
      </w:r>
      <w:r>
        <w:t xml:space="preserve">refuses any file whose bytes differ, so a reader can check whatever copy they obtain against what</w:t>
      </w:r>
      <w:r>
        <w:t xml:space="preserve"> </w:t>
      </w:r>
      <w:r>
        <w:t xml:space="preserve">was analysed here. Those files belong to the original authors and are not redistributed here.</w:t>
      </w:r>
    </w:p>
    <w:p>
      <w:pPr>
        <w:pStyle w:val="BodyText"/>
      </w:pPr>
      <w:r>
        <w:t xml:space="preserve">All analysis code, frozen protocols, stage records, out-of-fold predictions, the serialized</w:t>
      </w:r>
      <w:r>
        <w:t xml:space="preserve"> </w:t>
      </w:r>
      <w:r>
        <w:t xml:space="preserve">predictor and the verification tooling are archived at Zenodo [12] and developed openly on</w:t>
      </w:r>
      <w:r>
        <w:t xml:space="preserve"> </w:t>
      </w:r>
      <w:r>
        <w:t xml:space="preserve">GitHub [13].</w:t>
      </w:r>
    </w:p>
    <w:bookmarkStart w:id="35" w:name="verify-before-reading-anything-else"/>
    <w:p>
      <w:pPr>
        <w:pStyle w:val="Heading4"/>
      </w:pPr>
      <w:r>
        <w:t xml:space="preserve">Verify before reading anything else</w:t>
      </w:r>
    </w:p>
    <w:p>
      <w:pPr>
        <w:pStyle w:val="SourceCode"/>
      </w:pPr>
      <w:r>
        <w:rPr>
          <w:rStyle w:val="VerbatimChar"/>
        </w:rPr>
        <w:t xml:space="preserve">  python experiments/run_gen1_evidence_lock.py --verify</w:t>
      </w:r>
      <w:r>
        <w:br/>
      </w:r>
      <w:r>
        <w:rPr>
          <w:rStyle w:val="VerbatimChar"/>
        </w:rPr>
        <w:t xml:space="preserve">  python experiments/run_gen1_claim_lock.py --verify</w:t>
      </w:r>
      <w:r>
        <w:br/>
      </w:r>
      <w:r>
        <w:rPr>
          <w:rStyle w:val="VerbatimChar"/>
        </w:rPr>
        <w:t xml:space="preserve">  python experiments/run_gen1_manuscript.py --verify</w:t>
      </w:r>
    </w:p>
    <w:p>
      <w:pPr>
        <w:pStyle w:val="FirstParagraph"/>
      </w:pPr>
      <w:r>
        <w:t xml:space="preserve">The first re-hashes every locked artifact and refuses if one has moved. The second does the same</w:t>
      </w:r>
      <w:r>
        <w:t xml:space="preserve"> </w:t>
      </w:r>
      <w:r>
        <w:t xml:space="preserve">for the claim set. Both were shown to refuse a one-bit change before either was issued. The</w:t>
      </w:r>
      <w:r>
        <w:t xml:space="preserve"> </w:t>
      </w:r>
      <w:r>
        <w:t xml:space="preserve">third does the same for this manuscript and the package around it. All three also refuse if the</w:t>
      </w:r>
      <w:r>
        <w:t xml:space="preserve"> </w:t>
      </w:r>
      <w:r>
        <w:t xml:space="preserve">stage that produced the files did not pass.</w:t>
      </w:r>
    </w:p>
    <w:p>
      <w:pPr>
        <w:pStyle w:val="SourceCode"/>
      </w:pPr>
      <w:r>
        <w:rPr>
          <w:rStyle w:val="VerbatimChar"/>
        </w:rPr>
        <w:t xml:space="preserve">  evidence lock digest   4581fce568a8733d53f2e9c5e011b0c2cafc8e0aff5a2b65487b8055eff3a3c2</w:t>
      </w:r>
      <w:r>
        <w:br/>
      </w:r>
      <w:r>
        <w:rPr>
          <w:rStyle w:val="VerbatimChar"/>
        </w:rPr>
        <w:t xml:space="preserve">  claim lock digest      fcd25d3eb37aa9e4b4c973975a54565db0c49dfb60b7cdfea9be6821b4d051de</w:t>
      </w:r>
    </w:p>
    <w:bookmarkEnd w:id="35"/>
    <w:bookmarkStart w:id="36" w:name="licensing"/>
    <w:p>
      <w:pPr>
        <w:pStyle w:val="Heading4"/>
      </w:pPr>
      <w:r>
        <w:t xml:space="preserve">Licensing</w:t>
      </w:r>
    </w:p>
    <w:p>
      <w:pPr>
        <w:pStyle w:val="SourceCode"/>
      </w:pPr>
      <w:r>
        <w:rPr>
          <w:rStyle w:val="VerbatimChar"/>
        </w:rPr>
        <w:t xml:space="preserve">  software and frozen model   PolyForm Noncommercial License 1.0.0</w:t>
      </w:r>
      <w:r>
        <w:br/>
      </w:r>
      <w:r>
        <w:rPr>
          <w:rStyle w:val="VerbatimChar"/>
        </w:rPr>
        <w:t xml:space="preserve">                              SPDX: PolyForm-Noncommercial-1.0.0</w:t>
      </w:r>
      <w:r>
        <w:br/>
      </w:r>
      <w:r>
        <w:rPr>
          <w:rStyle w:val="VerbatimChar"/>
        </w:rPr>
        <w:t xml:space="preserve">  manuscript text and figures CC BY 4.0</w:t>
      </w:r>
      <w:r>
        <w:br/>
      </w:r>
      <w:r>
        <w:rPr>
          <w:rStyle w:val="VerbatimChar"/>
        </w:rPr>
        <w:t xml:space="preserve">  GSE279162, GSE227151        original depositors' terms; NOT relicensed here</w:t>
      </w:r>
    </w:p>
    <w:p>
      <w:pPr>
        <w:pStyle w:val="FirstParagraph"/>
      </w:pPr>
      <w:r>
        <w:t xml:space="preserve">Academic, educational, nonprofit and personal research use requires</w:t>
      </w:r>
      <w:r>
        <w:t xml:space="preserve"> </w:t>
      </w:r>
      <w:r>
        <w:rPr>
          <w:b/>
          <w:bCs/>
        </w:rPr>
        <w:t xml:space="preserve">no permission request,</w:t>
      </w:r>
      <w:r>
        <w:rPr>
          <w:b/>
          <w:bCs/>
        </w:rPr>
        <w:t xml:space="preserve"> </w:t>
      </w:r>
      <w:r>
        <w:rPr>
          <w:b/>
          <w:bCs/>
        </w:rPr>
        <w:t xml:space="preserve">registration, payment or signed agreement</w:t>
      </w:r>
      <w:r>
        <w:t xml:space="preserve">. Any use outside the licence’s permitted noncommercial</w:t>
      </w:r>
      <w:r>
        <w:t xml:space="preserve"> </w:t>
      </w:r>
      <w:r>
        <w:t xml:space="preserve">purposes — including developing or evaluating a commercial product or service, before it has</w:t>
      </w:r>
      <w:r>
        <w:t xml:space="preserve"> </w:t>
      </w:r>
      <w:r>
        <w:t xml:space="preserve">earned any revenue — requires a separate commercial license (</w:t>
      </w:r>
      <w:r>
        <w:rPr>
          <w:rStyle w:val="VerbatimChar"/>
        </w:rPr>
        <w:t xml:space="preserve">COMMERCIAL-LICENSING.md</w:t>
      </w:r>
      <w:r>
        <w:t xml:space="preserve">); where that</w:t>
      </w:r>
      <w:r>
        <w:t xml:space="preserve"> </w:t>
      </w:r>
      <w:r>
        <w:t xml:space="preserve">notice and the licence differ, the licence governs. This is source-available rather than</w:t>
      </w:r>
      <w:r>
        <w:t xml:space="preserve"> </w:t>
      </w:r>
      <w:r>
        <w:t xml:space="preserve">OSI-approved open source, because commercial use is restricted; it is stated here rather than left</w:t>
      </w:r>
      <w:r>
        <w:t xml:space="preserve"> </w:t>
      </w:r>
      <w:r>
        <w:t xml:space="preserve">to be discovered.</w:t>
      </w:r>
    </w:p>
    <w:bookmarkEnd w:id="36"/>
    <w:bookmarkStart w:id="37" w:name="what-is-in-the-repository"/>
    <w:p>
      <w:pPr>
        <w:pStyle w:val="Heading4"/>
      </w:pPr>
      <w:r>
        <w:t xml:space="preserve">What is in the repository</w:t>
      </w:r>
    </w:p>
    <w:p>
      <w:pPr>
        <w:pStyle w:val="FirstParagraph"/>
      </w:pPr>
      <w:r>
        <w:t xml:space="preserve">Benchmark tables, frozen out-of-fold predictions, the serialized model metadata, the prediction API</w:t>
      </w:r>
      <w:r>
        <w:t xml:space="preserve"> </w:t>
      </w:r>
      <w:r>
        <w:t xml:space="preserve">and CLI, the model card and schema, every stage protocol, every stage record, and every executor</w:t>
      </w:r>
      <w:r>
        <w:t xml:space="preserve"> </w:t>
      </w:r>
      <w:r>
        <w:t xml:space="preserve">and contract file. Full inventory and per-file hashes:</w:t>
      </w:r>
      <w:r>
        <w:t xml:space="preserve"> </w:t>
      </w:r>
      <w:r>
        <w:rPr>
          <w:rStyle w:val="VerbatimChar"/>
        </w:rPr>
        <w:t xml:space="preserve">results/evidence_lock/</w:t>
      </w:r>
      <w:r>
        <w:t xml:space="preserve">.</w:t>
      </w:r>
    </w:p>
    <w:bookmarkEnd w:id="37"/>
    <w:bookmarkStart w:id="38" w:name="what-is-not"/>
    <w:p>
      <w:pPr>
        <w:pStyle w:val="Heading4"/>
      </w:pPr>
      <w:r>
        <w:t xml:space="preserve">What is not</w:t>
      </w:r>
    </w:p>
    <w:p>
      <w:pPr>
        <w:pStyle w:val="SourceCode"/>
      </w:pPr>
      <w:r>
        <w:rPr>
          <w:rStyle w:val="VerbatimChar"/>
        </w:rPr>
        <w:t xml:space="preserve">  stage24_w5_artifact.npz   44 MB, gitignored. A fresh clone does NOT contain it. Its hash</w:t>
      </w:r>
      <w:r>
        <w:br/>
      </w:r>
      <w:r>
        <w:rPr>
          <w:rStyle w:val="VerbatimChar"/>
        </w:rPr>
        <w:t xml:space="preserve">                            is locked and it rebuilds in about half a minute:</w:t>
      </w:r>
      <w:r>
        <w:br/>
      </w:r>
      <w:r>
        <w:rPr>
          <w:rStyle w:val="VerbatimChar"/>
        </w:rPr>
        <w:t xml:space="preserve">                              python experiments/run_stage24_gen1_tool.py --stage 24c</w:t>
      </w:r>
      <w:r>
        <w:br/>
      </w:r>
      <w:r>
        <w:rPr>
          <w:rStyle w:val="VerbatimChar"/>
        </w:rPr>
        <w:t xml:space="preserve">                            The Zenodo archive does include it, so an unpacked archive</w:t>
      </w:r>
      <w:r>
        <w:br/>
      </w:r>
      <w:r>
        <w:rPr>
          <w:rStyle w:val="VerbatimChar"/>
        </w:rPr>
        <w:t xml:space="preserve">                            verifies without a rebuild.</w:t>
      </w:r>
      <w:r>
        <w:br/>
      </w:r>
      <w:r>
        <w:rPr>
          <w:rStyle w:val="VerbatimChar"/>
        </w:rPr>
        <w:t xml:space="preserve">  raw sequencing data       GSE279162, GSE227151. Not vendored. The size and SHA-256 of every</w:t>
      </w:r>
      <w:r>
        <w:br/>
      </w:r>
      <w:r>
        <w:rPr>
          <w:rStyle w:val="VerbatimChar"/>
        </w:rPr>
        <w:t xml:space="preserve">                            input file are recorded, and the pipeline rebuilds from the public</w:t>
      </w:r>
      <w:r>
        <w:br/>
      </w:r>
      <w:r>
        <w:rPr>
          <w:rStyle w:val="VerbatimChar"/>
        </w:rPr>
        <w:t xml:space="preserve">                            files, refusing on any byte that differs.</w:t>
      </w:r>
    </w:p>
    <w:p>
      <w:pPr>
        <w:pStyle w:val="FirstParagraph"/>
      </w:pPr>
      <w:r>
        <w:t xml:space="preserve">Neither is a gap any longer. The artifact is one command away, and a fresh clone rebuilt the</w:t>
      </w:r>
      <w:r>
        <w:t xml:space="preserve"> </w:t>
      </w:r>
      <w:r>
        <w:t xml:space="preserve">clone pseudobulk and the model byte for byte from the public files and recovered the observed</w:t>
      </w:r>
      <w:r>
        <w:t xml:space="preserve"> </w:t>
      </w:r>
      <w:r>
        <w:t xml:space="preserve">statistic exactly (</w:t>
      </w:r>
      <w:r>
        <w:rPr>
          <w:rStyle w:val="VerbatimChar"/>
        </w:rPr>
        <w:t xml:space="preserve">REPRODUCIBILITY.md</w:t>
      </w:r>
      <w:r>
        <w:t xml:space="preserve"> </w:t>
      </w:r>
      <w:r>
        <w:t xml:space="preserve">§2.1).</w:t>
      </w:r>
    </w:p>
    <w:p>
      <w:pPr>
        <w:pStyle w:val="BodyText"/>
      </w:pPr>
      <w:r>
        <w:t xml:space="preserve">Full reproduction instructions, environment and runtimes:</w:t>
      </w:r>
      <w:r>
        <w:t xml:space="preserve"> </w:t>
      </w:r>
      <w:r>
        <w:rPr>
          <w:rStyle w:val="VerbatimChar"/>
        </w:rPr>
        <w:t xml:space="preserve">results/manuscript/REPRODUCIBILITY.md</w:t>
      </w:r>
      <w:r>
        <w:t xml:space="preserve">.</w:t>
      </w:r>
    </w:p>
    <w:bookmarkEnd w:id="38"/>
    <w:bookmarkEnd w:id="39"/>
    <w:bookmarkStart w:id="40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HA holds the copyright in CellFate-Rx and offers commercial licences for it. HA has received no</w:t>
      </w:r>
      <w:r>
        <w:t xml:space="preserve"> </w:t>
      </w:r>
      <w:r>
        <w:t xml:space="preserve">income from it to date.</w:t>
      </w:r>
    </w:p>
    <w:bookmarkEnd w:id="40"/>
    <w:bookmarkStart w:id="41" w:name="funding"/>
    <w:p>
      <w:pPr>
        <w:pStyle w:val="Heading3"/>
      </w:pPr>
      <w:r>
        <w:t xml:space="preserve">Funding</w:t>
      </w:r>
    </w:p>
    <w:p>
      <w:pPr>
        <w:pStyle w:val="FirstParagraph"/>
      </w:pPr>
      <w:r>
        <w:t xml:space="preserve">This work received no external funding.</w:t>
      </w:r>
    </w:p>
    <w:bookmarkEnd w:id="41"/>
    <w:bookmarkStart w:id="42" w:name="authors-contributions"/>
    <w:p>
      <w:pPr>
        <w:pStyle w:val="Heading3"/>
      </w:pPr>
      <w:r>
        <w:t xml:space="preserve">Authors’ contributions</w:t>
      </w:r>
    </w:p>
    <w:p>
      <w:pPr>
        <w:pStyle w:val="FirstParagraph"/>
      </w:pPr>
      <w:r>
        <w:t xml:space="preserve">HA conceived the study, set its logic and direction, and directed the AI-assisted implementation</w:t>
      </w:r>
      <w:r>
        <w:t xml:space="preserve"> </w:t>
      </w:r>
      <w:r>
        <w:t xml:space="preserve">and documentation described in Methods. The author read and approved the final manuscript.</w:t>
      </w:r>
    </w:p>
    <w:bookmarkEnd w:id="42"/>
    <w:bookmarkStart w:id="43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We thank Schaff et al. for generating and openly depositing GSE279162, without which this</w:t>
      </w:r>
      <w:r>
        <w:t xml:space="preserve"> </w:t>
      </w:r>
      <w:r>
        <w:t xml:space="preserve">reanalysis would not be possible.</w:t>
      </w:r>
    </w:p>
    <w:bookmarkEnd w:id="43"/>
    <w:bookmarkStart w:id="44" w:name="authors-information"/>
    <w:p>
      <w:pPr>
        <w:pStyle w:val="Heading3"/>
      </w:pPr>
      <w:r>
        <w:t xml:space="preserve">Authors’ information</w:t>
      </w:r>
    </w:p>
    <w:p>
      <w:pPr>
        <w:pStyle w:val="FirstParagraph"/>
      </w:pPr>
      <w:r>
        <w:t xml:space="preserve">Not applicable.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2"/>
        </w:numPr>
      </w:pPr>
      <w:r>
        <w:t xml:space="preserve">Schaff DL, White PE, Cote CJ, Watterson GE, Lin KZ, Fasse AJ, et al.</w:t>
      </w:r>
      <w:r>
        <w:t xml:space="preserve"> </w:t>
      </w:r>
      <w:r>
        <w:t xml:space="preserve">Pre-existing cell states predict resistance to multiple treatments.</w:t>
      </w:r>
      <w:r>
        <w:t xml:space="preserve"> </w:t>
      </w:r>
      <w:r>
        <w:t xml:space="preserve">Cell Genomics. 2026;6(6):101191. doi:10.1016/j.xgen.2026.101191</w:t>
      </w:r>
    </w:p>
    <w:p>
      <w:pPr>
        <w:numPr>
          <w:ilvl w:val="0"/>
          <w:numId w:val="1002"/>
        </w:numPr>
      </w:pPr>
      <w:r>
        <w:t xml:space="preserve">Shaffer SM, Dunagin MC, Torborg SR, Torre EA, Emert B, et al.</w:t>
      </w:r>
      <w:r>
        <w:t xml:space="preserve"> </w:t>
      </w:r>
      <w:r>
        <w:t xml:space="preserve">Rare cell variability and drug-induced reprogramming as a mode of cancer drug resistance.</w:t>
      </w:r>
      <w:r>
        <w:t xml:space="preserve"> </w:t>
      </w:r>
      <w:r>
        <w:t xml:space="preserve">Nature. 2017;546(7658):431-5. doi:10.1038/nature22794</w:t>
      </w:r>
    </w:p>
    <w:p>
      <w:pPr>
        <w:numPr>
          <w:ilvl w:val="0"/>
          <w:numId w:val="1002"/>
        </w:numPr>
      </w:pPr>
      <w:r>
        <w:t xml:space="preserve">Emert BL, Cote CJ, Torre EA, Dardani IP, Jiang CL, Jain N, et al.</w:t>
      </w:r>
      <w:r>
        <w:t xml:space="preserve"> </w:t>
      </w:r>
      <w:r>
        <w:t xml:space="preserve">Variability within rare cell states enables multiple paths toward drug resistance.</w:t>
      </w:r>
      <w:r>
        <w:t xml:space="preserve"> </w:t>
      </w:r>
      <w:r>
        <w:t xml:space="preserve">Nat Biotechnol. 2021;39(7):865-76. doi:10.1038/s41587-021-00837-3</w:t>
      </w:r>
    </w:p>
    <w:p>
      <w:pPr>
        <w:numPr>
          <w:ilvl w:val="0"/>
          <w:numId w:val="1002"/>
        </w:numPr>
      </w:pPr>
      <w:r>
        <w:t xml:space="preserve">Goyal Y, Busch GT, Pillai M, Li J, Boe RH, et al.</w:t>
      </w:r>
      <w:r>
        <w:t xml:space="preserve"> </w:t>
      </w:r>
      <w:r>
        <w:t xml:space="preserve">Diverse clonal fates emerge upon drug treatment of homogeneous cancer cells.</w:t>
      </w:r>
      <w:r>
        <w:t xml:space="preserve"> </w:t>
      </w:r>
      <w:r>
        <w:t xml:space="preserve">Nature. 2023;620(7974):651-9. doi:10.1038/s41586-023-06342-8</w:t>
      </w:r>
    </w:p>
    <w:p>
      <w:pPr>
        <w:numPr>
          <w:ilvl w:val="0"/>
          <w:numId w:val="1002"/>
        </w:numPr>
      </w:pPr>
      <w:r>
        <w:t xml:space="preserve">Kapoor S, Narayanan A.</w:t>
      </w:r>
      <w:r>
        <w:t xml:space="preserve"> </w:t>
      </w:r>
      <w:r>
        <w:t xml:space="preserve">Leakage and the reproducibility crisis in machine-learning-based science.</w:t>
      </w:r>
      <w:r>
        <w:t xml:space="preserve"> </w:t>
      </w:r>
      <w:r>
        <w:t xml:space="preserve">Patterns. 2023;4(9):100804. doi:10.1016/j.patter.2023.100804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Retrospective identification of cell-intrinsic factors that mark pluripotency potential</w:t>
      </w:r>
      <w:r>
        <w:t xml:space="preserve"> </w:t>
      </w:r>
      <w:r>
        <w:t xml:space="preserve">in rare somatic cells [dataset]. Gene Expression Omnibus, GSE227151. 2023.</w:t>
      </w:r>
      <w:r>
        <w:t xml:space="preserve"> </w:t>
      </w:r>
      <w:r>
        <w:t xml:space="preserve">https://www.ncbi.nlm.nih.gov/geo/query/acc.cgi?acc=GSE227151 Accessed 21 Aug 2026.</w:t>
      </w:r>
    </w:p>
    <w:p>
      <w:pPr>
        <w:numPr>
          <w:ilvl w:val="0"/>
          <w:numId w:val="1002"/>
        </w:numPr>
      </w:pPr>
      <w:r>
        <w:t xml:space="preserve">Schaff DL, White PE, Cote CJ, Watterson GE, Lin KZ, Fasse AJ, et al.</w:t>
      </w:r>
      <w:r>
        <w:t xml:space="preserve"> </w:t>
      </w:r>
      <w:r>
        <w:t xml:space="preserve">Pre-existing cell states predict resistance to multiple treatments [dataset].</w:t>
      </w:r>
      <w:r>
        <w:t xml:space="preserve"> </w:t>
      </w:r>
      <w:r>
        <w:t xml:space="preserve">Gene Expression Omnibus, GSE279162. 2024.</w:t>
      </w:r>
      <w:r>
        <w:t xml:space="preserve"> </w:t>
      </w:r>
      <w:r>
        <w:t xml:space="preserve">https://www.ncbi.nlm.nih.gov/geo/query/acc.cgi?acc=GSE279162 Accessed 12 Jul 2026.</w:t>
      </w:r>
    </w:p>
    <w:p>
      <w:pPr>
        <w:numPr>
          <w:ilvl w:val="0"/>
          <w:numId w:val="1002"/>
        </w:numPr>
      </w:pPr>
      <w:r>
        <w:t xml:space="preserve">Schaff DL (dylanschaff).</w:t>
      </w:r>
      <w:r>
        <w:t xml:space="preserve"> </w:t>
      </w:r>
      <w:r>
        <w:t xml:space="preserve">dylanschaff/Schaff_manuscript: Schaff_manuscript_first_submission [software].</w:t>
      </w:r>
      <w:r>
        <w:t xml:space="preserve"> </w:t>
      </w:r>
      <w:r>
        <w:t xml:space="preserve">Zenodo. 2024. doi:10.5281/zenodo.13935305</w:t>
      </w:r>
      <w:r>
        <w:t xml:space="preserve"> </w:t>
      </w:r>
      <w:r>
        <w:t xml:space="preserve">https://doi.org/10.5281/zenodo.13935305 Accessed 21 Aug 2026.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Processed barcode data for iPSC Rewind, GSE227151 [data package].</w:t>
      </w:r>
      <w:r>
        <w:t xml:space="preserve"> </w:t>
      </w:r>
      <w:r>
        <w:t xml:space="preserve">filtered10XCells.txt, stepThreeStarcodeShavedReads_BC_10X.txt and</w:t>
      </w:r>
      <w:r>
        <w:t xml:space="preserve"> </w:t>
      </w:r>
      <w:r>
        <w:t xml:space="preserve">stepThreeStarcodeShavedReads_BC_gDNA.txt for GSE227151. Dropbox. 2024.</w:t>
      </w:r>
      <w:r>
        <w:t xml:space="preserve"> </w:t>
      </w:r>
      <w:r>
        <w:t xml:space="preserve">https://www.dropbox.com/sh/ulu6728tcp49dv2/AAAPwLYQiVLloH_JL38lvTj6a?dl=0</w:t>
      </w:r>
      <w:r>
        <w:t xml:space="preserve"> </w:t>
      </w:r>
      <w:r>
        <w:t xml:space="preserve">Accessed 21 Aug 2026. Linked from the key resources table of Jain et al.</w:t>
      </w:r>
    </w:p>
    <w:p>
      <w:pPr>
        <w:numPr>
          <w:ilvl w:val="0"/>
          <w:numId w:val="1002"/>
        </w:numPr>
      </w:pPr>
      <w:r>
        <w:t xml:space="preserve">Jain N, Goyal Y, Dunagin MC, Cote CJ, Mellis IA, Emert B, et al.</w:t>
      </w:r>
      <w:r>
        <w:t xml:space="preserve"> </w:t>
      </w:r>
      <w:r>
        <w:t xml:space="preserve">Retrospective identification of cell-intrinsic factors that mark pluripotency potential</w:t>
      </w:r>
      <w:r>
        <w:t xml:space="preserve"> </w:t>
      </w:r>
      <w:r>
        <w:t xml:space="preserve">in rare somatic cells. Cell Syst. 2024;15(2):109-133.e10.</w:t>
      </w:r>
      <w:r>
        <w:t xml:space="preserve"> </w:t>
      </w:r>
      <w:r>
        <w:t xml:space="preserve">doi:10.1016/j.cels.2024.01.001</w:t>
      </w:r>
    </w:p>
    <w:p>
      <w:pPr>
        <w:numPr>
          <w:ilvl w:val="0"/>
          <w:numId w:val="1002"/>
        </w:numPr>
      </w:pPr>
      <w:r>
        <w:t xml:space="preserve">Jain N, et al. (goldengopherforlife).</w:t>
      </w:r>
      <w:r>
        <w:t xml:space="preserve"> </w:t>
      </w:r>
      <w:r>
        <w:t xml:space="preserve">arjunrajlaboratory/iPSC_Rewind: Final Release [software].</w:t>
      </w:r>
      <w:r>
        <w:t xml:space="preserve"> </w:t>
      </w:r>
      <w:r>
        <w:t xml:space="preserve">Zenodo. 2024. doi:10.5281/zenodo.7707418</w:t>
      </w:r>
      <w:r>
        <w:t xml:space="preserve"> </w:t>
      </w:r>
      <w:r>
        <w:t xml:space="preserve">https://doi.org/10.5281/zenodo.7707418 Accessed 21 Aug 2026.</w:t>
      </w:r>
    </w:p>
    <w:p>
      <w:pPr>
        <w:numPr>
          <w:ilvl w:val="0"/>
          <w:numId w:val="1002"/>
        </w:numPr>
      </w:pPr>
      <w:r>
        <w:t xml:space="preserve">Aviv H.</w:t>
      </w:r>
      <w:r>
        <w:t xml:space="preserve"> </w:t>
      </w:r>
      <w:r>
        <w:t xml:space="preserve">CellFate-Rx Gen-1: frozen model and reproducibility artifacts, version 1.0.1 [software].</w:t>
      </w:r>
      <w:r>
        <w:t xml:space="preserve"> </w:t>
      </w:r>
      <w:r>
        <w:t xml:space="preserve">Zenodo. 2026. doi:10.5281/zenodo.22769562</w:t>
      </w:r>
      <w:r>
        <w:t xml:space="preserve"> </w:t>
      </w:r>
      <w:r>
        <w:t xml:space="preserve">https://doi.org/10.5281/zenodo.22769562 Accessed 19 Sep 2026.</w:t>
      </w:r>
    </w:p>
    <w:p>
      <w:pPr>
        <w:numPr>
          <w:ilvl w:val="0"/>
          <w:numId w:val="1002"/>
        </w:numPr>
      </w:pPr>
      <w:r>
        <w:t xml:space="preserve">Aviv H.</w:t>
      </w:r>
      <w:r>
        <w:t xml:space="preserve"> </w:t>
      </w:r>
      <w:r>
        <w:t xml:space="preserve">CellFate-Rx: cellular outcomes of perturbations [software repository].</w:t>
      </w:r>
      <w:r>
        <w:t xml:space="preserve"> </w:t>
      </w:r>
      <w:r>
        <w:t xml:space="preserve">GitHub. 2026. Archived at doi:10.5281/zenodo.22769562</w:t>
      </w:r>
      <w:r>
        <w:t xml:space="preserve"> </w:t>
      </w:r>
      <w:r>
        <w:t xml:space="preserve">https://github.com/hagai-tyty/Cellular-Outcomes-of-Perturbations Accessed 18 Sep 2026.</w:t>
      </w:r>
    </w:p>
    <w:p>
      <w:r>
        <w:pict>
          <v:rect style="width:0;height:1.5pt" o:hralign="center" o:hrstd="t" o:hr="t"/>
        </w:pict>
      </w:r>
    </w:p>
    <w:bookmarkEnd w:id="46"/>
    <w:bookmarkStart w:id="47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t xml:space="preserve">Figures are generated from the locked result files by</w:t>
      </w:r>
      <w:r>
        <w:t xml:space="preserve"> </w:t>
      </w:r>
      <w:r>
        <w:rPr>
          <w:rStyle w:val="VerbatimChar"/>
        </w:rPr>
        <w:t xml:space="preserve">python experiments/make_gen1_figures.py</w:t>
      </w:r>
      <w:r>
        <w:t xml:space="preserve">; no number in them is typed by hand.</w:t>
      </w:r>
    </w:p>
    <w:p>
      <w:pPr>
        <w:pStyle w:val="BodyText"/>
      </w:pPr>
      <w:r>
        <w:rPr>
          <w:b/>
          <w:bCs/>
        </w:rPr>
        <w:t xml:space="preserve">Figure 1. Clone-level prospective design and evaluable population.</w:t>
      </w:r>
      <w:r>
        <w:t xml:space="preserve"> </w:t>
      </w:r>
      <w:r>
        <w:t xml:space="preserve">The design in WM989, and</w:t>
      </w:r>
      <w:r>
        <w:t xml:space="preserve"> </w:t>
      </w:r>
      <w:r>
        <w:t xml:space="preserve">the funnel from all clones to the evaluable subset.</w:t>
      </w:r>
    </w:p>
    <w:p>
      <w:pPr>
        <w:pStyle w:val="BodyText"/>
      </w:pPr>
      <w:r>
        <w:rPr>
          <w:b/>
          <w:bCs/>
        </w:rPr>
        <w:t xml:space="preserve">Figure 2. Preregistered clone-specific ranking result.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Ranking score by model: W1, W4</w:t>
      </w:r>
      <w:r>
        <w:t xml:space="preserve"> </w:t>
      </w:r>
      <w:r>
        <w:t xml:space="preserve">and W5.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observed ΔRANK against 1,000 full-refit permutations.</w:t>
      </w:r>
    </w:p>
    <w:p>
      <w:pPr>
        <w:pStyle w:val="BodyText"/>
      </w:pPr>
      <w:r>
        <w:rPr>
          <w:b/>
          <w:bCs/>
        </w:rPr>
        <w:t xml:space="preserve">Figure 3. Robustness across strata, and the top-choice diagnostic.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ΔRANK by held-out</w:t>
      </w:r>
      <w:r>
        <w:t xml:space="preserve"> </w:t>
      </w:r>
      <w:r>
        <w:t xml:space="preserve">fold.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ΔRANK by pretreatment clone depth.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Choosing each clone’s lowest predicted</w:t>
      </w:r>
      <w:r>
        <w:t xml:space="preserve"> </w:t>
      </w:r>
      <w:r>
        <w:t xml:space="preserve">detection score under W5 and W4 — a consistency check, not a significance test.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9-0004-4503-66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9-0004-4503-66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2026-09-19T17:30:17Z</dcterms:created>
  <dcterms:modified xsi:type="dcterms:W3CDTF">2026-09-19T17:30:17Z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