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dd655cc7656b286f3a2d71ac3680264d31bfa2b4a1865b3864e300795fb824be</w:t>
      </w:r>
      <w:r>
        <w:br/>
      </w:r>
      <w:r>
        <w:rPr>
          <w:rStyle w:val="VerbatimChar"/>
        </w:rPr>
        <w:t xml:space="preserve">  claim lock      a748a55e540a4652e00af27ec93acc601ae0b88b630cee0bdc0f43ea953b25af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[3];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[4];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[5];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[6].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[2].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SourceCode"/>
      </w:pPr>
      <w:r>
        <w:rPr>
          <w:rStyle w:val="VerbatimChar"/>
        </w:rPr>
        <w:t xml:space="preserve">  W1   B + U                nuisance and condition identity only</w:t>
      </w:r>
      <w:r>
        <w:br/>
      </w:r>
      <w:r>
        <w:rPr>
          <w:rStyle w:val="VerbatimChar"/>
        </w:rPr>
        <w:t xml:space="preserve">  W4   X + B + U            plus an additive expression term</w:t>
      </w:r>
      <w:r>
        <w:br/>
      </w:r>
      <w:r>
        <w:rPr>
          <w:rStyle w:val="VerbatimChar"/>
        </w:rPr>
        <w:t xml:space="preserve">  W5   X + B + U + X*U      plus an explicit state-by-condition interaction</w:t>
      </w:r>
    </w:p>
    <w:p>
      <w:pPr>
        <w:pStyle w:val="FirstParagraph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use-of-ai-assistance"/>
    <w:p>
      <w:pPr>
        <w:pStyle w:val="Heading3"/>
      </w:pPr>
      <w:r>
        <w:t xml:space="preserve">Use of AI assistance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SourceCode"/>
      </w:pPr>
      <w:r>
        <w:rPr>
          <w:rStyle w:val="VerbatimChar"/>
        </w:rPr>
        <w:t xml:space="preserve">  R(W1)   0.692654      nuisance + condition</w:t>
      </w:r>
      <w:r>
        <w:br/>
      </w:r>
      <w:r>
        <w:rPr>
          <w:rStyle w:val="VerbatimChar"/>
        </w:rPr>
        <w:t xml:space="preserve">  R(W4)   0.692176      + additive X</w:t>
      </w:r>
      <w:r>
        <w:br/>
      </w:r>
      <w:r>
        <w:rPr>
          <w:rStyle w:val="VerbatimChar"/>
        </w:rPr>
        <w:t xml:space="preserve">  R(W5)   0.743781      + explicit X x U</w:t>
      </w:r>
      <w:r>
        <w:br/>
      </w:r>
      <w:r>
        <w:br/>
      </w:r>
      <w:r>
        <w:rPr>
          <w:rStyle w:val="VerbatimChar"/>
        </w:rPr>
        <w:t xml:space="preserve">  delta_RANK   +0.051605     CI95 [+0.037197, +0.065571]</w:t>
      </w:r>
    </w:p>
    <w:p>
      <w:pPr>
        <w:pStyle w:val="FirstParagraph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SourceCode"/>
      </w:pPr>
      <w:r>
        <w:rPr>
          <w:rStyle w:val="VerbatimChar"/>
        </w:rPr>
        <w:t xml:space="preserve">  null p95                    0.008672</w:t>
      </w:r>
      <w:r>
        <w:br/>
      </w:r>
      <w:r>
        <w:rPr>
          <w:rStyle w:val="VerbatimChar"/>
        </w:rPr>
        <w:t xml:space="preserve">  observed / null p95         6.0x</w:t>
      </w:r>
      <w:r>
        <w:br/>
      </w:r>
      <w:r>
        <w:rPr>
          <w:rStyle w:val="VerbatimChar"/>
        </w:rPr>
        <w:t xml:space="preserve">  observed vs null mean       11.8 null standard deviations above it</w:t>
      </w:r>
      <w:r>
        <w:br/>
      </w:r>
      <w:r>
        <w:rPr>
          <w:rStyle w:val="VerbatimChar"/>
        </w:rPr>
        <w:t xml:space="preserve">  largest of 1,000 draws      0.013722      -- the observed value exceeds EVERY null draw</w:t>
      </w:r>
      <w:r>
        <w:br/>
      </w:r>
      <w:r>
        <w:rPr>
          <w:rStyle w:val="VerbatimChar"/>
        </w:rPr>
        <w:t xml:space="preserve">  draws reaching observed     0 of 1000 full-refit permutations</w:t>
      </w:r>
    </w:p>
    <w:p>
      <w:pPr>
        <w:pStyle w:val="FirstParagraph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SourceCode"/>
      </w:pPr>
      <w:r>
        <w:rPr>
          <w:rStyle w:val="VerbatimChar"/>
        </w:rPr>
        <w:t xml:space="preserve">  BY OUTER FOLD                     BY PRETREATMENT DEPTH</w:t>
      </w:r>
      <w:r>
        <w:br/>
      </w:r>
      <w:r>
        <w:rPr>
          <w:rStyle w:val="VerbatimChar"/>
        </w:rPr>
        <w:t xml:space="preserve">    fold 0   +0.0435                  1 cell     +0.0535</w:t>
      </w:r>
      <w:r>
        <w:br/>
      </w:r>
      <w:r>
        <w:rPr>
          <w:rStyle w:val="VerbatimChar"/>
        </w:rPr>
        <w:t xml:space="preserve">    fold 1   +0.0548                  2 cells    +0.0528</w:t>
      </w:r>
      <w:r>
        <w:br/>
      </w:r>
      <w:r>
        <w:rPr>
          <w:rStyle w:val="VerbatimChar"/>
        </w:rPr>
        <w:t xml:space="preserve">    fold 2   +0.0658                  3-4        +0.0314</w:t>
      </w:r>
      <w:r>
        <w:br/>
      </w:r>
      <w:r>
        <w:rPr>
          <w:rStyle w:val="VerbatimChar"/>
        </w:rPr>
        <w:t xml:space="preserve">    fold 3   +0.0506                  5-9        +0.0462</w:t>
      </w:r>
      <w:r>
        <w:br/>
      </w:r>
      <w:r>
        <w:rPr>
          <w:rStyle w:val="VerbatimChar"/>
        </w:rPr>
        <w:t xml:space="preserve">    fold 4   +0.0435                  10+        +0.0779</w:t>
      </w:r>
    </w:p>
    <w:p>
      <w:pPr>
        <w:pStyle w:val="FirstParagraph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SourceCode"/>
      </w:pPr>
      <w:r>
        <w:rPr>
          <w:rStyle w:val="VerbatimChar"/>
        </w:rPr>
        <w:t xml:space="preserve">  delta_TOP1   +0.115471    CI95 [+0.082960, +0.145740]</w:t>
      </w:r>
    </w:p>
    <w:p>
      <w:pPr>
        <w:pStyle w:val="FirstParagraph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6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40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 analysed here is publicly available from the Gene Expression Omnibus under accession</w:t>
      </w:r>
      <w:r>
        <w:t xml:space="preserve"> </w:t>
      </w:r>
      <w:r>
        <w:t xml:space="preserve">GSE279162, generated and deposited by Schaff et al. [1]. Supporting Role-A evidence uses GSE227151.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Zenodo, DOI</w:t>
      </w:r>
      <w:r>
        <w:t xml:space="preserve"> </w:t>
      </w:r>
      <w:hyperlink r:id="rId35">
        <w:r>
          <w:rPr>
            <w:rStyle w:val="Hyperlink"/>
          </w:rPr>
          <w:t xml:space="preserve">10.5281/zenodo.22769563</w:t>
        </w:r>
      </w:hyperlink>
      <w:r>
        <w:t xml:space="preserve">, and developed openly at</w:t>
      </w:r>
      <w:r>
        <w:t xml:space="preserve"> </w:t>
      </w:r>
      <w:r>
        <w:t xml:space="preserve">https://github.com/hagai-tyty/Cellular-Outcomes-of-Perturbations.</w:t>
      </w:r>
    </w:p>
    <w:bookmarkStart w:id="36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dd655cc7656b286f3a2d71ac3680264d31bfa2b4a1865b3864e300795fb824be</w:t>
      </w:r>
      <w:r>
        <w:br/>
      </w:r>
      <w:r>
        <w:rPr>
          <w:rStyle w:val="VerbatimChar"/>
        </w:rPr>
        <w:t xml:space="preserve">  claim lock digest      a748a55e540a4652e00af27ec93acc601ae0b88b630cee0bdc0f43ea953b25af</w:t>
      </w:r>
    </w:p>
    <w:bookmarkEnd w:id="36"/>
    <w:bookmarkStart w:id="37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7"/>
    <w:bookmarkStart w:id="38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8"/>
    <w:bookmarkStart w:id="39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9"/>
    <w:bookmarkEnd w:id="40"/>
    <w:bookmarkStart w:id="41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The author holds the copyright in CellFate-Rx and offers commercial licences for it. The author has</w:t>
      </w:r>
      <w:r>
        <w:t xml:space="preserve"> </w:t>
      </w:r>
      <w:r>
        <w:t xml:space="preserve">received no income from it to date.</w:t>
      </w:r>
    </w:p>
    <w:bookmarkEnd w:id="41"/>
    <w:bookmarkStart w:id="42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2"/>
    <w:bookmarkStart w:id="43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H.A. conceived the study, set its logic and direction, and directed the AI-assisted implementation</w:t>
      </w:r>
      <w:r>
        <w:t xml:space="preserve"> </w:t>
      </w:r>
      <w:r>
        <w:t xml:space="preserve">and documentation described in Methods. H.A. reviewed the work and approved the final manuscript.</w:t>
      </w:r>
    </w:p>
    <w:bookmarkEnd w:id="43"/>
    <w:bookmarkStart w:id="44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4"/>
    <w:bookmarkStart w:id="45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SourceCode"/>
      </w:pPr>
      <w:r>
        <w:rPr>
          <w:rStyle w:val="VerbatimChar"/>
        </w:rPr>
        <w:t xml:space="preserve">[1] Schaff DL, White PE, Cote CJ, Watterson GE, Lin KZ, Fasse AJ, Zhang NR, Shaffer SM.</w:t>
      </w:r>
      <w:r>
        <w:br/>
      </w:r>
      <w:r>
        <w:rPr>
          <w:rStyle w:val="VerbatimChar"/>
        </w:rPr>
        <w:t xml:space="preserve">    Pre-existing cell states predict resistance to multiple treatments.</w:t>
      </w:r>
      <w:r>
        <w:br/>
      </w:r>
      <w:r>
        <w:rPr>
          <w:rStyle w:val="VerbatimChar"/>
        </w:rPr>
        <w:t xml:space="preserve">    Cell Genomics 6(6):101191, 2026.  doi:10.1016/j.xgen.2026.101191   PMID 41916275</w:t>
      </w:r>
      <w:r>
        <w:br/>
      </w:r>
      <w:r>
        <w:rPr>
          <w:rStyle w:val="VerbatimChar"/>
        </w:rPr>
        <w:t xml:space="preserve">    Data: GEO GSE279162</w:t>
      </w:r>
      <w:r>
        <w:br/>
      </w:r>
      <w:r>
        <w:br/>
      </w:r>
      <w:r>
        <w:rPr>
          <w:rStyle w:val="VerbatimChar"/>
        </w:rPr>
        <w:t xml:space="preserve">[2] GEO GSE227151 -- Retrospective identification of cell-intrinsic factors that mark</w:t>
      </w:r>
      <w:r>
        <w:br/>
      </w:r>
      <w:r>
        <w:rPr>
          <w:rStyle w:val="VerbatimChar"/>
        </w:rPr>
        <w:t xml:space="preserve">    pluripotency potential in rare somatic cells (scRNA-seq), human hiF-T fibroblasts.</w:t>
      </w:r>
      <w:r>
        <w:br/>
      </w:r>
      <w:r>
        <w:br/>
      </w:r>
      <w:r>
        <w:rPr>
          <w:rStyle w:val="VerbatimChar"/>
        </w:rPr>
        <w:t xml:space="preserve">[3] Shaffer SM, Dunagin MC, Torborg SR, Torre EA, Emert B, et al.</w:t>
      </w:r>
      <w:r>
        <w:br/>
      </w:r>
      <w:r>
        <w:rPr>
          <w:rStyle w:val="VerbatimChar"/>
        </w:rPr>
        <w:t xml:space="preserve">    Rare cell variability and drug-induced reprogramming as a mode of cancer drug resistance.</w:t>
      </w:r>
      <w:r>
        <w:br/>
      </w:r>
      <w:r>
        <w:rPr>
          <w:rStyle w:val="VerbatimChar"/>
        </w:rPr>
        <w:t xml:space="preserve">    Nature 546(7658):431-435, 2017.  doi:10.1038/nature22794   PMID 28607484</w:t>
      </w:r>
      <w:r>
        <w:br/>
      </w:r>
      <w:r>
        <w:br/>
      </w:r>
      <w:r>
        <w:rPr>
          <w:rStyle w:val="VerbatimChar"/>
        </w:rPr>
        <w:t xml:space="preserve">[4] Emert BL, Cote CJ, Torre EA, Dardani IP, Jiang CL, Jain N, Shaffer SM, Raj A.</w:t>
      </w:r>
      <w:r>
        <w:br/>
      </w:r>
      <w:r>
        <w:rPr>
          <w:rStyle w:val="VerbatimChar"/>
        </w:rPr>
        <w:t xml:space="preserve">    Variability within rare cell states enables multiple paths toward drug resistance.</w:t>
      </w:r>
      <w:r>
        <w:br/>
      </w:r>
      <w:r>
        <w:rPr>
          <w:rStyle w:val="VerbatimChar"/>
        </w:rPr>
        <w:t xml:space="preserve">    Nature Biotechnology 39(7):865-876, 2021.  doi:10.1038/s41587-021-00837-3   PMID 33619394</w:t>
      </w:r>
      <w:r>
        <w:br/>
      </w:r>
      <w:r>
        <w:br/>
      </w:r>
      <w:r>
        <w:rPr>
          <w:rStyle w:val="VerbatimChar"/>
        </w:rPr>
        <w:t xml:space="preserve">[5] Goyal Y, Busch GT, Pillai M, Li J, Boe RH, et al.</w:t>
      </w:r>
      <w:r>
        <w:br/>
      </w:r>
      <w:r>
        <w:rPr>
          <w:rStyle w:val="VerbatimChar"/>
        </w:rPr>
        <w:t xml:space="preserve">    Diverse clonal fates emerge upon drug treatment of homogeneous cancer cells.</w:t>
      </w:r>
      <w:r>
        <w:br/>
      </w:r>
      <w:r>
        <w:rPr>
          <w:rStyle w:val="VerbatimChar"/>
        </w:rPr>
        <w:t xml:space="preserve">    Nature 620(7974):651-659, 2023.  doi:10.1038/s41586-023-06342-8   PMID 37468627</w:t>
      </w:r>
      <w:r>
        <w:br/>
      </w:r>
      <w:r>
        <w:br/>
      </w:r>
      <w:r>
        <w:rPr>
          <w:rStyle w:val="VerbatimChar"/>
        </w:rPr>
        <w:t xml:space="preserve">[6] Kapoor S, Narayanan A.</w:t>
      </w:r>
      <w:r>
        <w:br/>
      </w:r>
      <w:r>
        <w:rPr>
          <w:rStyle w:val="VerbatimChar"/>
        </w:rPr>
        <w:t xml:space="preserve">    Leakage and the reproducibility crisis in machine-learning-based science.</w:t>
      </w:r>
      <w:r>
        <w:br/>
      </w:r>
      <w:r>
        <w:rPr>
          <w:rStyle w:val="VerbatimChar"/>
        </w:rPr>
        <w:t xml:space="preserve">    Patterns 4(9):100804, 2023.  doi:10.1016/j.patter.2023.100804   PMID 37720327</w:t>
      </w:r>
    </w:p>
    <w:p>
      <w:r>
        <w:pict>
          <v:rect style="width:0;height:1.5pt" o:hralign="center" o:hrstd="t" o:hr="t"/>
        </w:pict>
      </w:r>
    </w:p>
    <w:bookmarkEnd w:id="47"/>
    <w:bookmarkStart w:id="48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doi.org/10.5281/zenodo.22769563" TargetMode="External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doi.org/10.5281/zenodo.22769563" TargetMode="External" /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2026-09-15T18:06:38Z</dcterms:created>
  <dcterms:modified xsi:type="dcterms:W3CDTF">2026-09-15T18:06:38Z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