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Dear Editor,</w:t>
      </w:r>
    </w:p>
    <w:p>
      <w:pPr>
        <w:pStyle w:val="BodyText"/>
      </w:pPr>
      <w:r>
        <w:t xml:space="preserve">We submit</w:t>
      </w:r>
      <w:r>
        <w:t xml:space="preserve"> </w:t>
      </w:r>
      <w:r>
        <w:rPr>
          <w:i/>
          <w:iCs/>
        </w:rPr>
        <w:t xml:space="preserve">Pretreatment transcriptional state carries condition-specific information about future</w:t>
      </w:r>
      <w:r>
        <w:rPr>
          <w:i/>
          <w:iCs/>
        </w:rPr>
        <w:t xml:space="preserve"> </w:t>
      </w:r>
      <w:r>
        <w:rPr>
          <w:i/>
          <w:iCs/>
        </w:rPr>
        <w:t xml:space="preserve">clonal detection in a lineage-traced melanoma line</w:t>
      </w:r>
      <w:r>
        <w:t xml:space="preserve"> </w:t>
      </w:r>
      <w:r>
        <w:t xml:space="preserve">for consideration as a Research Article.</w:t>
      </w:r>
    </w:p>
    <w:p>
      <w:pPr>
        <w:pStyle w:val="BodyText"/>
      </w:pPr>
      <w:r>
        <w:t xml:space="preserve">Prior work in this system has established that pre-existing single-cell state predicts</w:t>
      </w:r>
      <w:r>
        <w:t xml:space="preserve"> </w:t>
      </w:r>
      <w:r>
        <w:rPr>
          <w:i/>
          <w:iCs/>
        </w:rPr>
        <w:t xml:space="preserve">whether</w:t>
      </w:r>
      <w:r>
        <w:t xml:space="preserve"> </w:t>
      </w:r>
      <w:r>
        <w:t xml:space="preserve">a</w:t>
      </w:r>
      <w:r>
        <w:t xml:space="preserve"> </w:t>
      </w:r>
      <w:r>
        <w:t xml:space="preserve">clone resists treatment. We ask the adjacent question of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condition a clone is still</w:t>
      </w:r>
      <w:r>
        <w:t xml:space="preserve"> </w:t>
      </w:r>
      <w:r>
        <w:t xml:space="preserve">detected after — an ordering within a clone that a state contribution shared additively across</w:t>
      </w:r>
      <w:r>
        <w:t xml:space="preserve"> </w:t>
      </w:r>
      <w:r>
        <w:t xml:space="preserve">conditions cannot, by construction, produce. Using the publicly deposited six-condition</w:t>
      </w:r>
      <w:r>
        <w:t xml:space="preserve"> </w:t>
      </w:r>
      <w:r>
        <w:t xml:space="preserve">clonal-tracing dataset of Schaff et al. (GSE279162), and a ranking protocol frozen by</w:t>
      </w:r>
      <w:r>
        <w:t xml:space="preserve"> </w:t>
      </w:r>
      <w:r>
        <w:t xml:space="preserve">cryptographic digest before any ranking statistic was computed, we find that an explicit</w:t>
      </w:r>
      <w:r>
        <w:t xml:space="preserve"> </w:t>
      </w:r>
      <w:r>
        <w:t xml:space="preserve">state-by-condition interaction improves within-clone ordering over a non-interactive additive</w:t>
      </w:r>
      <w:r>
        <w:t xml:space="preserve"> </w:t>
      </w:r>
      <w:r>
        <w:t xml:space="preserve">model, exceeding all 1,000 full-refit permutation draws.</w:t>
      </w:r>
    </w:p>
    <w:p>
      <w:pPr>
        <w:pStyle w:val="BodyText"/>
      </w:pPr>
      <w:r>
        <w:t xml:space="preserve">The work generates no new data and makes a deliberately bounded claim: one cell line, six observed</w:t>
      </w:r>
      <w:r>
        <w:t xml:space="preserve"> </w:t>
      </w:r>
      <w:r>
        <w:t xml:space="preserve">conditions, an observed detection proxy, and no independent biological replication. Those limits</w:t>
      </w:r>
      <w:r>
        <w:t xml:space="preserve"> </w:t>
      </w:r>
      <w:r>
        <w:t xml:space="preserve">are stated in the abstract, not only the discussion.</w:t>
      </w:r>
    </w:p>
    <w:p>
      <w:pPr>
        <w:pStyle w:val="BodyText"/>
      </w:pPr>
      <w:r>
        <w:t xml:space="preserve">The complete analysis, frozen protocols, stage-by-stage records including negative and failed</w:t>
      </w:r>
      <w:r>
        <w:t xml:space="preserve"> </w:t>
      </w:r>
      <w:r>
        <w:t xml:space="preserve">results, and a verification tool that refuses on any modified artifact are archived at Zenodo</w:t>
      </w:r>
      <w:r>
        <w:t xml:space="preserve"> </w:t>
      </w:r>
      <w:r>
        <w:t xml:space="preserve">under DOI 10.5281/zenodo.22769562.</w:t>
      </w:r>
    </w:p>
    <w:p>
      <w:pPr>
        <w:pStyle w:val="BodyText"/>
      </w:pPr>
      <w:r>
        <w:rPr>
          <w:b/>
          <w:bCs/>
        </w:rPr>
        <w:t xml:space="preserve">Preprint.</w:t>
      </w:r>
      <w:r>
        <w:t xml:space="preserve"> </w:t>
      </w:r>
      <w:r>
        <w:t xml:space="preserve">This manuscript is posted as a preprint at Zenodo, DOI</w:t>
      </w:r>
      <w:r>
        <w:t xml:space="preserve"> </w:t>
      </w:r>
      <w:r>
        <w:t xml:space="preserve">10.5281/zenodo.22829747, under a CC BY licence. That DOI resolves to the newest version</w:t>
      </w:r>
      <w:r>
        <w:t xml:space="preserve"> </w:t>
      </w:r>
      <w:r>
        <w:t xml:space="preserve">of the record; the version submitted here is 10.5281/zenodo.22849626.</w:t>
      </w:r>
    </w:p>
    <w:p>
      <w:pPr>
        <w:pStyle w:val="BodyText"/>
      </w:pPr>
      <w:r>
        <w:rPr>
          <w:b/>
          <w:bCs/>
        </w:rPr>
        <w:t xml:space="preserve">Software licence.</w:t>
      </w:r>
      <w:r>
        <w:t xml:space="preserve"> </w:t>
      </w:r>
      <w:r>
        <w:t xml:space="preserve">The software and frozen model are released under the PolyForm Noncommercial</w:t>
      </w:r>
      <w:r>
        <w:t xml:space="preserve"> </w:t>
      </w:r>
      <w:r>
        <w:t xml:space="preserve">License 1.0.0. They are free for any non-commercial use without registration or agreement, which</w:t>
      </w:r>
      <w:r>
        <w:t xml:space="preserve"> </w:t>
      </w:r>
      <w:r>
        <w:t xml:space="preserve">meets the journal’s software-availability policy, but the licence is source-available rather</w:t>
      </w:r>
      <w:r>
        <w:t xml:space="preserve"> </w:t>
      </w:r>
      <w:r>
        <w:t xml:space="preserve">than OSI-approved open source, because commercial use is restricted. We say so here rather than</w:t>
      </w:r>
      <w:r>
        <w:t xml:space="preserve"> </w:t>
      </w:r>
      <w:r>
        <w:t xml:space="preserve">leave it to be discovered in review.</w:t>
      </w:r>
    </w:p>
    <w:p>
      <w:pPr>
        <w:pStyle w:val="BodyText"/>
      </w:pPr>
      <w:r>
        <w:rPr>
          <w:b/>
          <w:bCs/>
        </w:rPr>
        <w:t xml:space="preserve">Use of AI.</w:t>
      </w:r>
      <w:r>
        <w:t xml:space="preserve"> </w:t>
      </w:r>
      <w:r>
        <w:t xml:space="preserve">Generative AI assistance is disclosed in the Methods section.</w:t>
      </w:r>
    </w:p>
    <w:p>
      <w:pPr>
        <w:pStyle w:val="BodyText"/>
      </w:pPr>
      <w:r>
        <w:t xml:space="preserve">&lt;&lt;LATER: request an APC waiver here if one is needed – it can only be requested at submission&gt;&gt;</w:t>
      </w:r>
    </w:p>
    <w:p>
      <w:pPr>
        <w:pStyle w:val="BodyText"/>
      </w:pPr>
      <w:r>
        <w:t xml:space="preserve">Sincerely,</w:t>
      </w:r>
      <w:r>
        <w:t xml:space="preserve"> </w:t>
      </w:r>
      <w:r>
        <w:t xml:space="preserve">Hagai Aviv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2026-09-19T20:26:58Z</dcterms:created>
  <dcterms:modified xsi:type="dcterms:W3CDTF">2026-09-19T20:26:58Z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