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4581fce568a8733d53f2e9c5e011b0c2cafc8e0aff5a2b65487b8055eff3a3c2</w:t>
      </w:r>
      <w:r>
        <w:br/>
      </w:r>
      <w:r>
        <w:rPr>
          <w:rStyle w:val="VerbatimChar"/>
        </w:rPr>
        <w:t xml:space="preserve">  claim lock      fcd25d3eb37aa9e4b4c973975a54565db0c49dfb60b7cdfea9be6821b4d051de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4581fce568a8733d53f2e9c5e011b0c2cafc8e0aff5a2b65487b8055eff3a3c2</w:t>
      </w:r>
      <w:r>
        <w:br/>
      </w:r>
      <w:r>
        <w:rPr>
          <w:rStyle w:val="VerbatimChar"/>
        </w:rPr>
        <w:t xml:space="preserve">  claim lock digest      fcd25d3eb37aa9e4b4c973975a54565db0c49dfb60b7cdfea9be6821b4d051de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1.0.1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19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2026-09-19T20:26:57Z</dcterms:created>
  <dcterms:modified xsi:type="dcterms:W3CDTF">2026-09-19T20:26:57Z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