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Kentucky Estate Planning Documents</w:t>
      </w:r>
    </w:p>
    <w:p>
      <w:pPr>
        <w:spacing w:after="360"/>
        <w:jc w:val="center"/>
      </w:pPr>
      <w:r>
        <w:rPr>
          <w:i/>
          <w:iCs/>
        </w:rPr>
        <w:t xml:space="preserve">Review notes and signing checklist (single person, no children). Draft prepared </w:t>
      </w:r>
      <w:r>
        <w:rPr>
          <w:i/>
          <w:iCs/>
          <w:highlight w:val="yellow"/>
          <w:highlightCs w:val="yellow"/>
        </w:rPr>
        <w:t xml:space="preserve">[DATE]</w:t>
      </w:r>
      <w:r>
        <w:rPr>
          <w:i/>
          <w:iCs/>
        </w:rPr>
        <w:t xml:space="preserve">.</w:t>
      </w:r>
    </w:p>
    <w:p>
      <w:pPr>
        <w:spacing w:after="160" w:line="276"/>
        <w:jc w:val="both"/>
      </w:pPr>
      <w:r>
        <w:rPr>
          <w:b/>
          <w:bCs/>
        </w:rPr>
        <w:t xml:space="preserve">These are drafts for review by a Kentucky-licensed attorney, not legal advice.</w:t>
      </w:r>
      <w:r>
        <w:t xml:space="preserve"> Every item highlighted in yellow is a blank to complete or a choice to make. Statute citations should be checked against the current Kentucky Revised Statutes before signing.</w:t>
      </w:r>
    </w:p>
    <w:p>
      <w:pPr>
        <w:keepNext/>
        <w:spacing w:after="120" w:before="240"/>
        <w:jc w:val="left"/>
      </w:pPr>
      <w:r>
        <w:rPr>
          <w:b/>
          <w:bCs/>
          <w:sz w:val="26"/>
          <w:szCs w:val="26"/>
        </w:rPr>
        <w:t xml:space="preserve">Documents in this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900"/>
        <w:gridCol w:w="246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must be signed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Filed or recorded?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01 Last Will and Testament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KRS Chapter 394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Testator plus 2 adult witnesses, all present together. Notary only for the self-proving affidavit.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 filed while living. Probated in District Court after death. Keep the original safe.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02 Living Will Directive and Health Care Surrogate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KRS 311.621 to 311.643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Grantor plus 2 qualified adult witnesses, OR before a notary.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 filed. Give copies to surrogates, doctors and hospital.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03 Durable Power of Attorney (financial)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KRS Chapter 457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Principal signs before a notary; 2 witnesses recommended.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Record with the County Clerk only if the agent will deal with real estate.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04 Irrevocable Trust Agreement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KRS Chapter 386B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Settlor and trustee sign before a notary.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 filed. Fund it by deed (recorded) and retitling accounts. Trust needs its own EIN.</w:t>
            </w:r>
          </w:p>
        </w:tc>
      </w:tr>
    </w:tbl>
    <w:p>
      <w:pPr>
        <w:spacing w:after="120" w:line="276"/>
        <w:jc w:val="both"/>
      </w:pPr>
    </w:p>
    <w:p>
      <w:pPr>
        <w:keepNext/>
        <w:spacing w:after="120" w:before="240"/>
        <w:jc w:val="left"/>
      </w:pPr>
      <w:r>
        <w:rPr>
          <w:b/>
          <w:bCs/>
          <w:sz w:val="26"/>
          <w:szCs w:val="26"/>
        </w:rPr>
        <w:t xml:space="preserve">Signing day checklist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Bring government photo ID for the person signing and for each witness.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Arrange 2 adult witnesses who are </w:t>
      </w:r>
      <w:r>
        <w:rPr>
          <w:b/>
          <w:bCs/>
        </w:rPr>
        <w:t xml:space="preserve">not</w:t>
      </w:r>
      <w:r>
        <w:t xml:space="preserve"> named in any document, are not related to you, and are not your health care providers or employees of your health care facility.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Arrange a Kentucky notary (needed for the will affidavit, the power of attorney and the trust; optional for the living will if 2 witnesses sign).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Initial the bottom of every page of the will, and every choice you select in the living will and power of attorney.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Sign in blue ink. Do not unstaple or remove pages from the will after signing.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Store originals in a fireproof place or with your attorney. Tell your executor and agents where they are.</w:t>
      </w:r>
    </w:p>
    <w:p>
      <w:pPr>
        <w:keepNext/>
        <w:spacing w:after="120" w:before="240"/>
        <w:jc w:val="left"/>
      </w:pPr>
      <w:r>
        <w:rPr>
          <w:b/>
          <w:bCs/>
          <w:sz w:val="26"/>
          <w:szCs w:val="26"/>
        </w:rPr>
        <w:t xml:space="preserve">Points for the reviewing attorney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Will: confirm residuary beneficiaries and whether a charity is intended. Confirm coordination with the irrevocable trust (pour-over not included because the trust is irrevocable).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Living will: drafted from the statutory form in KRS 311.625. Confirm the current form text and organ donation cross-references.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Power of attorney: confirm current execution requirements in KRS 457.050 and which special powers under KRS 457.220 should be granted.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Trust: confirm grantor vs. non-grantor tax status, gift tax reporting (Form 709), Medicaid 60-month look-back exposure, and deed preparation for any real estate (KRS 382.335 preparer statement).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Beneficiary designations (life insurance, retirement accounts, POD/TOD accounts) pass outside the will and should be updated to match the plan.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Draft for attorney review</dc:creator>
  <cp:lastModifiedBy>Un-named</cp:lastModifiedBy>
  <cp:revision>1</cp:revision>
  <dcterms:created xsi:type="dcterms:W3CDTF">2026-10-06T22:01:24.924Z</dcterms:created>
  <dcterms:modified xsi:type="dcterms:W3CDTF">2026-10-06T22:01:24.924Z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