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תשפ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hashing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בסוף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ישנן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הוראות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הקפידו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לפעול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לפיהן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תאריך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: 10.6</w:t>
      </w:r>
      <w:r w:rsidDel="00000000" w:rsidR="00000000" w:rsidRPr="00000000">
        <w:rPr>
          <w:rFonts w:ascii="Gisha" w:cs="Gisha" w:eastAsia="Gisha" w:hAnsi="Gisha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לעקוב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השרשור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הנעוץ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בפורום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נפרסם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הבהרות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חשובות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בניגוד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המעשי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בשפת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HashTableElement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IHashTable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Insert(HashTableElement hte)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hte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hte.key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KeyAlreadyExistsException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תזרוק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TableIsFullException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Find(long key)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HashTableElement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null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Delete(long key)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KeyDoesntExistException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Addressing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OAHashTable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IHashTable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Hash(long key, long i)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OAHashTable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m:oMath>
        <m:r>
          <w:rPr>
            <w:rFonts w:ascii="Cambria Math" w:cs="Cambria Math" w:eastAsia="Cambria Math" w:hAnsi="Cambria Math"/>
          </w:rPr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הבהרה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k,0</m:t>
            </m:r>
          </m:e>
        </m:d>
        <m:r>
          <w:rPr>
            <w:rFonts w:ascii="Cambria Math" w:cs="Cambria Math" w:eastAsia="Cambria Math" w:hAnsi="Cambria Math"/>
          </w:rPr>
          <m:t xml:space="preserve">, 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k,1</m:t>
            </m:r>
          </m:e>
        </m:d>
        <m:r>
          <w:rPr>
            <w:rFonts w:ascii="Cambria Math" w:cs="Cambria Math" w:eastAsia="Cambria Math" w:hAnsi="Cambria Math"/>
          </w:rPr>
          <m:t xml:space="preserve">, 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k,2</m:t>
            </m:r>
          </m:e>
        </m:d>
        <m:r>
          <w:rPr>
            <w:rFonts w:ascii="Cambria Math" w:cs="Cambria Math" w:eastAsia="Cambria Math" w:hAnsi="Cambria Math"/>
          </w:rPr>
          <m:t xml:space="preserve">,…,h(k,m-1)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OAHashTable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קונסטרקטור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קונסטרקטור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קונסטרקטור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הקונקרטיות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Schemes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15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OAHashTable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האוניברסלית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ax+b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Hash(long 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/>
          <m:t xml:space="preserve">GetFunc(int m, long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הקונקרטיות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OAHashTable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הקונסטרטור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p≥m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LPHashTable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QPHashTable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k,i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h'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mod m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/>
          <m:t xml:space="preserve">h'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האוניברסלית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AQPHashTable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alternating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k,i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=(</m:t>
        </m:r>
        <m:r>
          <w:rPr>
            <w:rFonts w:ascii="Cambria Math" w:cs="Cambria Math" w:eastAsia="Cambria Math" w:hAnsi="Cambria Math"/>
          </w:rPr>
          <m:t xml:space="preserve">h'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⋅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 mod m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/>
          <m:t xml:space="preserve">h'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האוניברסלית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DoubleHashTable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hashing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k,i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h'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+i⋅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h'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 m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/>
          <m:t xml:space="preserve">h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r>
          <w:rPr>
            <w:rFonts w:ascii="Cambria Math" w:cs="Cambria Math" w:eastAsia="Cambria Math" w:hAnsi="Cambria Math"/>
          </w:rPr>
          <m:t xml:space="preserve">h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'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האוניברסלית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ניסויים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הריבועי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q=6571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720"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mod q| 0≤i&lt;q</m:t>
            </m:r>
          </m:e>
        </m:d>
        <m:r>
          <w:rPr>
            <w:rFonts w:ascii="Cambria Math" w:cs="Cambria Math" w:eastAsia="Cambria Math" w:hAnsi="Cambria Math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p>
            </m:sSup>
            <m:r>
              <w:rPr>
                <w:rFonts w:ascii="Cambria Math" w:cs="Cambria Math" w:eastAsia="Cambria Math" w:hAnsi="Cambria Math"/>
              </w:rPr>
              <m:t>⋅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mod q| 0≤i&lt;q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QPHashTable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m=6571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p=1,000,000,007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הרנדומית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d>
              <m:dPr>
                <m:begChr m:val="("/>
                <m:endChr m:val=")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m-1</m:t>
            </m:r>
          </m:sup>
        </m:sSub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=100i+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[0,99]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0≤i≤m-1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שנזרקו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AQPHashTable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QPHashTable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התופעה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התופעה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נשווה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addressing.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המדידות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LPHashTable, QPHashTable, AQPHashTable, DoubleHashTable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תעדו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מהסעיפים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להבדלים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להיזרק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חריגים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מגודל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m=10,000,019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p=1,000,000,007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⌊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⌋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הרנדומית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d>
              <m:dPr>
                <m:begChr m:val="("/>
                <m:endChr m:val=")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sup>
        </m:sSub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=100i+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[0,99]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0≤i≤n-1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Running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LPHashTable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QPHashTable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AQPHashTable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DoubleHashTable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⌊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19m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20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⌋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QPHashTable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בביצועים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Running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LPHashTable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AQPHashTable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DoubleHashTable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סיבוכיות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DoubleHashTable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m=10,000,019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p=1,000,000,007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הרנדומית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d>
              <m:dPr>
                <m:begChr m:val="("/>
                <m:endChr m:val=")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sup>
        </m:sSub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⌊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⌋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מוגרלת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. </w:t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Iterations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Running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First 3 iterations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Last 3 iterations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Rule="auto"/>
        <w:rPr>
          <w:rFonts w:ascii="Gisha" w:cs="Gisha" w:eastAsia="Gisha" w:hAnsi="Gisha"/>
          <w:b w:val="1"/>
          <w:color w:val="4472c4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472c4"/>
          <w:sz w:val="20"/>
          <w:szCs w:val="20"/>
          <w:rtl w:val="1"/>
        </w:rPr>
        <w:t xml:space="preserve">הגשה</w:t>
      </w:r>
    </w:p>
    <w:p w:rsidR="00000000" w:rsidDel="00000000" w:rsidP="00000000" w:rsidRDefault="00000000" w:rsidRPr="00000000" w14:paraId="0000004F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תתבצע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אלקטרוני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במודל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0" w:lineRule="auto"/>
        <w:rPr>
          <w:rFonts w:ascii="Gisha" w:cs="Gisha" w:eastAsia="Gisha" w:hAnsi="Gisha"/>
          <w:b w:val="1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בזוגות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051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ביחידים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תתאפשר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המתרגלים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זוג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יבחר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נציג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ויעלה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למודל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שמונת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שניתנו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שמותיהם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המגישים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תז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ושמות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תיעוד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המדידות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הפורמטים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rtf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docx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9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התיעוד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צריכים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האוניברסיטאיים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המגישים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הפורמט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1_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/….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בתוכן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תעודות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הזהות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המגישים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בכותרת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ובשורת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המקור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5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שיעורי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מראש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תגרור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הורדת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נקודות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מהציון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חובה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לשם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ציון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בקורס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Rule="auto"/>
        <w:rPr>
          <w:rFonts w:ascii="Gisha" w:cs="Gisha" w:eastAsia="Gisha" w:hAnsi="Gisha"/>
          <w:b w:val="1"/>
          <w:color w:val="4472c4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472c4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Gisha" w:cs="Gisha" w:eastAsia="Gisha" w:hAnsi="Gisha"/>
          <w:b w:val="1"/>
          <w:color w:val="4472c4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05F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sh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C669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303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179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71792"/>
    <w:rPr>
      <w:color w:val="808080"/>
    </w:rPr>
  </w:style>
  <w:style w:type="table" w:styleId="TableGrid">
    <w:name w:val="Table Grid"/>
    <w:basedOn w:val="TableNormal"/>
    <w:uiPriority w:val="39"/>
    <w:rsid w:val="00AA3A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C0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6C0E0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C0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C0E0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0E0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0E0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C0E03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C669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D585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585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E303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R1AczLggIHPH5OWE97SQlE00xQ==">AMUW2mXvAzEJGblomzpYKWuEboeJPh8KRM9pBuRVGUGExOyOTD+HNyKAtgOqSwLi8iCeBehzxaR8Eqhi4cyd/q/TkcvKyydKHoK5/rWYY9YLxD4A+tcbPBs=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2020-05-24T13:35:00Z</dcterms:created>
  <dc:creator>Noam Touitou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0x010100A059DB4187D939439717CB39F046EDA3</vt:lpwstr>
  </property>
</Properties>
</file>