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8301A42"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proofErr w:type="gramStart"/>
      <w:r w:rsidR="00D800BC">
        <w:rPr>
          <w:rFonts w:ascii="Times New Roman" w:hAnsi="Times New Roman" w:cs="Times New Roman"/>
          <w:sz w:val="32"/>
          <w:szCs w:val="32"/>
        </w:rPr>
        <w:t>ihre persönliche Daten</w:t>
      </w:r>
      <w:proofErr w:type="gramEnd"/>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14FA4FEA"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w:t>
      </w:r>
      <w:proofErr w:type="gramStart"/>
      <w:r w:rsidRPr="00820753">
        <w:rPr>
          <w:rFonts w:ascii="Times New Roman" w:hAnsi="Times New Roman" w:cs="Times New Roman"/>
          <w:sz w:val="32"/>
          <w:szCs w:val="32"/>
        </w:rPr>
        <w:t>eine weiterer Spiele</w:t>
      </w:r>
      <w:proofErr w:type="gramEnd"/>
      <w:r w:rsidRPr="00820753">
        <w:rPr>
          <w:rFonts w:ascii="Times New Roman" w:hAnsi="Times New Roman" w:cs="Times New Roman"/>
          <w:sz w:val="32"/>
          <w:szCs w:val="32"/>
        </w:rPr>
        <w:t xml:space="preserv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0E35FFC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E02A95">
        <w:rPr>
          <w:rFonts w:ascii="Times New Roman" w:hAnsi="Times New Roman" w:cs="Times New Roman"/>
          <w:sz w:val="32"/>
          <w:szCs w:val="32"/>
        </w:rPr>
        <w:t>3</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 xml:space="preserve">Abbildung </w:t>
      </w:r>
      <w:proofErr w:type="gramStart"/>
      <w:r>
        <w:rPr>
          <w:rFonts w:ascii="Times New Roman" w:hAnsi="Times New Roman" w:cs="Times New Roman"/>
          <w:i/>
          <w:iCs/>
          <w:sz w:val="28"/>
          <w:szCs w:val="28"/>
        </w:rPr>
        <w:t>5:Berechnung</w:t>
      </w:r>
      <w:proofErr w:type="gramEnd"/>
      <w:r>
        <w:rPr>
          <w:rFonts w:ascii="Times New Roman" w:hAnsi="Times New Roman" w:cs="Times New Roman"/>
          <w:i/>
          <w:iCs/>
          <w:sz w:val="28"/>
          <w:szCs w:val="28"/>
        </w:rPr>
        <w:t xml:space="preserve">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1AE65CD"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E02A95">
        <w:rPr>
          <w:rFonts w:ascii="Times New Roman" w:hAnsi="Times New Roman" w:cs="Times New Roman"/>
          <w:bCs/>
          <w:sz w:val="32"/>
          <w:szCs w:val="32"/>
        </w:rPr>
        <w:t>4</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05A3E05B"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E02A95" w:rsidRPr="004C17A0">
        <w:rPr>
          <w:rFonts w:ascii="Times New Roman" w:hAnsi="Times New Roman" w:cs="Times New Roman"/>
          <w:bCs/>
          <w:sz w:val="32"/>
          <w:szCs w:val="32"/>
        </w:rPr>
        <w:t>5</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proofErr w:type="spellStart"/>
      <w:r w:rsidRPr="00E02A95">
        <w:rPr>
          <w:rFonts w:ascii="Times New Roman" w:hAnsi="Times New Roman" w:cs="Times New Roman"/>
          <w:bCs/>
          <w:i/>
          <w:iCs/>
          <w:sz w:val="28"/>
          <w:szCs w:val="28"/>
          <w:lang w:val="en-US"/>
        </w:rPr>
        <w:t>Abbildung</w:t>
      </w:r>
      <w:proofErr w:type="spellEnd"/>
      <w:r w:rsidRPr="00E02A95">
        <w:rPr>
          <w:rFonts w:ascii="Times New Roman" w:hAnsi="Times New Roman" w:cs="Times New Roman"/>
          <w:bCs/>
          <w:i/>
          <w:iCs/>
          <w:sz w:val="28"/>
          <w:szCs w:val="28"/>
          <w:lang w:val="en-US"/>
        </w:rPr>
        <w:t xml:space="preserve"> 6: Hard-coded Credential</w:t>
      </w:r>
      <w:r>
        <w:rPr>
          <w:rFonts w:ascii="Times New Roman" w:hAnsi="Times New Roman" w:cs="Times New Roman"/>
          <w:bCs/>
          <w:i/>
          <w:iCs/>
          <w:sz w:val="28"/>
          <w:szCs w:val="28"/>
          <w:lang w:val="en-US"/>
        </w:rPr>
        <w:t>s in mail.py</w:t>
      </w:r>
    </w:p>
    <w:p w14:paraId="484C05DA" w14:textId="0441B98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Brute-Force-Methode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 xml:space="preserve">[Aktivierungscode </w:t>
      </w:r>
      <w:proofErr w:type="spellStart"/>
      <w:r w:rsidRPr="000B6F47">
        <w:rPr>
          <w:rFonts w:ascii="Times New Roman" w:hAnsi="Times New Roman" w:cs="Times New Roman"/>
          <w:bCs/>
          <w:color w:val="FF0000"/>
          <w:sz w:val="32"/>
          <w:szCs w:val="32"/>
        </w:rPr>
        <w:t>bruteforcen</w:t>
      </w:r>
      <w:proofErr w:type="spellEnd"/>
      <w:r w:rsidRPr="000B6F47">
        <w:rPr>
          <w:rFonts w:ascii="Times New Roman" w:hAnsi="Times New Roman" w:cs="Times New Roman"/>
          <w:bCs/>
          <w:color w:val="FF0000"/>
          <w:sz w:val="32"/>
          <w:szCs w:val="32"/>
        </w:rPr>
        <w:t>]</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2B547AD5"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[6]</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w:t>
      </w:r>
      <w:proofErr w:type="spellStart"/>
      <w:r>
        <w:rPr>
          <w:rFonts w:ascii="Times New Roman" w:hAnsi="Times New Roman" w:cs="Times New Roman"/>
          <w:bCs/>
          <w:i/>
          <w:sz w:val="28"/>
          <w:szCs w:val="28"/>
        </w:rPr>
        <w:t>Injection</w:t>
      </w:r>
      <w:proofErr w:type="spellEnd"/>
    </w:p>
    <w:p w14:paraId="5858554B" w14:textId="0218FD17" w:rsidR="003E52E3" w:rsidRDefault="003E52E3" w:rsidP="00E13E40">
      <w:pPr>
        <w:jc w:val="both"/>
        <w:rPr>
          <w:rFonts w:ascii="Times New Roman" w:hAnsi="Times New Roman" w:cs="Times New Roman"/>
          <w:sz w:val="32"/>
          <w:szCs w:val="32"/>
        </w:rPr>
      </w:pPr>
    </w:p>
    <w:p w14:paraId="13B1FB5A" w14:textId="6AB48123"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E02A95">
        <w:rPr>
          <w:rFonts w:ascii="Times New Roman" w:hAnsi="Times New Roman" w:cs="Times New Roman"/>
          <w:sz w:val="32"/>
          <w:szCs w:val="32"/>
        </w:rPr>
        <w:t>6</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Um dies zu erreichen, wird einfach ein Array mit verbotenen Zeichen eingefügt und 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E135985"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w:t>
      </w:r>
      <w:proofErr w:type="gramStart"/>
      <w:r w:rsidR="0013404F">
        <w:rPr>
          <w:rFonts w:ascii="Times New Roman" w:hAnsi="Times New Roman" w:cs="Times New Roman"/>
          <w:sz w:val="32"/>
          <w:szCs w:val="32"/>
        </w:rPr>
        <w:t xml:space="preserve">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Ablage</w:t>
      </w:r>
      <w:proofErr w:type="gramEnd"/>
      <w:r w:rsidR="0013404F">
        <w:rPr>
          <w:rFonts w:ascii="Times New Roman" w:hAnsi="Times New Roman" w:cs="Times New Roman"/>
          <w:sz w:val="32"/>
          <w:szCs w:val="32"/>
        </w:rPr>
        <w:t xml:space="preserv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E02A95" w:rsidRPr="004C17A0">
        <w:rPr>
          <w:rFonts w:ascii="Times New Roman" w:hAnsi="Times New Roman" w:cs="Times New Roman"/>
          <w:sz w:val="32"/>
          <w:szCs w:val="32"/>
        </w:rPr>
        <w:t>7</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65415668" w:rsidR="00E02A95" w:rsidRPr="004360D7"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https://de.statista.com/statistik/daten/studie/317808/umfrage/umsatz-im-markt-fuer-computer-und-videospiele-in-deutschland/</w:t>
      </w:r>
    </w:p>
    <w:p w14:paraId="2E19DD7A" w14:textId="220642E7"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[3]</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75742A65"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[4]</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proofErr w:type="spellStart"/>
      <w:r w:rsidR="005A41E0" w:rsidRPr="005A41E0">
        <w:rPr>
          <w:rFonts w:ascii="Times New Roman" w:hAnsi="Times New Roman" w:cs="Times New Roman"/>
          <w:sz w:val="32"/>
          <w:szCs w:val="32"/>
          <w:lang w:val="en-US"/>
        </w:rPr>
        <w:t>Dezember</w:t>
      </w:r>
      <w:proofErr w:type="spellEnd"/>
      <w:r w:rsidR="005A41E0" w:rsidRPr="005A41E0">
        <w:rPr>
          <w:rFonts w:ascii="Times New Roman" w:hAnsi="Times New Roman" w:cs="Times New Roman"/>
          <w:sz w:val="32"/>
          <w:szCs w:val="32"/>
          <w:lang w:val="en-US"/>
        </w:rPr>
        <w:t xml:space="preserve">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https://cwe.mitre.org/top25/archive/2022/2022_cwe_top25.html</w:t>
      </w:r>
    </w:p>
    <w:p w14:paraId="46D65891" w14:textId="048B58C2"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[5]</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E936DB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[6]</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50B3E0BC"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[7]</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2E14" w14:textId="77777777" w:rsidR="005F5CED" w:rsidRDefault="005F5CED" w:rsidP="00ED7343">
      <w:pPr>
        <w:spacing w:after="0" w:line="240" w:lineRule="auto"/>
      </w:pPr>
      <w:r>
        <w:separator/>
      </w:r>
    </w:p>
  </w:endnote>
  <w:endnote w:type="continuationSeparator" w:id="0">
    <w:p w14:paraId="2C8C49B3" w14:textId="77777777" w:rsidR="005F5CED" w:rsidRDefault="005F5CE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61FB" w14:textId="77777777" w:rsidR="005F5CED" w:rsidRDefault="005F5CED" w:rsidP="00ED7343">
      <w:pPr>
        <w:spacing w:after="0" w:line="240" w:lineRule="auto"/>
      </w:pPr>
      <w:r>
        <w:separator/>
      </w:r>
    </w:p>
  </w:footnote>
  <w:footnote w:type="continuationSeparator" w:id="0">
    <w:p w14:paraId="6A6F071A" w14:textId="77777777" w:rsidR="005F5CED" w:rsidRDefault="005F5CE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6461"/>
    <w:rsid w:val="00243C25"/>
    <w:rsid w:val="002529FF"/>
    <w:rsid w:val="002A3730"/>
    <w:rsid w:val="002D4637"/>
    <w:rsid w:val="0030041C"/>
    <w:rsid w:val="00324EBD"/>
    <w:rsid w:val="003351AD"/>
    <w:rsid w:val="003416A2"/>
    <w:rsid w:val="00353087"/>
    <w:rsid w:val="00355B8C"/>
    <w:rsid w:val="00370FB3"/>
    <w:rsid w:val="00383E7C"/>
    <w:rsid w:val="003E52E3"/>
    <w:rsid w:val="003F0646"/>
    <w:rsid w:val="00407D96"/>
    <w:rsid w:val="00412EDE"/>
    <w:rsid w:val="0041693E"/>
    <w:rsid w:val="004263D1"/>
    <w:rsid w:val="004360D7"/>
    <w:rsid w:val="0049689B"/>
    <w:rsid w:val="00496B42"/>
    <w:rsid w:val="004C17A0"/>
    <w:rsid w:val="004C39C6"/>
    <w:rsid w:val="004D0AC5"/>
    <w:rsid w:val="0057474F"/>
    <w:rsid w:val="005954A1"/>
    <w:rsid w:val="005A41E0"/>
    <w:rsid w:val="005B54F8"/>
    <w:rsid w:val="005F5CED"/>
    <w:rsid w:val="00615708"/>
    <w:rsid w:val="00616776"/>
    <w:rsid w:val="0062111D"/>
    <w:rsid w:val="0066484A"/>
    <w:rsid w:val="006651F3"/>
    <w:rsid w:val="00674489"/>
    <w:rsid w:val="00683C85"/>
    <w:rsid w:val="006D2F8E"/>
    <w:rsid w:val="006E1B5A"/>
    <w:rsid w:val="006F41CE"/>
    <w:rsid w:val="0074072D"/>
    <w:rsid w:val="00742CC8"/>
    <w:rsid w:val="007A28F3"/>
    <w:rsid w:val="008159CB"/>
    <w:rsid w:val="00820753"/>
    <w:rsid w:val="008F0A98"/>
    <w:rsid w:val="008F1C42"/>
    <w:rsid w:val="008F3854"/>
    <w:rsid w:val="009053A6"/>
    <w:rsid w:val="009400FE"/>
    <w:rsid w:val="009501B1"/>
    <w:rsid w:val="00982383"/>
    <w:rsid w:val="009910EB"/>
    <w:rsid w:val="009B0C9E"/>
    <w:rsid w:val="009C43C8"/>
    <w:rsid w:val="009E1E4A"/>
    <w:rsid w:val="00A02920"/>
    <w:rsid w:val="00A0767B"/>
    <w:rsid w:val="00A12398"/>
    <w:rsid w:val="00A678DF"/>
    <w:rsid w:val="00A77AED"/>
    <w:rsid w:val="00A77E7C"/>
    <w:rsid w:val="00AA5E58"/>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914EC"/>
    <w:rsid w:val="00E92F49"/>
    <w:rsid w:val="00E934F0"/>
    <w:rsid w:val="00EB2A66"/>
    <w:rsid w:val="00EB7606"/>
    <w:rsid w:val="00ED7343"/>
    <w:rsid w:val="00F14E5A"/>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2259</Words>
  <Characters>14234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24</cp:revision>
  <dcterms:created xsi:type="dcterms:W3CDTF">2022-11-25T10:52:00Z</dcterms:created>
  <dcterms:modified xsi:type="dcterms:W3CDTF">2022-12-14T18:36:00Z</dcterms:modified>
</cp:coreProperties>
</file>