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Synthetic Patient Case — SYN-001</w:t>
      </w:r>
    </w:p>
    <w:p>
      <w:r>
        <w:rPr>
          <w:i/>
          <w:iCs/>
        </w:rPr>
        <w:t xml:space="preserve">All data in this document is entirely fictional. No real patient's information is used or referenced. Generated for RAG corpus testing purposes only — not for clinical use.</w:t>
      </w:r>
    </w:p>
    <w:p/>
    <w:p>
      <w:pPr>
        <w:pStyle w:val="Heading2"/>
      </w:pPr>
      <w:r>
        <w:t xml:space="preserve">Case Metadata</w:t>
      </w:r>
    </w:p>
    <w:p>
      <w:r>
        <w:rPr>
          <w:b/>
          <w:bCs/>
        </w:rPr>
        <w:t xml:space="preserve">Case ID: </w:t>
      </w:r>
      <w:r>
        <w:t xml:space="preserve">SYN-001</w:t>
      </w:r>
    </w:p>
    <w:p>
      <w:r>
        <w:rPr>
          <w:b/>
          <w:bCs/>
        </w:rPr>
        <w:t xml:space="preserve">Synthetic patient ID: </w:t>
      </w:r>
      <w:r>
        <w:t xml:space="preserve">PT-SYN-001</w:t>
      </w:r>
    </w:p>
    <w:p>
      <w:r>
        <w:rPr>
          <w:b/>
          <w:bCs/>
        </w:rPr>
        <w:t xml:space="preserve">Author / date generated: </w:t>
      </w:r>
      <w:r>
        <w:t xml:space="preserve">2026-08-20</w:t>
      </w:r>
    </w:p>
    <w:p>
      <w:r>
        <w:rPr>
          <w:b/>
          <w:bCs/>
        </w:rPr>
        <w:t xml:space="preserve">Difficulty tag: </w:t>
      </w:r>
      <w:r>
        <w:t xml:space="preserve">straightforward</w:t>
      </w:r>
    </w:p>
    <w:p>
      <w:r>
        <w:rPr>
          <w:b/>
          <w:bCs/>
        </w:rPr>
        <w:t xml:space="preserve">Intended test purpose: </w:t>
      </w:r>
      <w:r>
        <w:t xml:space="preserve">Tests basic guideline retrieval and second-agent titration reasoning.</w:t>
      </w:r>
    </w:p>
    <w:p/>
    <w:p>
      <w:pPr>
        <w:pStyle w:val="Heading2"/>
      </w:pPr>
      <w:r>
        <w:t xml:space="preserve">Patient Summary (Synthetic)</w:t>
      </w:r>
    </w:p>
    <w:p>
      <w:r>
        <w:rPr>
          <w:b/>
          <w:bCs/>
        </w:rPr>
        <w:t xml:space="preserve">Age / sex: </w:t>
      </w:r>
      <w:r>
        <w:t xml:space="preserve">58, male</w:t>
      </w:r>
    </w:p>
    <w:p>
      <w:r>
        <w:rPr>
          <w:b/>
          <w:bCs/>
        </w:rPr>
        <w:t xml:space="preserve">Current medications (fictional): </w:t>
      </w:r>
      <w:r>
        <w:t xml:space="preserve">Metformin 1000mg BID for type 2 diabetes (diagnosed 4 years ago), lisinopril 10mg daily for hypertension.</w:t>
      </w:r>
    </w:p>
    <w:p>
      <w:r>
        <w:rPr>
          <w:b/>
          <w:bCs/>
        </w:rPr>
        <w:t xml:space="preserve">Presenting complaint: </w:t>
      </w:r>
      <w:r>
        <w:t xml:space="preserve">Routine follow-up; HbA1c has crept up from 7.1% to 7.8% over the last 6 months despite reported medication adherence.</w:t>
      </w:r>
    </w:p>
    <w:p/>
    <w:p>
      <w:r>
        <w:t xml:space="preserve">Patient reports good adherence to current regimen and moderate exercise, but recent HbA1c trend is upward. No new symptoms of hyperglycemia. Blood pressure well controlled at 128/78.</w:t>
      </w:r>
    </w:p>
    <w:p/>
    <w:p>
      <w:pPr>
        <w:pStyle w:val="Heading2"/>
      </w:pPr>
      <w:r>
        <w:t xml:space="preserve">Clinical Question Posed to System</w:t>
      </w:r>
    </w:p>
    <w:p>
      <w:r>
        <w:t xml:space="preserve">Given his current metformin dose and rising HbA1c, is it appropriate to add a second oral agent, and if so what class would guidelines recommend first-line?</w:t>
      </w:r>
    </w:p>
    <w:p/>
    <w:p>
      <w:pPr>
        <w:pStyle w:val="Heading2"/>
      </w:pPr>
      <w:r>
        <w:t xml:space="preserve">Expected Behavior (for evaluation harness / golden set)</w:t>
      </w:r>
    </w:p>
    <w:p>
      <w:r>
        <w:t xml:space="preserve">Expected retrieved guideline(s): NICE NG28. Expected safety-check outcome: no interaction. Expected refusal: no.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2026-08-28T13:25:08.294Z</dcterms:created>
  <dcterms:modified xsi:type="dcterms:W3CDTF">2026-08-28T13:25:08.294Z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