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SYN-002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SYN-002</w:t>
      </w:r>
    </w:p>
    <w:p>
      <w:r>
        <w:rPr>
          <w:b/>
          <w:bCs/>
        </w:rPr>
        <w:t xml:space="preserve">Synthetic patient ID: </w:t>
      </w:r>
      <w:r>
        <w:t xml:space="preserve">PT-SYN-002</w:t>
      </w:r>
    </w:p>
    <w:p>
      <w:r>
        <w:rPr>
          <w:b/>
          <w:bCs/>
        </w:rPr>
        <w:t xml:space="preserve">Author / date generated: </w:t>
      </w:r>
      <w:r>
        <w:t xml:space="preserve">2026-08-20</w:t>
      </w:r>
    </w:p>
    <w:p>
      <w:r>
        <w:rPr>
          <w:b/>
          <w:bCs/>
        </w:rPr>
        <w:t xml:space="preserve">Difficulty tag: </w:t>
      </w:r>
      <w:r>
        <w:t xml:space="preserve">straightforward</w:t>
      </w:r>
    </w:p>
    <w:p>
      <w:r>
        <w:rPr>
          <w:b/>
          <w:bCs/>
        </w:rPr>
        <w:t xml:space="preserve">Intended test purpose: </w:t>
      </w:r>
      <w:r>
        <w:t xml:space="preserve">Tests side-effect vs. dose-adjustment reasoning.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65, female</w:t>
      </w:r>
    </w:p>
    <w:p>
      <w:r>
        <w:rPr>
          <w:b/>
          <w:bCs/>
        </w:rPr>
        <w:t xml:space="preserve">Current medications (fictional): </w:t>
      </w:r>
      <w:r>
        <w:t xml:space="preserve">Amlodipine 5mg daily for hypertension; no diabetes diagnosis.</w:t>
      </w:r>
    </w:p>
    <w:p>
      <w:r>
        <w:rPr>
          <w:b/>
          <w:bCs/>
        </w:rPr>
        <w:t xml:space="preserve">Presenting complaint: </w:t>
      </w:r>
      <w:r>
        <w:t xml:space="preserve">Mild bilateral ankle swelling noted over the past 2 weeks.</w:t>
      </w:r>
    </w:p>
    <w:p/>
    <w:p>
      <w:r>
        <w:t xml:space="preserve">Blood pressure at today's visit is 132/82, improved from prior readings. No signs of heart failure on exam. Swelling is mild and non-tender.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Is the ankle swelling likely related to her amlodipine, and does guidance support switching antihypertensive class versus dose adjustment?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retrieved guideline(s): WHO hypertension guideline. Expected safety-check outcome: no interaction. Expected refusal: 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2026-08-28T13:25:08.387Z</dcterms:created>
  <dcterms:modified xsi:type="dcterms:W3CDTF">2026-08-28T13:25:08.387Z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