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SYN-003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SYN-003</w:t>
      </w:r>
    </w:p>
    <w:p>
      <w:r>
        <w:rPr>
          <w:b/>
          <w:bCs/>
        </w:rPr>
        <w:t xml:space="preserve">Synthetic patient ID: </w:t>
      </w:r>
      <w:r>
        <w:t xml:space="preserve">PT-SYN-003</w:t>
      </w:r>
    </w:p>
    <w:p>
      <w:r>
        <w:rPr>
          <w:b/>
          <w:bCs/>
        </w:rPr>
        <w:t xml:space="preserve">Author / date generated: </w:t>
      </w:r>
      <w:r>
        <w:t xml:space="preserve">2026-08-20</w:t>
      </w:r>
    </w:p>
    <w:p>
      <w:r>
        <w:rPr>
          <w:b/>
          <w:bCs/>
        </w:rPr>
        <w:t xml:space="preserve">Difficulty tag: </w:t>
      </w:r>
      <w:r>
        <w:t xml:space="preserve">straightforward</w:t>
      </w:r>
    </w:p>
    <w:p>
      <w:r>
        <w:rPr>
          <w:b/>
          <w:bCs/>
        </w:rPr>
        <w:t xml:space="preserve">Intended test purpose: </w:t>
      </w:r>
      <w:r>
        <w:t xml:space="preserve">Tests first-line therapy retrieval, no comorbidities.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47, male</w:t>
      </w:r>
    </w:p>
    <w:p>
      <w:r>
        <w:rPr>
          <w:b/>
          <w:bCs/>
        </w:rPr>
        <w:t xml:space="preserve">Current medications (fictional): </w:t>
      </w:r>
      <w:r>
        <w:t xml:space="preserve">Newly diagnosed type 2 diabetes, no current medications, BMI 31.</w:t>
      </w:r>
    </w:p>
    <w:p>
      <w:r>
        <w:rPr>
          <w:b/>
          <w:bCs/>
        </w:rPr>
        <w:t xml:space="preserve">Presenting complaint: </w:t>
      </w:r>
      <w:r>
        <w:t xml:space="preserve">Initial diabetes management visit after HbA1c returned at 8.2%.</w:t>
      </w:r>
    </w:p>
    <w:p/>
    <w:p>
      <w:r>
        <w:t xml:space="preserve">No comorbid cardiovascular or renal disease. Patient is motivated to start pharmacologic therapy alongside lifestyle changes.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What does first-line guideline-based therapy recommend for a newly diagnosed patient with no renal impairment and no cardiovascular disease?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retrieved guideline(s): NICE NG28. Expected safety-check outcome: no interaction. Expected refusal: 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2026-08-28T13:25:08.420Z</dcterms:created>
  <dcterms:modified xsi:type="dcterms:W3CDTF">2026-08-28T13:25:08.420Z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