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SYN-008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SYN-008</w:t>
      </w:r>
    </w:p>
    <w:p>
      <w:r>
        <w:rPr>
          <w:b/>
          <w:bCs/>
        </w:rPr>
        <w:t xml:space="preserve">Synthetic patient ID: </w:t>
      </w:r>
      <w:r>
        <w:t xml:space="preserve">PT-SYN-008</w:t>
      </w:r>
    </w:p>
    <w:p>
      <w:r>
        <w:rPr>
          <w:b/>
          <w:bCs/>
        </w:rPr>
        <w:t xml:space="preserve">Author / date generated: </w:t>
      </w:r>
      <w:r>
        <w:t xml:space="preserve">2026-08-21</w:t>
      </w:r>
    </w:p>
    <w:p>
      <w:r>
        <w:rPr>
          <w:b/>
          <w:bCs/>
        </w:rPr>
        <w:t xml:space="preserve">Difficulty tag: </w:t>
      </w:r>
      <w:r>
        <w:t xml:space="preserve">comorbidity</w:t>
      </w:r>
    </w:p>
    <w:p>
      <w:r>
        <w:rPr>
          <w:b/>
          <w:bCs/>
        </w:rPr>
        <w:t xml:space="preserve">Intended test purpose: </w:t>
      </w:r>
      <w:r>
        <w:t xml:space="preserve">Tests diabetes + HFrEF overlapping therapy reasoning.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63, female</w:t>
      </w:r>
    </w:p>
    <w:p>
      <w:r>
        <w:rPr>
          <w:b/>
          <w:bCs/>
        </w:rPr>
        <w:t xml:space="preserve">Current medications (fictional): </w:t>
      </w:r>
      <w:r>
        <w:t xml:space="preserve">Metformin, empagliflozin, lisinopril; recent diagnosis of heart failure with reduced ejection fraction (HFrEF).</w:t>
      </w:r>
    </w:p>
    <w:p>
      <w:r>
        <w:rPr>
          <w:b/>
          <w:bCs/>
        </w:rPr>
        <w:t xml:space="preserve">Presenting complaint: </w:t>
      </w:r>
      <w:r>
        <w:t xml:space="preserve">Shortness of breath on exertion, new diagnosis of HFrEF at cardiology visit.</w:t>
      </w:r>
    </w:p>
    <w:p/>
    <w:p>
      <w:r>
        <w:t xml:space="preserve">Diabetes has been well controlled (HbA1c 6.9%). Cardiology has recommended guideline-directed medical therapy for HFrEF alongside her diabetes regimen.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Given her new HFrEF diagnosis, does current guidance support continuing her SGLT2 inhibitor, and are there additional recommended therapies that overlap between her diabetes and heart failure management?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retrieved guideline(s): NICE NG28 + cross-reference. Expected refusal: 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2026-08-28T13:25:08.597Z</dcterms:created>
  <dcterms:modified xsi:type="dcterms:W3CDTF">2026-08-28T13:25:08.597Z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