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3CD0778F"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ins w:id="0" w:author="伊藤　宏幸" w:date="2017-03-28T12:28:00Z">
        <w:r w:rsidR="00811D96">
          <w:rPr>
            <w:rFonts w:asciiTheme="minorEastAsia" w:hAnsiTheme="minorEastAsia" w:hint="eastAsia"/>
            <w:lang w:eastAsia="ja-JP"/>
          </w:rPr>
          <w:t>を</w:t>
        </w:r>
      </w:ins>
      <w:del w:id="1" w:author="伊藤　宏幸" w:date="2017-03-28T12:28:00Z">
        <w:r w:rsidRPr="004E6598" w:rsidDel="00811D96">
          <w:rPr>
            <w:rFonts w:asciiTheme="minorEastAsia" w:hAnsiTheme="minorEastAsia" w:hint="eastAsia"/>
            <w:lang w:eastAsia="ja-JP"/>
          </w:rPr>
          <w:delText>が</w:delText>
        </w:r>
      </w:del>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hint="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ins w:id="2" w:author="伊藤　宏幸" w:date="2017-03-28T12:24:00Z">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ins>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ins w:id="3" w:author="伊藤　宏幸" w:date="2017-03-28T12:35:00Z">
        <w:r w:rsidR="001A7A28">
          <w:rPr>
            <w:rFonts w:asciiTheme="minorEastAsia" w:hAnsiTheme="minorEastAsia" w:hint="eastAsia"/>
            <w:lang w:eastAsia="ja-JP"/>
          </w:rPr>
          <w:t>絞り込んだ</w:t>
        </w:r>
      </w:ins>
      <w:ins w:id="4" w:author="伊藤　宏幸" w:date="2017-03-28T12:29:00Z">
        <w:r w:rsidR="00A30E67">
          <w:rPr>
            <w:rFonts w:asciiTheme="minorEastAsia" w:hAnsiTheme="minorEastAsia" w:hint="eastAsia"/>
            <w:lang w:eastAsia="ja-JP"/>
          </w:rPr>
          <w:t>メトリクスが適切でなければ、</w:t>
        </w:r>
      </w:ins>
      <w:ins w:id="5" w:author="伊藤　宏幸" w:date="2017-03-28T12:30:00Z">
        <w:r w:rsidR="00A30E67">
          <w:rPr>
            <w:rFonts w:asciiTheme="minorEastAsia" w:hAnsiTheme="minorEastAsia" w:hint="eastAsia"/>
            <w:lang w:eastAsia="ja-JP"/>
          </w:rPr>
          <w:t>都度見直す。</w:t>
        </w:r>
      </w:ins>
      <w:bookmarkStart w:id="6" w:name="_GoBack"/>
      <w:bookmarkEnd w:id="6"/>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3088A4E4"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r w:rsidR="0053212A">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自分たち</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w:t>
      </w:r>
      <w:proofErr w:type="gramStart"/>
      <w:r w:rsidRPr="00012FE1">
        <w:rPr>
          <w:rFonts w:asciiTheme="minorEastAsia" w:hAnsiTheme="minorEastAsia" w:cs="Helvetica" w:hint="eastAsia"/>
          <w:color w:val="000000"/>
          <w:lang w:eastAsia="ja-JP"/>
        </w:rPr>
        <w:t>化</w:t>
      </w:r>
      <w:r w:rsidR="0054394F" w:rsidRPr="00012FE1">
        <w:rPr>
          <w:rFonts w:asciiTheme="minorEastAsia" w:hAnsiTheme="minorEastAsia" w:cs="Helvetica" w:hint="eastAsia"/>
          <w:color w:val="000000"/>
          <w:lang w:eastAsia="ja-JP"/>
        </w:rPr>
        <w:t>しようと</w:t>
      </w:r>
      <w:proofErr w:type="gramEnd"/>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3B070623" w14:textId="77777777" w:rsidR="00BE21CE" w:rsidRPr="001051E7"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6719D" w14:textId="77777777" w:rsidR="007A470D" w:rsidRDefault="007A470D"/>
  </w:endnote>
  <w:endnote w:type="continuationSeparator" w:id="0">
    <w:p w14:paraId="50705E8F" w14:textId="77777777" w:rsidR="007A470D" w:rsidRDefault="007A470D">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ＭＳ 明朝"/>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1A7A28">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45A1F" w14:textId="77777777" w:rsidR="007A470D" w:rsidRPr="00961868" w:rsidRDefault="007A470D">
      <w:pPr>
        <w:rPr>
          <w:rFonts w:ascii="NewCenturySchlbk" w:hAnsi="NewCenturySchlbk"/>
        </w:rPr>
      </w:pPr>
      <w:r w:rsidRPr="00961868">
        <w:rPr>
          <w:rFonts w:ascii="NewCenturySchlbk" w:hAnsi="NewCenturySchlbk"/>
        </w:rPr>
        <w:separator/>
      </w:r>
    </w:p>
  </w:footnote>
  <w:footnote w:type="continuationSeparator" w:id="0">
    <w:p w14:paraId="3255FD3A" w14:textId="77777777" w:rsidR="007A470D" w:rsidRDefault="007A4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72B8"/>
    <w:rsid w:val="0005060D"/>
    <w:rsid w:val="00053A13"/>
    <w:rsid w:val="00055401"/>
    <w:rsid w:val="00060117"/>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446"/>
    <w:rsid w:val="0028499C"/>
    <w:rsid w:val="00290D9C"/>
    <w:rsid w:val="00297CF3"/>
    <w:rsid w:val="002A4BB0"/>
    <w:rsid w:val="002A5C1E"/>
    <w:rsid w:val="002A7182"/>
    <w:rsid w:val="002B5013"/>
    <w:rsid w:val="002B6764"/>
    <w:rsid w:val="002C1666"/>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40D7"/>
    <w:rsid w:val="00A55EC8"/>
    <w:rsid w:val="00A6188B"/>
    <w:rsid w:val="00A756B2"/>
    <w:rsid w:val="00A75964"/>
    <w:rsid w:val="00A81DFE"/>
    <w:rsid w:val="00A84287"/>
    <w:rsid w:val="00A90857"/>
    <w:rsid w:val="00A920B6"/>
    <w:rsid w:val="00A95B6C"/>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55A"/>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E7EC5-2838-614B-904F-92E18B44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1265</Words>
  <Characters>7212</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8461</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452</cp:revision>
  <cp:lastPrinted>2016-01-12T21:44:00Z</cp:lastPrinted>
  <dcterms:created xsi:type="dcterms:W3CDTF">2017-01-15T05:20:00Z</dcterms:created>
  <dcterms:modified xsi:type="dcterms:W3CDTF">2017-03-28T03:35:00Z</dcterms:modified>
  <cp:category/>
</cp:coreProperties>
</file>