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a scenario;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a scenario,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 It is also how hill climbing really goes: when this demo was built, fixing the 12 exposed four more failures, all from the frustrated persona's follow-up questions (fees, the payment schedule, "will this stop a disconnection?", "will my service stay on?"). Each was the agent helpfully stating a fact it didn't have, and each was fixed by putting the fact where the agent could ground on it: the tool's result (schedule and BP-210 terms) and the policy, not by prompting harder. Those fixes are already in the pack, so the class sees the first climb; tell the rest as the story.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I built this, fixing the 12 wasn't the end. The frustrated customer kept asking follow-ups: are there fees, will my service stay on? Every time, the agent made up a reassuring answer and the hallucination check caught it. The fix was never a stronger prompt. It was giving the agent the fact, in the tool's result or the policy.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sometimes the judge is the one that's wrong. Read its reasoning before you change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0"/>
                <w:szCs w:val="20"/>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2026-10-01T01:33:05.157Z</dcterms:created>
  <dcterms:modified xsi:type="dcterms:W3CDTF">2026-10-01T01:33:05.157Z</dcterms:modified>
</cp:coreProperties>
</file>

<file path=docProps/custom.xml><?xml version="1.0" encoding="utf-8"?>
<Properties xmlns="http://schemas.openxmlformats.org/officeDocument/2006/custom-properties" xmlns:vt="http://schemas.openxmlformats.org/officeDocument/2006/docPropsVTypes"/>
</file>