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454B" w14:textId="13F92E3C" w:rsidR="00B34EF4" w:rsidRPr="00024776" w:rsidRDefault="00B34EF4" w:rsidP="00B34EF4">
      <w:pPr>
        <w:rPr>
          <w:rFonts w:ascii="Bookman Old Style" w:eastAsia="Adobe Myungjo Std M" w:hAnsi="Bookman Old Style"/>
          <w:b/>
          <w:sz w:val="28"/>
        </w:rPr>
      </w:pPr>
      <w:r w:rsidRPr="00024776">
        <w:rPr>
          <w:rFonts w:ascii="Bookman Old Style" w:eastAsia="Adobe Myungjo Std M" w:hAnsi="Bookman Old Style"/>
          <w:b/>
          <w:noProof/>
          <w:sz w:val="28"/>
        </w:rPr>
        <mc:AlternateContent>
          <mc:Choice Requires="wps">
            <w:drawing>
              <wp:anchor distT="0" distB="0" distL="114300" distR="114300" simplePos="0" relativeHeight="251659264" behindDoc="0" locked="0" layoutInCell="1" allowOverlap="1" wp14:anchorId="0F8F0338" wp14:editId="7C7B34BC">
                <wp:simplePos x="0" y="0"/>
                <wp:positionH relativeFrom="margin">
                  <wp:align>left</wp:align>
                </wp:positionH>
                <wp:positionV relativeFrom="paragraph">
                  <wp:posOffset>483673</wp:posOffset>
                </wp:positionV>
                <wp:extent cx="5941155" cy="0"/>
                <wp:effectExtent l="0" t="19050" r="21590" b="19050"/>
                <wp:wrapNone/>
                <wp:docPr id="1" name="Straight Connector 1"/>
                <wp:cNvGraphicFramePr/>
                <a:graphic xmlns:a="http://schemas.openxmlformats.org/drawingml/2006/main">
                  <a:graphicData uri="http://schemas.microsoft.com/office/word/2010/wordprocessingShape">
                    <wps:wsp>
                      <wps:cNvCnPr/>
                      <wps:spPr>
                        <a:xfrm flipV="1">
                          <a:off x="0" y="0"/>
                          <a:ext cx="5941155" cy="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CD7B96" id="Straight Connector 1" o:spid="_x0000_s1026" style="position:absolute;left:0;text-align:left;flip:y;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38.1pt" to="467.8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" strokecolor="#0d0d0d [3069]" strokeweight="3pt">
                <v:stroke joinstyle="miter"/>
                <w10:wrap anchorx="margin"/>
              </v:line>
            </w:pict>
          </mc:Fallback>
        </mc:AlternateContent>
      </w:r>
      <w:r w:rsidR="00614B20">
        <w:rPr>
          <w:rFonts w:ascii="Bookman Old Style" w:eastAsia="Adobe Myungjo Std M" w:hAnsi="Bookman Old Style"/>
          <w:b/>
          <w:sz w:val="28"/>
        </w:rPr>
        <w:t xml:space="preserve">Identifying </w:t>
      </w:r>
      <w:r w:rsidR="0040790A" w:rsidRPr="00024776">
        <w:rPr>
          <w:rFonts w:ascii="Bookman Old Style" w:eastAsia="Adobe Myungjo Std M" w:hAnsi="Bookman Old Style"/>
          <w:b/>
          <w:sz w:val="28"/>
        </w:rPr>
        <w:t>club convergence</w:t>
      </w:r>
      <w:r w:rsidR="00614B20">
        <w:rPr>
          <w:rFonts w:ascii="Bookman Old Style" w:eastAsia="Adobe Myungjo Std M" w:hAnsi="Bookman Old Style"/>
          <w:b/>
          <w:sz w:val="28"/>
        </w:rPr>
        <w:t xml:space="preserve"> of regional wage in Indonesia</w:t>
      </w:r>
      <w:r w:rsidR="004260C9">
        <w:rPr>
          <w:rFonts w:ascii="Bookman Old Style" w:eastAsia="Adobe Myungjo Std M" w:hAnsi="Bookman Old Style"/>
          <w:b/>
          <w:sz w:val="28"/>
        </w:rPr>
        <w:t xml:space="preserve"> and</w:t>
      </w:r>
      <w:r w:rsidR="0040790A" w:rsidRPr="00024776">
        <w:rPr>
          <w:rFonts w:ascii="Bookman Old Style" w:eastAsia="Adobe Myungjo Std M" w:hAnsi="Bookman Old Style"/>
          <w:b/>
          <w:sz w:val="28"/>
        </w:rPr>
        <w:t xml:space="preserve"> </w:t>
      </w:r>
      <w:r w:rsidR="00614B20">
        <w:rPr>
          <w:rFonts w:ascii="Bookman Old Style" w:eastAsia="Adobe Myungjo Std M" w:hAnsi="Bookman Old Style"/>
          <w:b/>
          <w:sz w:val="28"/>
        </w:rPr>
        <w:t xml:space="preserve">the </w:t>
      </w:r>
      <w:r w:rsidR="0040790A" w:rsidRPr="00024776">
        <w:rPr>
          <w:rFonts w:ascii="Bookman Old Style" w:eastAsia="Adobe Myungjo Std M" w:hAnsi="Bookman Old Style"/>
          <w:b/>
          <w:sz w:val="28"/>
        </w:rPr>
        <w:t>influencing factors</w:t>
      </w:r>
    </w:p>
    <w:p w14:paraId="69694A53" w14:textId="6F08BE46" w:rsidR="00B34EF4" w:rsidRPr="00024776" w:rsidRDefault="00EB6E93" w:rsidP="00B34EF4">
      <w:pPr>
        <w:rPr>
          <w:rFonts w:ascii="Bookman Old Style" w:eastAsia="Adobe Myungjo Std M" w:hAnsi="Bookman Old Style"/>
          <w:b/>
          <w:sz w:val="24"/>
        </w:rPr>
      </w:pPr>
      <w:r w:rsidRPr="00024776">
        <w:rPr>
          <w:rFonts w:ascii="Bookman Old Style" w:eastAsia="Adobe Myungjo Std M" w:hAnsi="Bookman Old Style"/>
          <w:sz w:val="20"/>
        </w:rPr>
        <w:t xml:space="preserve">Muhamad Rifki Maulana*, </w:t>
      </w:r>
      <w:r w:rsidR="00B34EF4" w:rsidRPr="00024776">
        <w:rPr>
          <w:rFonts w:ascii="Bookman Old Style" w:eastAsia="Adobe Myungjo Std M" w:hAnsi="Bookman Old Style"/>
          <w:sz w:val="20"/>
        </w:rPr>
        <w:t>Harry Aginta*</w:t>
      </w:r>
      <w:r w:rsidRPr="00024776">
        <w:rPr>
          <w:rFonts w:ascii="Bookman Old Style" w:eastAsia="Adobe Myungjo Std M" w:hAnsi="Bookman Old Style"/>
          <w:sz w:val="20"/>
        </w:rPr>
        <w:t>*</w:t>
      </w:r>
    </w:p>
    <w:p w14:paraId="4EE98304" w14:textId="6929A91A" w:rsidR="00EB6E93" w:rsidRPr="00024776" w:rsidRDefault="00B34EF4" w:rsidP="00EB6E93">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 xml:space="preserve">*    </w:t>
      </w:r>
      <w:r w:rsidR="00EB6E93" w:rsidRPr="00024776">
        <w:rPr>
          <w:rFonts w:ascii="Bookman Old Style" w:eastAsia="Adobe Myungjo Std M" w:hAnsi="Bookman Old Style"/>
          <w:i/>
          <w:sz w:val="16"/>
          <w:szCs w:val="18"/>
        </w:rPr>
        <w:t xml:space="preserve">Junior Economist </w:t>
      </w:r>
      <w:r w:rsidR="000A3382" w:rsidRPr="00024776">
        <w:rPr>
          <w:rFonts w:ascii="Bookman Old Style" w:eastAsia="Adobe Myungjo Std M" w:hAnsi="Bookman Old Style"/>
          <w:i/>
          <w:sz w:val="16"/>
          <w:szCs w:val="18"/>
        </w:rPr>
        <w:t>of</w:t>
      </w:r>
      <w:r w:rsidR="00EB6E93" w:rsidRPr="00024776">
        <w:rPr>
          <w:rFonts w:ascii="Bookman Old Style" w:eastAsia="Adobe Myungjo Std M" w:hAnsi="Bookman Old Style"/>
          <w:i/>
          <w:sz w:val="16"/>
          <w:szCs w:val="18"/>
        </w:rPr>
        <w:t xml:space="preserve"> Bank of Indonesia East Kalimantan Representative Office</w:t>
      </w:r>
    </w:p>
    <w:p w14:paraId="07554A91" w14:textId="11DD6CE8" w:rsidR="00B34EF4" w:rsidRPr="00024776" w:rsidRDefault="00EB6E93" w:rsidP="00B34EF4">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w:t>
      </w:r>
      <w:proofErr w:type="gramStart"/>
      <w:r w:rsidRPr="00024776">
        <w:rPr>
          <w:rFonts w:ascii="Bookman Old Style" w:eastAsia="Adobe Myungjo Std M" w:hAnsi="Bookman Old Style"/>
          <w:i/>
          <w:sz w:val="16"/>
          <w:szCs w:val="18"/>
        </w:rPr>
        <w:t xml:space="preserve">*  </w:t>
      </w:r>
      <w:r w:rsidR="00B34EF4" w:rsidRPr="00024776">
        <w:rPr>
          <w:rFonts w:ascii="Bookman Old Style" w:eastAsia="Adobe Myungjo Std M" w:hAnsi="Bookman Old Style"/>
          <w:i/>
          <w:sz w:val="16"/>
          <w:szCs w:val="18"/>
        </w:rPr>
        <w:t>Senior</w:t>
      </w:r>
      <w:proofErr w:type="gramEnd"/>
      <w:r w:rsidR="00B34EF4" w:rsidRPr="00024776">
        <w:rPr>
          <w:rFonts w:ascii="Bookman Old Style" w:eastAsia="Adobe Myungjo Std M" w:hAnsi="Bookman Old Style"/>
          <w:i/>
          <w:sz w:val="16"/>
          <w:szCs w:val="18"/>
        </w:rPr>
        <w:t xml:space="preserve"> Economist </w:t>
      </w:r>
      <w:r w:rsidR="000A3382" w:rsidRPr="00024776">
        <w:rPr>
          <w:rFonts w:ascii="Bookman Old Style" w:eastAsia="Adobe Myungjo Std M" w:hAnsi="Bookman Old Style"/>
          <w:i/>
          <w:sz w:val="16"/>
          <w:szCs w:val="18"/>
        </w:rPr>
        <w:t>of</w:t>
      </w:r>
      <w:r w:rsidR="00B34EF4" w:rsidRPr="00024776">
        <w:rPr>
          <w:rFonts w:ascii="Bookman Old Style" w:eastAsia="Adobe Myungjo Std M" w:hAnsi="Bookman Old Style"/>
          <w:i/>
          <w:sz w:val="16"/>
          <w:szCs w:val="18"/>
        </w:rPr>
        <w:t xml:space="preserve"> Bank of Indonesia and </w:t>
      </w:r>
      <w:r w:rsidRPr="00024776">
        <w:rPr>
          <w:rFonts w:ascii="Bookman Old Style" w:eastAsia="Adobe Myungjo Std M" w:hAnsi="Bookman Old Style"/>
          <w:i/>
          <w:sz w:val="16"/>
          <w:szCs w:val="18"/>
        </w:rPr>
        <w:t xml:space="preserve">PhD student </w:t>
      </w:r>
      <w:r w:rsidR="000A3382" w:rsidRPr="00024776">
        <w:rPr>
          <w:rFonts w:ascii="Bookman Old Style" w:eastAsia="Adobe Myungjo Std M" w:hAnsi="Bookman Old Style"/>
          <w:i/>
          <w:sz w:val="16"/>
          <w:szCs w:val="18"/>
        </w:rPr>
        <w:t>at</w:t>
      </w:r>
      <w:r w:rsidR="00B34EF4" w:rsidRPr="00024776">
        <w:rPr>
          <w:rFonts w:ascii="Bookman Old Style" w:eastAsia="Adobe Myungjo Std M" w:hAnsi="Bookman Old Style"/>
          <w:i/>
          <w:sz w:val="16"/>
          <w:szCs w:val="18"/>
        </w:rPr>
        <w:t xml:space="preserve"> Nagoya Universi</w:t>
      </w:r>
      <w:r w:rsidRPr="00024776">
        <w:rPr>
          <w:rFonts w:ascii="Bookman Old Style" w:eastAsia="Adobe Myungjo Std M" w:hAnsi="Bookman Old Style"/>
          <w:i/>
          <w:sz w:val="16"/>
          <w:szCs w:val="18"/>
        </w:rPr>
        <w:t>ty</w:t>
      </w:r>
    </w:p>
    <w:p w14:paraId="40AA897D" w14:textId="27566E08" w:rsidR="00B34EF4" w:rsidRPr="00024776" w:rsidRDefault="00B34EF4" w:rsidP="00B97059">
      <w:pPr>
        <w:rPr>
          <w:rFonts w:ascii="Bookman Old Style" w:eastAsia="Adobe Myungjo Std M" w:hAnsi="Bookman Old Style"/>
          <w:i/>
          <w:sz w:val="18"/>
          <w:szCs w:val="18"/>
        </w:rPr>
      </w:pPr>
    </w:p>
    <w:p w14:paraId="696959F2" w14:textId="77777777" w:rsidR="00B34EF4" w:rsidRPr="00024776" w:rsidRDefault="00B34EF4" w:rsidP="00B34EF4">
      <w:pPr>
        <w:jc w:val="center"/>
        <w:rPr>
          <w:rFonts w:ascii="Bookman Old Style" w:eastAsia="Adobe Myungjo Std M" w:hAnsi="Bookman Old Style"/>
          <w:b/>
          <w:szCs w:val="18"/>
        </w:rPr>
      </w:pPr>
      <w:r w:rsidRPr="00024776">
        <w:rPr>
          <w:rFonts w:ascii="Bookman Old Style" w:eastAsia="Adobe Myungjo Std M" w:hAnsi="Bookman Old Style"/>
          <w:b/>
          <w:szCs w:val="18"/>
        </w:rPr>
        <w:t>A B S T R A C T</w:t>
      </w:r>
    </w:p>
    <w:p w14:paraId="1D785E8A" w14:textId="77777777" w:rsidR="00E45402" w:rsidRPr="00024776" w:rsidRDefault="00E45402" w:rsidP="00687DA4">
      <w:pPr>
        <w:spacing w:after="0" w:line="360" w:lineRule="auto"/>
        <w:jc w:val="both"/>
        <w:rPr>
          <w:rFonts w:eastAsia="Adobe Myungjo Std M" w:cstheme="minorHAnsi"/>
          <w:sz w:val="18"/>
          <w:szCs w:val="18"/>
        </w:rPr>
      </w:pPr>
    </w:p>
    <w:p w14:paraId="78ADF779" w14:textId="5E227C40" w:rsidR="00AF01D2" w:rsidRPr="00024776" w:rsidRDefault="00EF47BD" w:rsidP="00AF01D2">
      <w:pPr>
        <w:spacing w:after="0" w:line="360" w:lineRule="auto"/>
        <w:jc w:val="both"/>
      </w:pPr>
      <w:r>
        <w:t>T</w:t>
      </w:r>
      <w:r w:rsidR="00687DA4" w:rsidRPr="00024776">
        <w:t xml:space="preserve">his paper </w:t>
      </w:r>
      <w:r w:rsidR="004053BF" w:rsidRPr="00024776">
        <w:t>aims</w:t>
      </w:r>
      <w:r w:rsidR="00687DA4" w:rsidRPr="00024776">
        <w:t xml:space="preserve"> to empirically </w:t>
      </w:r>
      <w:r w:rsidR="00EA155C" w:rsidRPr="00024776">
        <w:t xml:space="preserve">evaluate regional wage convergence </w:t>
      </w:r>
      <w:r w:rsidR="00587EAC" w:rsidRPr="00024776">
        <w:t>of</w:t>
      </w:r>
      <w:r w:rsidR="00687DA4" w:rsidRPr="00024776">
        <w:t xml:space="preserve"> </w:t>
      </w:r>
      <w:r w:rsidR="00FD24B1" w:rsidRPr="00024776">
        <w:t xml:space="preserve">34 </w:t>
      </w:r>
      <w:r w:rsidR="00687DA4" w:rsidRPr="00024776">
        <w:t>Indonesia</w:t>
      </w:r>
      <w:r w:rsidR="00FD24B1" w:rsidRPr="00024776">
        <w:t>n</w:t>
      </w:r>
      <w:r w:rsidR="00687DA4" w:rsidRPr="00024776">
        <w:t xml:space="preserve"> </w:t>
      </w:r>
      <w:r w:rsidR="00FD24B1" w:rsidRPr="00024776">
        <w:t>province</w:t>
      </w:r>
      <w:r w:rsidR="00EA155C" w:rsidRPr="00024776">
        <w:t>s</w:t>
      </w:r>
      <w:r>
        <w:t xml:space="preserve">. By </w:t>
      </w:r>
      <w:r w:rsidR="009C405D">
        <w:t xml:space="preserve">applying </w:t>
      </w:r>
      <w:r>
        <w:t xml:space="preserve">the club convergence technique </w:t>
      </w:r>
      <w:r w:rsidR="009C405D">
        <w:t>(</w:t>
      </w:r>
      <w:r>
        <w:t>Phillips and Sul</w:t>
      </w:r>
      <w:r w:rsidR="009C405D">
        <w:t xml:space="preserve">, </w:t>
      </w:r>
      <w:r>
        <w:t xml:space="preserve">2007, 2009) </w:t>
      </w:r>
      <w:r w:rsidR="009C405D">
        <w:t>on the proxy of real wage data at province level from</w:t>
      </w:r>
      <w:r>
        <w:t xml:space="preserve"> 200</w:t>
      </w:r>
      <w:r w:rsidR="0025643B">
        <w:t>8</w:t>
      </w:r>
      <w:r>
        <w:t>-2020</w:t>
      </w:r>
      <w:r w:rsidR="009C405D">
        <w:t>,</w:t>
      </w:r>
      <w:r w:rsidR="003C1987" w:rsidRPr="00024776">
        <w:t xml:space="preserve"> we find</w:t>
      </w:r>
      <w:r w:rsidR="00153300" w:rsidRPr="00024776">
        <w:t xml:space="preserve"> three significant convergence</w:t>
      </w:r>
      <w:r w:rsidR="007016B9" w:rsidRPr="00024776">
        <w:t xml:space="preserve"> clubs of regional wage</w:t>
      </w:r>
      <w:r w:rsidR="003C1987" w:rsidRPr="00024776">
        <w:t xml:space="preserve">. </w:t>
      </w:r>
      <w:r w:rsidR="00687DA4" w:rsidRPr="00024776">
        <w:t>Furthermore,</w:t>
      </w:r>
      <w:r w:rsidR="00E169DD" w:rsidRPr="00024776">
        <w:t xml:space="preserve"> we explain the influencing factors of club convergence formation.</w:t>
      </w:r>
      <w:r w:rsidR="00687DA4" w:rsidRPr="00024776">
        <w:t xml:space="preserve"> </w:t>
      </w:r>
      <w:r w:rsidR="00E169DD" w:rsidRPr="00024776">
        <w:t>E</w:t>
      </w:r>
      <w:r w:rsidR="00687DA4" w:rsidRPr="00024776">
        <w:t xml:space="preserve">stimates from </w:t>
      </w:r>
      <w:r w:rsidR="00DB2081" w:rsidRPr="00024776">
        <w:t xml:space="preserve">ordered </w:t>
      </w:r>
      <w:r w:rsidR="00687DA4" w:rsidRPr="00024776">
        <w:t xml:space="preserve">logit model </w:t>
      </w:r>
      <w:r w:rsidR="00244EB1" w:rsidRPr="00024776">
        <w:t>inform that the formation of club convergence is significantly explained by</w:t>
      </w:r>
      <w:r w:rsidR="00416E13" w:rsidRPr="00024776">
        <w:t xml:space="preserve"> the following variables: </w:t>
      </w:r>
      <w:r w:rsidR="00687DA4" w:rsidRPr="00024776">
        <w:t xml:space="preserve">initial </w:t>
      </w:r>
      <w:r w:rsidR="00416E13" w:rsidRPr="00024776">
        <w:t>level of wage,</w:t>
      </w:r>
      <w:r w:rsidR="00687DA4" w:rsidRPr="00024776">
        <w:t xml:space="preserve"> </w:t>
      </w:r>
      <w:r w:rsidR="00416E13" w:rsidRPr="00024776">
        <w:t xml:space="preserve">share of employment on </w:t>
      </w:r>
      <w:r w:rsidR="00687DA4" w:rsidRPr="00024776">
        <w:t xml:space="preserve">manufacturing </w:t>
      </w:r>
      <w:r w:rsidR="00416E13" w:rsidRPr="00024776">
        <w:t>sector</w:t>
      </w:r>
      <w:r w:rsidR="00687DA4" w:rsidRPr="00024776">
        <w:t>, investment share</w:t>
      </w:r>
      <w:r w:rsidR="00416E13" w:rsidRPr="00024776">
        <w:t xml:space="preserve"> to GDP</w:t>
      </w:r>
      <w:r w:rsidR="00687DA4" w:rsidRPr="00024776">
        <w:t xml:space="preserve"> and labor force participation rate</w:t>
      </w:r>
      <w:r w:rsidR="00416E13" w:rsidRPr="00024776">
        <w:t>.</w:t>
      </w:r>
      <w:r w:rsidR="006F401A" w:rsidRPr="00024776">
        <w:t xml:space="preserve"> Our findings support the evidence from most of club convergence studies that emphasize the role of initial condition and regional characteristics on the formation of club convergence.</w:t>
      </w:r>
      <w:r w:rsidR="00EB4D34">
        <w:t xml:space="preserve"> </w:t>
      </w:r>
      <w:r w:rsidR="00AF01D2" w:rsidRPr="00080F04">
        <w:t xml:space="preserve">From a policy perspective, our </w:t>
      </w:r>
      <w:r w:rsidR="00AF01D2">
        <w:t xml:space="preserve">result </w:t>
      </w:r>
      <w:r w:rsidR="00AF01D2" w:rsidRPr="00080F04">
        <w:t>of multiple convergence clubs and their influencing factor</w:t>
      </w:r>
      <w:r w:rsidR="00AF01D2">
        <w:t>s should alert the national and regional policymakers to redesign appropriate strategies meant to</w:t>
      </w:r>
      <w:r w:rsidR="00AF01D2">
        <w:rPr>
          <w:rFonts w:hint="eastAsia"/>
        </w:rPr>
        <w:t xml:space="preserve"> </w:t>
      </w:r>
      <w:r w:rsidR="00AF01D2">
        <w:t>increase the economic and social cohesion at regional level.</w:t>
      </w:r>
    </w:p>
    <w:p w14:paraId="09AC9B71" w14:textId="44FBCF56" w:rsidR="00687DA4" w:rsidRPr="00024776" w:rsidRDefault="00AF01D2" w:rsidP="007016B9">
      <w:pPr>
        <w:spacing w:after="0" w:line="360" w:lineRule="auto"/>
        <w:jc w:val="both"/>
      </w:pPr>
      <w:r w:rsidRPr="00024776">
        <w:t xml:space="preserve"> </w:t>
      </w:r>
    </w:p>
    <w:p w14:paraId="3DD40190" w14:textId="77777777" w:rsidR="00687DA4" w:rsidRPr="00024776" w:rsidRDefault="00687DA4" w:rsidP="00146EB7">
      <w:pPr>
        <w:spacing w:after="0" w:line="240" w:lineRule="auto"/>
        <w:jc w:val="both"/>
        <w:rPr>
          <w:rFonts w:eastAsia="Adobe Myungjo Std M" w:cstheme="minorHAnsi"/>
          <w:sz w:val="18"/>
          <w:szCs w:val="18"/>
        </w:rPr>
      </w:pPr>
    </w:p>
    <w:p w14:paraId="094CBE0B" w14:textId="77777777" w:rsidR="00146EB7" w:rsidRPr="00024776" w:rsidRDefault="00146EB7" w:rsidP="00146EB7">
      <w:pPr>
        <w:spacing w:after="0" w:line="240" w:lineRule="auto"/>
        <w:jc w:val="both"/>
        <w:rPr>
          <w:rFonts w:eastAsia="Adobe Myungjo Std M" w:cstheme="minorHAnsi"/>
          <w:sz w:val="20"/>
          <w:szCs w:val="18"/>
        </w:rPr>
      </w:pPr>
      <w:r w:rsidRPr="00024776">
        <w:rPr>
          <w:rFonts w:eastAsia="Adobe Myungjo Std M" w:cstheme="minorHAnsi"/>
          <w:sz w:val="20"/>
          <w:szCs w:val="18"/>
        </w:rPr>
        <w:t>JEL Classifications:</w:t>
      </w:r>
    </w:p>
    <w:p w14:paraId="60235F78" w14:textId="16E8D692" w:rsidR="00146EB7" w:rsidRPr="00024776" w:rsidRDefault="00B97059" w:rsidP="006D2FB2">
      <w:pPr>
        <w:jc w:val="both"/>
        <w:rPr>
          <w:rFonts w:eastAsia="Adobe Myungjo Std M" w:cstheme="minorHAnsi"/>
          <w:sz w:val="20"/>
          <w:szCs w:val="18"/>
        </w:rPr>
      </w:pPr>
      <w:r w:rsidRPr="00024776">
        <w:rPr>
          <w:rFonts w:eastAsia="Adobe Myungjo Std M" w:cstheme="minorHAnsi"/>
          <w:sz w:val="20"/>
          <w:szCs w:val="18"/>
        </w:rPr>
        <w:t>E24, J31, J58, R11</w:t>
      </w:r>
    </w:p>
    <w:p w14:paraId="481276A1" w14:textId="41BB53DF" w:rsidR="00146EB7" w:rsidRPr="009C408C" w:rsidRDefault="00146EB7" w:rsidP="006D2FB2">
      <w:pPr>
        <w:jc w:val="both"/>
        <w:rPr>
          <w:rFonts w:eastAsia="Adobe Myungjo Std M" w:cstheme="minorHAnsi"/>
          <w:sz w:val="20"/>
          <w:szCs w:val="18"/>
        </w:rPr>
      </w:pPr>
      <w:r w:rsidRPr="00024776">
        <w:rPr>
          <w:rFonts w:eastAsia="Adobe Myungjo Std M" w:cstheme="minorHAnsi"/>
          <w:sz w:val="20"/>
          <w:szCs w:val="18"/>
        </w:rPr>
        <w:t>Keywords:</w:t>
      </w:r>
      <w:r w:rsidR="00687DA4" w:rsidRPr="00024776">
        <w:rPr>
          <w:rFonts w:eastAsia="Adobe Myungjo Std M" w:cstheme="minorHAnsi"/>
          <w:sz w:val="20"/>
          <w:szCs w:val="18"/>
        </w:rPr>
        <w:t xml:space="preserve"> Regional Wage, Club Convergence, Labor Force, Log t test, Logit Model</w:t>
      </w:r>
    </w:p>
    <w:p w14:paraId="075DD7E2" w14:textId="77777777" w:rsidR="00703ECC" w:rsidRPr="00703ECC" w:rsidRDefault="00703ECC" w:rsidP="00B34EF4">
      <w:pPr>
        <w:jc w:val="center"/>
        <w:rPr>
          <w:rFonts w:ascii="Bookman Old Style" w:eastAsia="Adobe Myungjo Std M" w:hAnsi="Bookman Old Style"/>
          <w:sz w:val="18"/>
          <w:szCs w:val="18"/>
        </w:rPr>
      </w:pPr>
    </w:p>
    <w:p w14:paraId="362FA0F7" w14:textId="58656B6D" w:rsidR="00B34EF4" w:rsidRDefault="00B34EF4" w:rsidP="00687DA4">
      <w:pPr>
        <w:rPr>
          <w:rFonts w:ascii="Bookman Old Style" w:eastAsia="Adobe Myungjo Std M" w:hAnsi="Bookman Old Style"/>
          <w:i/>
          <w:sz w:val="18"/>
          <w:szCs w:val="18"/>
        </w:rPr>
      </w:pPr>
    </w:p>
    <w:p w14:paraId="45D71D6C" w14:textId="6890967E" w:rsidR="00CD253C" w:rsidRDefault="00CD253C" w:rsidP="00687DA4">
      <w:pPr>
        <w:rPr>
          <w:rFonts w:ascii="Bookman Old Style" w:eastAsia="Adobe Myungjo Std M" w:hAnsi="Bookman Old Style"/>
          <w:i/>
          <w:sz w:val="18"/>
          <w:szCs w:val="18"/>
        </w:rPr>
      </w:pPr>
    </w:p>
    <w:p w14:paraId="0DEA4CF3" w14:textId="7096AC57" w:rsidR="00CD253C" w:rsidRDefault="00CD253C" w:rsidP="00687DA4">
      <w:pPr>
        <w:rPr>
          <w:rFonts w:ascii="Bookman Old Style" w:eastAsia="Adobe Myungjo Std M" w:hAnsi="Bookman Old Style"/>
          <w:i/>
          <w:sz w:val="18"/>
          <w:szCs w:val="18"/>
        </w:rPr>
      </w:pPr>
    </w:p>
    <w:p w14:paraId="5F5E69EF" w14:textId="4412D80E" w:rsidR="00CD253C" w:rsidRDefault="00CD253C" w:rsidP="00687DA4">
      <w:pPr>
        <w:rPr>
          <w:rFonts w:ascii="Bookman Old Style" w:eastAsia="Adobe Myungjo Std M" w:hAnsi="Bookman Old Style"/>
          <w:i/>
          <w:sz w:val="18"/>
          <w:szCs w:val="18"/>
        </w:rPr>
      </w:pPr>
    </w:p>
    <w:p w14:paraId="21F76FF3" w14:textId="2C8E6F1B" w:rsidR="00CD253C" w:rsidRDefault="00CD253C" w:rsidP="00687DA4">
      <w:pPr>
        <w:rPr>
          <w:rFonts w:ascii="Bookman Old Style" w:eastAsia="Adobe Myungjo Std M" w:hAnsi="Bookman Old Style"/>
          <w:i/>
          <w:sz w:val="18"/>
          <w:szCs w:val="18"/>
        </w:rPr>
      </w:pPr>
    </w:p>
    <w:p w14:paraId="6F4930A1" w14:textId="65DB77D0" w:rsidR="00CD253C" w:rsidRDefault="00CD253C" w:rsidP="00687DA4">
      <w:pPr>
        <w:rPr>
          <w:rFonts w:ascii="Bookman Old Style" w:eastAsia="Adobe Myungjo Std M" w:hAnsi="Bookman Old Style"/>
          <w:i/>
          <w:sz w:val="18"/>
          <w:szCs w:val="18"/>
        </w:rPr>
      </w:pPr>
    </w:p>
    <w:p w14:paraId="2F9052FC" w14:textId="4ECC6104" w:rsidR="00CD253C" w:rsidRDefault="00CD253C" w:rsidP="00687DA4">
      <w:pPr>
        <w:rPr>
          <w:rFonts w:ascii="Bookman Old Style" w:eastAsia="Adobe Myungjo Std M" w:hAnsi="Bookman Old Style"/>
          <w:i/>
          <w:sz w:val="18"/>
          <w:szCs w:val="18"/>
        </w:rPr>
      </w:pPr>
    </w:p>
    <w:p w14:paraId="23D5B39C" w14:textId="58581DEB" w:rsidR="00CD253C" w:rsidRDefault="00CD253C" w:rsidP="00687DA4">
      <w:pPr>
        <w:rPr>
          <w:rFonts w:ascii="Bookman Old Style" w:eastAsia="Adobe Myungjo Std M" w:hAnsi="Bookman Old Style"/>
          <w:i/>
          <w:sz w:val="18"/>
          <w:szCs w:val="18"/>
        </w:rPr>
      </w:pPr>
    </w:p>
    <w:p w14:paraId="5FD2F57F" w14:textId="77777777" w:rsidR="00CD253C" w:rsidRPr="00CD253C" w:rsidRDefault="00CD253C" w:rsidP="00687DA4">
      <w:pPr>
        <w:rPr>
          <w:rFonts w:ascii="Bookman Old Style" w:eastAsia="Adobe Myungjo Std M" w:hAnsi="Bookman Old Style"/>
          <w:sz w:val="18"/>
          <w:szCs w:val="18"/>
        </w:rPr>
      </w:pPr>
    </w:p>
    <w:p w14:paraId="5436DE78" w14:textId="4F1D8500" w:rsidR="002500AB" w:rsidRDefault="00CD253C" w:rsidP="00EB13DE">
      <w:pPr>
        <w:pStyle w:val="ListParagraph"/>
        <w:numPr>
          <w:ilvl w:val="0"/>
          <w:numId w:val="2"/>
        </w:numPr>
        <w:rPr>
          <w:rFonts w:ascii="Bookman Old Style" w:eastAsia="Adobe Myungjo Std M" w:hAnsi="Bookman Old Style"/>
          <w:b/>
          <w:szCs w:val="18"/>
        </w:rPr>
      </w:pPr>
      <w:r w:rsidRPr="00CD253C">
        <w:rPr>
          <w:rFonts w:ascii="Bookman Old Style" w:eastAsia="Adobe Myungjo Std M" w:hAnsi="Bookman Old Style"/>
          <w:b/>
          <w:szCs w:val="18"/>
        </w:rPr>
        <w:lastRenderedPageBreak/>
        <w:t>Introduction</w:t>
      </w:r>
    </w:p>
    <w:p w14:paraId="273BFB06" w14:textId="77777777" w:rsidR="00511618" w:rsidRDefault="00511618" w:rsidP="00511618">
      <w:pPr>
        <w:pStyle w:val="ListParagraph"/>
        <w:spacing w:line="360" w:lineRule="auto"/>
        <w:jc w:val="both"/>
        <w:rPr>
          <w:rFonts w:eastAsia="Adobe Myungjo Std M" w:cstheme="minorHAnsi"/>
          <w:szCs w:val="18"/>
        </w:rPr>
      </w:pPr>
    </w:p>
    <w:p w14:paraId="2C4338A5" w14:textId="43089F97" w:rsidR="00AD3CAB" w:rsidRPr="000679BF" w:rsidRDefault="00AD3CAB" w:rsidP="00AD3CAB">
      <w:pPr>
        <w:pStyle w:val="ListParagraph"/>
        <w:spacing w:line="360" w:lineRule="auto"/>
        <w:jc w:val="both"/>
        <w:rPr>
          <w:rFonts w:eastAsia="Adobe Myungjo Std M" w:cstheme="minorHAnsi"/>
          <w:szCs w:val="18"/>
        </w:rPr>
      </w:pPr>
      <w:r>
        <w:rPr>
          <w:rFonts w:eastAsia="Adobe Myungjo Std M" w:cstheme="minorHAnsi"/>
          <w:szCs w:val="18"/>
        </w:rPr>
        <w:t xml:space="preserve">Modern economic theories predict that labor that have same skills will earn equal payments in a fully integrated labor market </w:t>
      </w:r>
      <w:r w:rsidR="009B1E97">
        <w:rPr>
          <w:rFonts w:eastAsia="Adobe Myungjo Std M" w:cstheme="minorHAnsi"/>
          <w:szCs w:val="18"/>
        </w:rPr>
        <w:fldChar w:fldCharType="begin"/>
      </w:r>
      <w:r w:rsidR="009B1E97">
        <w:rPr>
          <w:rFonts w:eastAsia="Adobe Myungjo Std M" w:cstheme="minorHAnsi"/>
          <w:szCs w:val="18"/>
        </w:rPr>
        <w:instrText xml:space="preserve"> ADDIN ZOTERO_ITEM CSL_CITATION {"citationID":"x8oKpQ2f","properties":{"formattedCitation":"(Hicks, 1963; Marhsall, 1920)","plainCitation":"(Hicks, 1963; Marhsall, 1920)","noteIndex":0},"citationItems":[{"id":298,"uris":["http://zotero.org/users/local/9Bu69DCL/items/RGHFTMSB"],"uri":["http://zotero.org/users/local/9Bu69DCL/items/RGHFTMSB"],"itemData":{"id":298,"type":"book","ISBN":"1-349-00189-9","publisher":"Springer","title":"The theory of wages","author":[{"family":"Hicks","given":"John"}],"issued":{"date-parts":[["1963"]]}}},{"id":297,"uris":["http://zotero.org/users/local/9Bu69DCL/items/EZAGYQHA"],"uri":["http://zotero.org/users/local/9Bu69DCL/items/EZAGYQHA"],"itemData":{"id":297,"type":"book","publisher":"Macmillan","title":"Principles of economics","author":[{"family":"Marhsall","given":"Alfred"}],"issued":{"date-parts":[["1920"]]}}}],"schema":"https://github.com/citation-style-language/schema/raw/master/csl-citation.json"} </w:instrText>
      </w:r>
      <w:r w:rsidR="009B1E97">
        <w:rPr>
          <w:rFonts w:eastAsia="Adobe Myungjo Std M" w:cstheme="minorHAnsi"/>
          <w:szCs w:val="18"/>
        </w:rPr>
        <w:fldChar w:fldCharType="separate"/>
      </w:r>
      <w:r w:rsidR="009B1E97" w:rsidRPr="009B1E97">
        <w:rPr>
          <w:rFonts w:ascii="Calibri" w:hAnsi="Calibri" w:cs="Calibri"/>
        </w:rPr>
        <w:t>(Hicks, 1963; Marhsall, 1920)</w:t>
      </w:r>
      <w:r w:rsidR="009B1E97">
        <w:rPr>
          <w:rFonts w:eastAsia="Adobe Myungjo Std M" w:cstheme="minorHAnsi"/>
          <w:szCs w:val="18"/>
        </w:rPr>
        <w:fldChar w:fldCharType="end"/>
      </w:r>
      <w:r w:rsidR="009B1E97">
        <w:rPr>
          <w:rFonts w:eastAsia="Adobe Myungjo Std M" w:cstheme="minorHAnsi"/>
          <w:szCs w:val="18"/>
        </w:rPr>
        <w:t>.</w:t>
      </w:r>
      <w:r>
        <w:rPr>
          <w:rFonts w:eastAsia="Adobe Myungjo Std M" w:cstheme="minorHAnsi"/>
          <w:szCs w:val="18"/>
        </w:rPr>
        <w:t xml:space="preserve"> This theory of equalization in pay differentials is reminiscent of the so-called ‘law of one price’. The law of one price </w:t>
      </w:r>
      <w:r w:rsidRPr="000679BF">
        <w:rPr>
          <w:rFonts w:eastAsia="Adobe Myungjo Std M" w:cstheme="minorHAnsi"/>
          <w:szCs w:val="18"/>
        </w:rPr>
        <w:t>s</w:t>
      </w:r>
      <w:r>
        <w:rPr>
          <w:rFonts w:eastAsia="Adobe Myungjo Std M" w:cstheme="minorHAnsi"/>
          <w:szCs w:val="18"/>
        </w:rPr>
        <w:t>tating</w:t>
      </w:r>
      <w:r w:rsidRPr="000679BF">
        <w:rPr>
          <w:rFonts w:eastAsia="Adobe Myungjo Std M" w:cstheme="minorHAnsi"/>
          <w:szCs w:val="18"/>
        </w:rPr>
        <w:t xml:space="preserve"> that the price of an identical asset or commodity will have the same price globally, regardless of location, when certain factors are considered and that theory frequently used in research on convergence in commodity prices </w:t>
      </w:r>
      <w:r w:rsidR="00D20F47">
        <w:rPr>
          <w:rFonts w:eastAsia="Adobe Myungjo Std M" w:cstheme="minorHAnsi"/>
          <w:szCs w:val="18"/>
        </w:rPr>
        <w:fldChar w:fldCharType="begin"/>
      </w:r>
      <w:r w:rsidR="00D20F47">
        <w:rPr>
          <w:rFonts w:eastAsia="Adobe Myungjo Std M" w:cstheme="minorHAnsi"/>
          <w:szCs w:val="18"/>
        </w:rPr>
        <w:instrText xml:space="preserve"> ADDIN ZOTERO_ITEM CSL_CITATION {"citationID":"ZODl1dBQ","properties":{"formattedCitation":"(Federico, 2012)","plainCitation":"(Federico, 2012)","noteIndex":0},"citationItems":[{"id":287,"uris":["http://zotero.org/users/local/9Bu69DCL/items/D8PT94JJ"],"uri":["http://zotero.org/users/local/9Bu69DCL/items/D8PT94JJ"],"itemData":{"id":287,"type":"article-journal","container-title":"The Economic History Review","ISSN":"0013-0117","issue":"2","journalAbbreviation":"The Economic History Review","note":"publisher: Wiley Online Library","page":"470-497","title":"How much do we know about market integration in Europe? 1","volume":"65","author":[{"family":"Federico","given":"Giovanni"}],"issued":{"date-parts":[["2012"]]}}}],"schema":"https://github.com/citation-style-language/schema/raw/master/csl-citation.json"} </w:instrText>
      </w:r>
      <w:r w:rsidR="00D20F47">
        <w:rPr>
          <w:rFonts w:eastAsia="Adobe Myungjo Std M" w:cstheme="minorHAnsi"/>
          <w:szCs w:val="18"/>
        </w:rPr>
        <w:fldChar w:fldCharType="separate"/>
      </w:r>
      <w:r w:rsidR="00D20F47" w:rsidRPr="00D20F47">
        <w:rPr>
          <w:rFonts w:ascii="Calibri" w:hAnsi="Calibri" w:cs="Calibri"/>
        </w:rPr>
        <w:t>(Federico, 2012)</w:t>
      </w:r>
      <w:r w:rsidR="00D20F47">
        <w:rPr>
          <w:rFonts w:eastAsia="Adobe Myungjo Std M" w:cstheme="minorHAnsi"/>
          <w:szCs w:val="18"/>
        </w:rPr>
        <w:fldChar w:fldCharType="end"/>
      </w:r>
      <w:r w:rsidRPr="000679BF">
        <w:rPr>
          <w:rFonts w:eastAsia="Adobe Myungjo Std M" w:cstheme="minorHAnsi"/>
          <w:szCs w:val="18"/>
        </w:rPr>
        <w:t xml:space="preserve"> is also a useful metaphor for the labor market</w:t>
      </w:r>
      <w:r w:rsidR="00D20F47">
        <w:rPr>
          <w:rFonts w:eastAsia="Adobe Myungjo Std M" w:cstheme="minorHAnsi"/>
          <w:szCs w:val="18"/>
        </w:rPr>
        <w:t xml:space="preserve"> </w:t>
      </w:r>
      <w:r w:rsidR="00D20F47">
        <w:rPr>
          <w:rFonts w:eastAsia="Adobe Myungjo Std M" w:cstheme="minorHAnsi"/>
          <w:szCs w:val="18"/>
        </w:rPr>
        <w:fldChar w:fldCharType="begin"/>
      </w:r>
      <w:r w:rsidR="00D20F47">
        <w:rPr>
          <w:rFonts w:eastAsia="Adobe Myungjo Std M" w:cstheme="minorHAnsi"/>
          <w:szCs w:val="18"/>
        </w:rPr>
        <w:instrText xml:space="preserve"> ADDIN ZOTERO_ITEM CSL_CITATION {"citationID":"cm5Notyz","properties":{"formattedCitation":"(Galizia, 2015; Rosenbloom, 1998; Rosenbloom &amp; Sundstrom, 2002)","plainCitation":"(Galizia, 2015; Rosenbloom, 1998; Rosenbloom &amp; Sundstrom, 2002)","noteIndex":0},"citationItems":[{"id":284,"uris":["http://zotero.org/users/local/9Bu69DCL/items/PLP94JJG"],"uri":["http://zotero.org/users/local/9Bu69DCL/items/PLP94JJG"],"itemData":{"id":284,"type":"book","ISBN":"1-137-40084-6","publisher":"Springer","title":"Mediterranean labor markets in the first age of globalization: an economic history of real wages and market integration","author":[{"family":"Galizia","given":"Paul Caruana"}],"issued":{"date-parts":[["2015"]]}}},{"id":285,"uris":["http://zotero.org/users/local/9Bu69DCL/items/AH2FZT62"],"uri":["http://zotero.org/users/local/9Bu69DCL/items/AH2FZT62"],"itemData":{"id":285,"type":"article-journal","container-title":"Journal of Economic History","ISSN":"0022-0507","journalAbbreviation":"Journal of Economic History","note":"publisher: JSTOR","page":"183-205","title":"Strikebreaking and the labor market in the United States, 1881-1894","author":[{"family":"Rosenbloom","given":"Joshua L"}],"issued":{"date-parts":[["1998"]]}}},{"id":286,"uris":["http://zotero.org/users/local/9Bu69DCL/items/C2MY4G7N"],"uri":["http://zotero.org/users/local/9Bu69DCL/items/C2MY4G7N"],"itemData":{"id":286,"type":"chapter","container-title":"Labour Market Evolution","ISBN":"0-203-02177-0","page":"175-198","publisher":"Routledge","title":"The decline in hours of work in us labour markets, 1890–1903","author":[{"family":"Rosenbloom","given":"Joshua L"},{"family":"Sundstrom","given":"William A"}],"issued":{"date-parts":[["2002"]]}}}],"schema":"https://github.com/citation-style-language/schema/raw/master/csl-citation.json"} </w:instrText>
      </w:r>
      <w:r w:rsidR="00D20F47">
        <w:rPr>
          <w:rFonts w:eastAsia="Adobe Myungjo Std M" w:cstheme="minorHAnsi"/>
          <w:szCs w:val="18"/>
        </w:rPr>
        <w:fldChar w:fldCharType="separate"/>
      </w:r>
      <w:r w:rsidR="00D20F47" w:rsidRPr="00D20F47">
        <w:rPr>
          <w:rFonts w:ascii="Calibri" w:hAnsi="Calibri" w:cs="Calibri"/>
        </w:rPr>
        <w:t>(Galizia, 2015; Rosenbloom, 1998; Rosenbloom &amp; Sundstrom, 2002)</w:t>
      </w:r>
      <w:r w:rsidR="00D20F47">
        <w:rPr>
          <w:rFonts w:eastAsia="Adobe Myungjo Std M" w:cstheme="minorHAnsi"/>
          <w:szCs w:val="18"/>
        </w:rPr>
        <w:fldChar w:fldCharType="end"/>
      </w:r>
      <w:r w:rsidR="00D20F47">
        <w:rPr>
          <w:rFonts w:eastAsia="Adobe Myungjo Std M" w:cstheme="minorHAnsi"/>
          <w:szCs w:val="18"/>
        </w:rPr>
        <w:t>.</w:t>
      </w:r>
    </w:p>
    <w:p w14:paraId="4ED3EED7" w14:textId="276BF4C5" w:rsidR="00511618" w:rsidRPr="00EB601B" w:rsidRDefault="00511618" w:rsidP="00AD3CAB">
      <w:pPr>
        <w:pStyle w:val="ListParagraph"/>
        <w:spacing w:line="360" w:lineRule="auto"/>
        <w:ind w:firstLine="720"/>
        <w:jc w:val="both"/>
        <w:rPr>
          <w:rFonts w:eastAsia="Adobe Myungjo Std M" w:cstheme="minorHAnsi"/>
          <w:szCs w:val="18"/>
        </w:rPr>
      </w:pPr>
      <w:r w:rsidRPr="00EB601B">
        <w:rPr>
          <w:rFonts w:eastAsia="Adobe Myungjo Std M" w:cstheme="minorHAnsi"/>
          <w:szCs w:val="18"/>
        </w:rPr>
        <w:t>Furthermore, there is a</w:t>
      </w:r>
      <w:r>
        <w:rPr>
          <w:rFonts w:eastAsia="Adobe Myungjo Std M" w:cstheme="minorHAnsi"/>
          <w:szCs w:val="18"/>
        </w:rPr>
        <w:t>nother</w:t>
      </w:r>
      <w:r w:rsidRPr="00EB601B">
        <w:rPr>
          <w:rFonts w:eastAsia="Adobe Myungjo Std M" w:cstheme="minorHAnsi"/>
          <w:szCs w:val="18"/>
        </w:rPr>
        <w:t xml:space="preserve"> study find that the convergence in count</w:t>
      </w:r>
      <w:r>
        <w:rPr>
          <w:rFonts w:eastAsia="Adobe Myungjo Std M" w:cstheme="minorHAnsi"/>
          <w:szCs w:val="18"/>
        </w:rPr>
        <w:t>r</w:t>
      </w:r>
      <w:r w:rsidRPr="00EB601B">
        <w:rPr>
          <w:rFonts w:eastAsia="Adobe Myungjo Std M" w:cstheme="minorHAnsi"/>
          <w:szCs w:val="18"/>
        </w:rPr>
        <w:t xml:space="preserve">y wages was not caused by the mechanism attributable to ‘the law of one price’ alone, rather, it was caused by markets and institutions interchangeably </w:t>
      </w:r>
      <w:r w:rsidR="009B1E97">
        <w:rPr>
          <w:rFonts w:eastAsia="Adobe Myungjo Std M" w:cstheme="minorHAnsi"/>
          <w:szCs w:val="18"/>
        </w:rPr>
        <w:fldChar w:fldCharType="begin"/>
      </w:r>
      <w:r w:rsidR="009B1E97">
        <w:rPr>
          <w:rFonts w:eastAsia="Adobe Myungjo Std M" w:cstheme="minorHAnsi"/>
          <w:szCs w:val="18"/>
        </w:rPr>
        <w:instrText xml:space="preserve"> ADDIN ZOTERO_ITEM CSL_CITATION {"citationID":"3BjsryGS","properties":{"formattedCitation":"(Prado et al., 2020)","plainCitation":"(Prado et al., 2020)","noteIndex":0},"citationItems":[{"id":292,"uris":["http://zotero.org/users/local/9Bu69DCL/items/86MW47I5"],"uri":["http://zotero.org/users/local/9Bu69DCL/items/86MW47I5"],"itemData":{"id":292,"type":"article-journal","container-title":"Scandinavian Economic History Review","ISSN":"0358-5522","journalAbbreviation":"Scandinavian Economic History Review","note":"publisher: Taylor &amp; Francis","page":"1-22","title":"Labour and the ‘law of one price’: regional wage convergence of farm workers in Sweden, 1757–1980","author":[{"family":"Prado","given":"Svante"},{"family":"Lundh","given":"Christer"},{"family":"Collin","given":"Kristoffer"},{"family":"Enflo","given":"Kerstin"}],"issued":{"date-parts":[["2020"]]}}}],"schema":"https://github.com/citation-style-language/schema/raw/master/csl-citation.json"} </w:instrText>
      </w:r>
      <w:r w:rsidR="009B1E97">
        <w:rPr>
          <w:rFonts w:eastAsia="Adobe Myungjo Std M" w:cstheme="minorHAnsi"/>
          <w:szCs w:val="18"/>
        </w:rPr>
        <w:fldChar w:fldCharType="separate"/>
      </w:r>
      <w:r w:rsidR="009B1E97" w:rsidRPr="009B1E97">
        <w:rPr>
          <w:rFonts w:ascii="Calibri" w:hAnsi="Calibri" w:cs="Calibri"/>
        </w:rPr>
        <w:t>(Prado et al., 2020)</w:t>
      </w:r>
      <w:r w:rsidR="009B1E97">
        <w:rPr>
          <w:rFonts w:eastAsia="Adobe Myungjo Std M" w:cstheme="minorHAnsi"/>
          <w:szCs w:val="18"/>
        </w:rPr>
        <w:fldChar w:fldCharType="end"/>
      </w:r>
      <w:r w:rsidRPr="00EB601B">
        <w:rPr>
          <w:rFonts w:eastAsia="Adobe Myungjo Std M" w:cstheme="minorHAnsi"/>
          <w:szCs w:val="18"/>
        </w:rPr>
        <w:t xml:space="preserve">. In the other hand, </w:t>
      </w:r>
      <w:r>
        <w:rPr>
          <w:rFonts w:eastAsia="Adobe Myungjo Std M" w:cstheme="minorHAnsi"/>
          <w:szCs w:val="18"/>
        </w:rPr>
        <w:t>a</w:t>
      </w:r>
      <w:r w:rsidRPr="00EB601B">
        <w:rPr>
          <w:rFonts w:eastAsia="Adobe Myungjo Std M" w:cstheme="minorHAnsi"/>
          <w:szCs w:val="18"/>
        </w:rPr>
        <w:t xml:space="preserve">nother study also find that labor markets of the past have failed to confirm the theory which predict small wage differentials among workers and geographic locations, provided that human capital does not vary much because there is consistent evidence that large wage differentials across space were commonplace </w:t>
      </w:r>
      <w:r w:rsidR="00EC0311">
        <w:rPr>
          <w:rFonts w:eastAsia="Adobe Myungjo Std M" w:cstheme="minorHAnsi"/>
          <w:szCs w:val="18"/>
        </w:rPr>
        <w:fldChar w:fldCharType="begin"/>
      </w:r>
      <w:r w:rsidR="00EC0311">
        <w:rPr>
          <w:rFonts w:eastAsia="Adobe Myungjo Std M" w:cstheme="minorHAnsi"/>
          <w:szCs w:val="18"/>
        </w:rPr>
        <w:instrText xml:space="preserve"> ADDIN ZOTERO_ITEM CSL_CITATION {"citationID":"YZEgoNIw","properties":{"formattedCitation":"(Collin et al., 2019)","plainCitation":"(Collin et al., 2019)","noteIndex":0},"citationItems":[{"id":288,"uris":["http://zotero.org/users/local/9Bu69DCL/items/63EDV5YR"],"uri":["http://zotero.org/users/local/9Bu69DCL/items/63EDV5YR"],"itemData":{"id":288,"type":"article-journal","container-title":"Scandinavian Economic History Review","ISSN":"0358-5522","issue":"3","journalAbbreviation":"Scandinavian Economic History Review","note":"publisher: Taylor &amp; Francis","page":"249-268","title":"Exploring regional wage dispersion in Swedish manufacturing, 1860–2009","volume":"67","author":[{"family":"Collin","given":"Kristoffer"},{"family":"Lundh","given":"Christer"},{"family":"Prado","given":"Svante"}],"issued":{"date-parts":[["2019"]]}}}],"schema":"https://github.com/citation-style-language/schema/raw/master/csl-citation.json"} </w:instrText>
      </w:r>
      <w:r w:rsidR="00EC0311">
        <w:rPr>
          <w:rFonts w:eastAsia="Adobe Myungjo Std M" w:cstheme="minorHAnsi"/>
          <w:szCs w:val="18"/>
        </w:rPr>
        <w:fldChar w:fldCharType="separate"/>
      </w:r>
      <w:r w:rsidR="00EC0311" w:rsidRPr="00EC0311">
        <w:rPr>
          <w:rFonts w:ascii="Calibri" w:hAnsi="Calibri" w:cs="Calibri"/>
        </w:rPr>
        <w:t>(Collin et al., 2019)</w:t>
      </w:r>
      <w:r w:rsidR="00EC0311">
        <w:rPr>
          <w:rFonts w:eastAsia="Adobe Myungjo Std M" w:cstheme="minorHAnsi"/>
          <w:szCs w:val="18"/>
        </w:rPr>
        <w:fldChar w:fldCharType="end"/>
      </w:r>
      <w:r w:rsidR="00EC0311">
        <w:rPr>
          <w:rFonts w:eastAsia="Adobe Myungjo Std M" w:cstheme="minorHAnsi"/>
          <w:szCs w:val="18"/>
        </w:rPr>
        <w:t>.</w:t>
      </w:r>
    </w:p>
    <w:p w14:paraId="337E8326" w14:textId="467018D1" w:rsidR="00511618" w:rsidRPr="00BD123E" w:rsidRDefault="00511618" w:rsidP="00511618">
      <w:pPr>
        <w:pStyle w:val="ListParagraph"/>
        <w:spacing w:line="360" w:lineRule="auto"/>
        <w:jc w:val="both"/>
        <w:rPr>
          <w:rFonts w:eastAsia="Adobe Myungjo Std M" w:cstheme="minorHAnsi"/>
          <w:szCs w:val="18"/>
        </w:rPr>
      </w:pPr>
      <w:r>
        <w:rPr>
          <w:rFonts w:eastAsia="Adobe Myungjo Std M" w:cstheme="minorHAnsi"/>
          <w:szCs w:val="18"/>
        </w:rPr>
        <w:tab/>
        <w:t xml:space="preserve">In Indonesia, topic about wage convergence or income disparity is </w:t>
      </w:r>
      <w:r w:rsidR="00393F16">
        <w:rPr>
          <w:rFonts w:eastAsia="Adobe Myungjo Std M" w:cstheme="minorHAnsi"/>
          <w:szCs w:val="18"/>
        </w:rPr>
        <w:t>very</w:t>
      </w:r>
      <w:r>
        <w:rPr>
          <w:rFonts w:eastAsia="Adobe Myungjo Std M" w:cstheme="minorHAnsi"/>
          <w:szCs w:val="18"/>
        </w:rPr>
        <w:t xml:space="preserve"> relevance because it often becomes the main factor for many people do the migration which increased in the last few years. Based on theory, e</w:t>
      </w:r>
      <w:r w:rsidRPr="003B6B07">
        <w:rPr>
          <w:rFonts w:eastAsia="Adobe Myungjo Std M" w:cstheme="minorHAnsi"/>
          <w:szCs w:val="18"/>
        </w:rPr>
        <w:t xml:space="preserve">conomy is </w:t>
      </w:r>
      <w:r>
        <w:rPr>
          <w:rFonts w:eastAsia="Adobe Myungjo Std M" w:cstheme="minorHAnsi"/>
          <w:szCs w:val="18"/>
        </w:rPr>
        <w:t xml:space="preserve">one aspect that could influence migration and </w:t>
      </w:r>
      <w:r w:rsidR="00EC0311">
        <w:rPr>
          <w:rFonts w:eastAsia="Adobe Myungjo Std M" w:cstheme="minorHAnsi"/>
          <w:szCs w:val="18"/>
        </w:rPr>
        <w:t>s</w:t>
      </w:r>
      <w:r w:rsidRPr="003B6B07">
        <w:rPr>
          <w:rFonts w:eastAsia="Adobe Myungjo Std M" w:cstheme="minorHAnsi"/>
          <w:szCs w:val="18"/>
        </w:rPr>
        <w:t>everal theories that underlie this</w:t>
      </w:r>
      <w:r>
        <w:rPr>
          <w:rFonts w:eastAsia="Adobe Myungjo Std M" w:cstheme="minorHAnsi"/>
          <w:szCs w:val="18"/>
        </w:rPr>
        <w:t xml:space="preserve"> </w:t>
      </w:r>
      <w:r w:rsidRPr="009012E9">
        <w:rPr>
          <w:rFonts w:eastAsia="Adobe Myungjo Std M" w:cstheme="minorHAnsi"/>
          <w:szCs w:val="18"/>
        </w:rPr>
        <w:t xml:space="preserve">among them were delivered by </w:t>
      </w:r>
      <w:r w:rsidR="009E5165">
        <w:rPr>
          <w:rFonts w:eastAsia="Adobe Myungjo Std M" w:cstheme="minorHAnsi"/>
          <w:szCs w:val="18"/>
        </w:rPr>
        <w:fldChar w:fldCharType="begin"/>
      </w:r>
      <w:r w:rsidR="009B1E97">
        <w:rPr>
          <w:rFonts w:eastAsia="Adobe Myungjo Std M" w:cstheme="minorHAnsi"/>
          <w:szCs w:val="18"/>
        </w:rPr>
        <w:instrText xml:space="preserve"> ADDIN ZOTERO_ITEM CSL_CITATION {"citationID":"RixVlRDJ","properties":{"formattedCitation":"(Mantra, 1992)","plainCitation":"(Mantra, 1992)","dontUpdate":true,"noteIndex":0},"citationItems":[{"id":289,"uris":["http://zotero.org/users/local/9Bu69DCL/items/YDMPGUNV"],"uri":["http://zotero.org/users/local/9Bu69DCL/items/YDMPGUNV"],"itemData":{"id":289,"type":"article-journal","container-title":"Populasi","ISSN":"2476-941X","issue":"2","journalAbbreviation":"Populasi","title":"Pola dan arah migrasi penduduk antar propinsi di Indonesia tahun 1990","volume":"3","author":[{"family":"Mantra","given":"Ida Bagoes"}],"issued":{"date-parts":[["1992"]]}}}],"schema":"https://github.com/citation-style-language/schema/raw/master/csl-citation.json"} </w:instrText>
      </w:r>
      <w:r w:rsidR="009E5165">
        <w:rPr>
          <w:rFonts w:eastAsia="Adobe Myungjo Std M" w:cstheme="minorHAnsi"/>
          <w:szCs w:val="18"/>
        </w:rPr>
        <w:fldChar w:fldCharType="separate"/>
      </w:r>
      <w:r w:rsidR="009E5165" w:rsidRPr="009E5165">
        <w:rPr>
          <w:rFonts w:ascii="Calibri" w:hAnsi="Calibri" w:cs="Calibri"/>
        </w:rPr>
        <w:t xml:space="preserve">Mantra </w:t>
      </w:r>
      <w:r w:rsidR="009E5165">
        <w:rPr>
          <w:rFonts w:ascii="Calibri" w:hAnsi="Calibri" w:cs="Calibri"/>
        </w:rPr>
        <w:t>(</w:t>
      </w:r>
      <w:r w:rsidR="009E5165" w:rsidRPr="009E5165">
        <w:rPr>
          <w:rFonts w:ascii="Calibri" w:hAnsi="Calibri" w:cs="Calibri"/>
        </w:rPr>
        <w:t>1992)</w:t>
      </w:r>
      <w:r w:rsidR="009E5165">
        <w:rPr>
          <w:rFonts w:eastAsia="Adobe Myungjo Std M" w:cstheme="minorHAnsi"/>
          <w:szCs w:val="18"/>
        </w:rPr>
        <w:fldChar w:fldCharType="end"/>
      </w:r>
      <w:r w:rsidRPr="009012E9">
        <w:rPr>
          <w:rFonts w:eastAsia="Adobe Myungjo Std M" w:cstheme="minorHAnsi"/>
          <w:szCs w:val="18"/>
        </w:rPr>
        <w:t xml:space="preserve"> and </w:t>
      </w:r>
      <w:r w:rsidR="009B1E97">
        <w:rPr>
          <w:rFonts w:eastAsia="Adobe Myungjo Std M" w:cstheme="minorHAnsi"/>
          <w:szCs w:val="18"/>
        </w:rPr>
        <w:fldChar w:fldCharType="begin"/>
      </w:r>
      <w:r w:rsidR="009B1E97">
        <w:rPr>
          <w:rFonts w:eastAsia="Adobe Myungjo Std M" w:cstheme="minorHAnsi"/>
          <w:szCs w:val="18"/>
        </w:rPr>
        <w:instrText xml:space="preserve"> ADDIN ZOTERO_ITEM CSL_CITATION {"citationID":"am2s4Tag","properties":{"formattedCitation":"(Todaro &amp; Smith, 2003)","plainCitation":"(Todaro &amp; Smith, 2003)","noteIndex":0},"citationItems":[{"id":299,"uris":["http://zotero.org/users/local/9Bu69DCL/items/46HK882F"],"uri":["http://zotero.org/users/local/9Bu69DCL/items/46HK882F"],"itemData":{"id":299,"type":"article-journal","note":"publisher: Erlangga","title":"Pembangunan Ekonomi: Di Dunia Ketiga, Jilid 1","author":[{"family":"Todaro","given":"Michael P"},{"family":"Smith","given":"Stephen C"}],"issued":{"date-parts":[["2003"]]}}}],"schema":"https://github.com/citation-style-language/schema/raw/master/csl-citation.json"} </w:instrText>
      </w:r>
      <w:r w:rsidR="009B1E97">
        <w:rPr>
          <w:rFonts w:eastAsia="Adobe Myungjo Std M" w:cstheme="minorHAnsi"/>
          <w:szCs w:val="18"/>
        </w:rPr>
        <w:fldChar w:fldCharType="separate"/>
      </w:r>
      <w:r w:rsidR="009B1E97" w:rsidRPr="009B1E97">
        <w:rPr>
          <w:rFonts w:ascii="Calibri" w:hAnsi="Calibri" w:cs="Calibri"/>
        </w:rPr>
        <w:t xml:space="preserve">Todaro &amp; Smith, </w:t>
      </w:r>
      <w:r w:rsidR="009B1E97">
        <w:rPr>
          <w:rFonts w:ascii="Calibri" w:hAnsi="Calibri" w:cs="Calibri"/>
        </w:rPr>
        <w:t>(</w:t>
      </w:r>
      <w:r w:rsidR="009B1E97" w:rsidRPr="009B1E97">
        <w:rPr>
          <w:rFonts w:ascii="Calibri" w:hAnsi="Calibri" w:cs="Calibri"/>
        </w:rPr>
        <w:t>2003)</w:t>
      </w:r>
      <w:r w:rsidR="009B1E97">
        <w:rPr>
          <w:rFonts w:eastAsia="Adobe Myungjo Std M" w:cstheme="minorHAnsi"/>
          <w:szCs w:val="18"/>
        </w:rPr>
        <w:fldChar w:fldCharType="end"/>
      </w:r>
      <w:r w:rsidRPr="009012E9">
        <w:rPr>
          <w:rFonts w:eastAsia="Adobe Myungjo Std M" w:cstheme="minorHAnsi"/>
          <w:szCs w:val="18"/>
        </w:rPr>
        <w:t xml:space="preserve">. Both agree that economic motives are one's reasons do </w:t>
      </w:r>
      <w:r>
        <w:rPr>
          <w:rFonts w:eastAsia="Adobe Myungjo Std M" w:cstheme="minorHAnsi"/>
          <w:szCs w:val="18"/>
        </w:rPr>
        <w:t xml:space="preserve">the </w:t>
      </w:r>
      <w:r w:rsidRPr="009012E9">
        <w:rPr>
          <w:rFonts w:eastAsia="Adobe Myungjo Std M" w:cstheme="minorHAnsi"/>
          <w:szCs w:val="18"/>
        </w:rPr>
        <w:t xml:space="preserve">migration, especially migration from rural to urban areas. Work as a sources of economic livelihoods become a push factor </w:t>
      </w:r>
      <w:r>
        <w:rPr>
          <w:rFonts w:eastAsia="Adobe Myungjo Std M" w:cstheme="minorHAnsi"/>
          <w:szCs w:val="18"/>
        </w:rPr>
        <w:t>if</w:t>
      </w:r>
      <w:r w:rsidRPr="009012E9">
        <w:rPr>
          <w:rFonts w:eastAsia="Adobe Myungjo Std M" w:cstheme="minorHAnsi"/>
          <w:szCs w:val="18"/>
        </w:rPr>
        <w:t xml:space="preserve"> there is no work with </w:t>
      </w:r>
      <w:r>
        <w:rPr>
          <w:rFonts w:eastAsia="Adobe Myungjo Std M" w:cstheme="minorHAnsi"/>
          <w:szCs w:val="18"/>
        </w:rPr>
        <w:t xml:space="preserve">feasible </w:t>
      </w:r>
      <w:r w:rsidRPr="009012E9">
        <w:rPr>
          <w:rFonts w:eastAsia="Adobe Myungjo Std M" w:cstheme="minorHAnsi"/>
          <w:szCs w:val="18"/>
        </w:rPr>
        <w:t xml:space="preserve">wages available </w:t>
      </w:r>
      <w:r>
        <w:rPr>
          <w:rFonts w:eastAsia="Adobe Myungjo Std M" w:cstheme="minorHAnsi"/>
          <w:szCs w:val="18"/>
        </w:rPr>
        <w:t>in origin area</w:t>
      </w:r>
      <w:r w:rsidRPr="009012E9">
        <w:rPr>
          <w:rFonts w:eastAsia="Adobe Myungjo Std M" w:cstheme="minorHAnsi"/>
          <w:szCs w:val="18"/>
        </w:rPr>
        <w:t>. Indonesia</w:t>
      </w:r>
      <w:r w:rsidR="00C81CDE">
        <w:rPr>
          <w:rFonts w:eastAsia="Adobe Myungjo Std M" w:cstheme="minorHAnsi"/>
          <w:szCs w:val="18"/>
        </w:rPr>
        <w:t>n</w:t>
      </w:r>
      <w:r w:rsidRPr="009012E9">
        <w:rPr>
          <w:rFonts w:eastAsia="Adobe Myungjo Std M" w:cstheme="minorHAnsi"/>
          <w:szCs w:val="18"/>
        </w:rPr>
        <w:t xml:space="preserve"> Central Bureau of Statistics recorded that the percentage of populati</w:t>
      </w:r>
      <w:r>
        <w:rPr>
          <w:rFonts w:eastAsia="Adobe Myungjo Std M" w:cstheme="minorHAnsi"/>
          <w:szCs w:val="18"/>
        </w:rPr>
        <w:t>on in urban areas on 2020 is 56.</w:t>
      </w:r>
      <w:r w:rsidRPr="009012E9">
        <w:rPr>
          <w:rFonts w:eastAsia="Adobe Myungjo Std M" w:cstheme="minorHAnsi"/>
          <w:szCs w:val="18"/>
        </w:rPr>
        <w:t xml:space="preserve">7% increase from 2010 </w:t>
      </w:r>
      <w:r>
        <w:rPr>
          <w:rFonts w:eastAsia="Adobe Myungjo Std M" w:cstheme="minorHAnsi"/>
          <w:szCs w:val="18"/>
        </w:rPr>
        <w:t>which only 49.</w:t>
      </w:r>
      <w:r w:rsidRPr="009012E9">
        <w:rPr>
          <w:rFonts w:eastAsia="Adobe Myungjo Std M" w:cstheme="minorHAnsi"/>
          <w:szCs w:val="18"/>
        </w:rPr>
        <w:t xml:space="preserve">8%. Furthermore, that percentage projected to </w:t>
      </w:r>
      <w:r>
        <w:rPr>
          <w:rFonts w:eastAsia="Adobe Myungjo Std M" w:cstheme="minorHAnsi"/>
          <w:szCs w:val="18"/>
        </w:rPr>
        <w:t xml:space="preserve">increase up to 66.6% in 2035, </w:t>
      </w:r>
      <w:r w:rsidRPr="009012E9">
        <w:rPr>
          <w:rFonts w:eastAsia="Adobe Myungjo Std M" w:cstheme="minorHAnsi"/>
          <w:szCs w:val="18"/>
        </w:rPr>
        <w:t xml:space="preserve">due to </w:t>
      </w:r>
      <w:r>
        <w:rPr>
          <w:rFonts w:eastAsia="Adobe Myungjo Std M" w:cstheme="minorHAnsi"/>
          <w:szCs w:val="18"/>
        </w:rPr>
        <w:t>massive development in urban area which requires a lot of workers</w:t>
      </w:r>
      <w:r w:rsidRPr="00BD123E">
        <w:rPr>
          <w:rFonts w:eastAsia="Adobe Myungjo Std M" w:cstheme="minorHAnsi"/>
          <w:szCs w:val="18"/>
        </w:rPr>
        <w:t xml:space="preserve">. Another study from </w:t>
      </w:r>
      <w:r w:rsidR="00A90C0C">
        <w:rPr>
          <w:rFonts w:eastAsia="Adobe Myungjo Std M" w:cstheme="minorHAnsi"/>
          <w:szCs w:val="18"/>
        </w:rPr>
        <w:t xml:space="preserve">Indonesian </w:t>
      </w:r>
      <w:r w:rsidRPr="00BD123E">
        <w:rPr>
          <w:rFonts w:eastAsia="Adobe Myungjo Std M" w:cstheme="minorHAnsi"/>
          <w:szCs w:val="18"/>
        </w:rPr>
        <w:t>Central Bureau of Statistics show</w:t>
      </w:r>
      <w:r w:rsidR="002F30D7">
        <w:rPr>
          <w:rFonts w:eastAsia="Adobe Myungjo Std M" w:cstheme="minorHAnsi"/>
          <w:szCs w:val="18"/>
        </w:rPr>
        <w:t>s</w:t>
      </w:r>
      <w:r w:rsidRPr="00BD123E">
        <w:rPr>
          <w:rFonts w:eastAsia="Adobe Myungjo Std M" w:cstheme="minorHAnsi"/>
          <w:szCs w:val="18"/>
        </w:rPr>
        <w:t xml:space="preserve"> that th</w:t>
      </w:r>
      <w:r>
        <w:rPr>
          <w:rFonts w:eastAsia="Adobe Myungjo Std M" w:cstheme="minorHAnsi"/>
          <w:szCs w:val="18"/>
        </w:rPr>
        <w:t>e number of lifetime migrants on</w:t>
      </w:r>
      <w:r w:rsidRPr="00BD123E">
        <w:rPr>
          <w:rFonts w:eastAsia="Adobe Myungjo Std M" w:cstheme="minorHAnsi"/>
          <w:szCs w:val="18"/>
        </w:rPr>
        <w:t xml:space="preserve"> 2019 in Indonesia is up to 29.8 million people with migrant workers of 5.4 million people. Java Island dominates the population of migrants in Ind</w:t>
      </w:r>
      <w:r>
        <w:rPr>
          <w:rFonts w:eastAsia="Adobe Myungjo Std M" w:cstheme="minorHAnsi"/>
          <w:szCs w:val="18"/>
        </w:rPr>
        <w:t>onesia, with around 51.2%</w:t>
      </w:r>
      <w:r w:rsidRPr="00BD123E">
        <w:rPr>
          <w:rFonts w:eastAsia="Adobe Myungjo Std M" w:cstheme="minorHAnsi"/>
          <w:szCs w:val="18"/>
        </w:rPr>
        <w:t xml:space="preserve"> of lifetime migr</w:t>
      </w:r>
      <w:r>
        <w:rPr>
          <w:rFonts w:eastAsia="Adobe Myungjo Std M" w:cstheme="minorHAnsi"/>
          <w:szCs w:val="18"/>
        </w:rPr>
        <w:t xml:space="preserve">ants and 56.5% </w:t>
      </w:r>
      <w:r w:rsidRPr="00BD123E">
        <w:rPr>
          <w:rFonts w:eastAsia="Adobe Myungjo Std M" w:cstheme="minorHAnsi"/>
          <w:szCs w:val="18"/>
        </w:rPr>
        <w:t xml:space="preserve">of migrant workers residing in Java Island. The high number of migrants in </w:t>
      </w:r>
      <w:r w:rsidR="00675BBB">
        <w:rPr>
          <w:rFonts w:eastAsia="Adobe Myungjo Std M" w:cstheme="minorHAnsi"/>
          <w:szCs w:val="18"/>
        </w:rPr>
        <w:t>J</w:t>
      </w:r>
      <w:r w:rsidRPr="00BD123E">
        <w:rPr>
          <w:rFonts w:eastAsia="Adobe Myungjo Std M" w:cstheme="minorHAnsi"/>
          <w:szCs w:val="18"/>
        </w:rPr>
        <w:t xml:space="preserve">ava is mainly influenced by wage condition, living cost, and the availability of living facilities. Other than that, </w:t>
      </w:r>
      <w:r w:rsidRPr="00BD123E">
        <w:rPr>
          <w:rFonts w:eastAsia="Adobe Myungjo Std M" w:cstheme="minorHAnsi"/>
          <w:szCs w:val="18"/>
        </w:rPr>
        <w:lastRenderedPageBreak/>
        <w:t xml:space="preserve">depth analysis about wage convergence is supposed to be an answer from the high number of </w:t>
      </w:r>
      <w:r w:rsidR="00A90C0C">
        <w:rPr>
          <w:rFonts w:eastAsia="Adobe Myungjo Std M" w:cstheme="minorHAnsi"/>
          <w:szCs w:val="18"/>
        </w:rPr>
        <w:t>G</w:t>
      </w:r>
      <w:r w:rsidRPr="00BD123E">
        <w:rPr>
          <w:rFonts w:eastAsia="Adobe Myungjo Std M" w:cstheme="minorHAnsi"/>
          <w:szCs w:val="18"/>
        </w:rPr>
        <w:t>ini ratio in Indonesia</w:t>
      </w:r>
      <w:r>
        <w:rPr>
          <w:rFonts w:eastAsia="Adobe Myungjo Std M" w:cstheme="minorHAnsi"/>
          <w:szCs w:val="18"/>
        </w:rPr>
        <w:t>.</w:t>
      </w:r>
      <w:r w:rsidRPr="00BD123E">
        <w:rPr>
          <w:rFonts w:eastAsia="Adobe Myungjo Std M" w:cstheme="minorHAnsi"/>
          <w:szCs w:val="18"/>
        </w:rPr>
        <w:t xml:space="preserve"> </w:t>
      </w:r>
    </w:p>
    <w:p w14:paraId="177A28DE" w14:textId="55183CFA" w:rsidR="00511618" w:rsidRPr="00EB601B" w:rsidRDefault="00511618" w:rsidP="00511618">
      <w:pPr>
        <w:pStyle w:val="ListParagraph"/>
        <w:spacing w:line="360" w:lineRule="auto"/>
        <w:ind w:firstLine="720"/>
        <w:jc w:val="both"/>
        <w:rPr>
          <w:rFonts w:eastAsia="Adobe Myungjo Std M" w:cstheme="minorHAnsi"/>
          <w:szCs w:val="18"/>
        </w:rPr>
      </w:pPr>
      <w:r w:rsidRPr="00EB601B">
        <w:rPr>
          <w:rFonts w:eastAsia="Adobe Myungjo Std M" w:cstheme="minorHAnsi"/>
          <w:szCs w:val="18"/>
        </w:rPr>
        <w:t xml:space="preserve">Examining </w:t>
      </w:r>
      <w:r>
        <w:rPr>
          <w:rFonts w:eastAsia="Adobe Myungjo Std M" w:cstheme="minorHAnsi"/>
          <w:szCs w:val="18"/>
        </w:rPr>
        <w:t xml:space="preserve">wage </w:t>
      </w:r>
      <w:r w:rsidRPr="00EB601B">
        <w:rPr>
          <w:rFonts w:eastAsia="Adobe Myungjo Std M" w:cstheme="minorHAnsi"/>
          <w:szCs w:val="18"/>
        </w:rPr>
        <w:t>convergence across regions in Indonesia is</w:t>
      </w:r>
      <w:r>
        <w:rPr>
          <w:rFonts w:eastAsia="Adobe Myungjo Std M" w:cstheme="minorHAnsi"/>
          <w:szCs w:val="18"/>
        </w:rPr>
        <w:t xml:space="preserve"> also</w:t>
      </w:r>
      <w:r w:rsidRPr="00EB601B">
        <w:rPr>
          <w:rFonts w:eastAsia="Adobe Myungjo Std M" w:cstheme="minorHAnsi"/>
          <w:szCs w:val="18"/>
        </w:rPr>
        <w:t xml:space="preserve"> appealing for at least two following reasons. First, it can enrich the literature by providing a comparative study on </w:t>
      </w:r>
      <w:r>
        <w:rPr>
          <w:rFonts w:eastAsia="Adobe Myungjo Std M" w:cstheme="minorHAnsi"/>
          <w:szCs w:val="18"/>
        </w:rPr>
        <w:t xml:space="preserve">wage </w:t>
      </w:r>
      <w:r w:rsidRPr="00EB601B">
        <w:rPr>
          <w:rFonts w:eastAsia="Adobe Myungjo Std M" w:cstheme="minorHAnsi"/>
          <w:szCs w:val="18"/>
        </w:rPr>
        <w:t xml:space="preserve">convergence in a developing country like Indonesia with a large diversity and unique geographical condition compared to the </w:t>
      </w:r>
      <w:r>
        <w:rPr>
          <w:rFonts w:eastAsia="Adobe Myungjo Std M" w:cstheme="minorHAnsi"/>
          <w:szCs w:val="18"/>
        </w:rPr>
        <w:t>other countries</w:t>
      </w:r>
      <w:r w:rsidRPr="00EB601B">
        <w:rPr>
          <w:rFonts w:eastAsia="Adobe Myungjo Std M" w:cstheme="minorHAnsi"/>
          <w:szCs w:val="18"/>
        </w:rPr>
        <w:t xml:space="preserve">. </w:t>
      </w:r>
      <w:r>
        <w:rPr>
          <w:rFonts w:eastAsia="Adobe Myungjo Std M" w:cstheme="minorHAnsi"/>
          <w:szCs w:val="18"/>
        </w:rPr>
        <w:t>Second</w:t>
      </w:r>
      <w:r w:rsidRPr="00EB601B">
        <w:rPr>
          <w:rFonts w:eastAsia="Adobe Myungjo Std M" w:cstheme="minorHAnsi"/>
          <w:szCs w:val="18"/>
        </w:rPr>
        <w:t xml:space="preserve">, </w:t>
      </w:r>
      <w:r>
        <w:rPr>
          <w:rFonts w:eastAsia="Adobe Myungjo Std M" w:cstheme="minorHAnsi"/>
          <w:szCs w:val="18"/>
        </w:rPr>
        <w:t>wage</w:t>
      </w:r>
      <w:r w:rsidRPr="00EB601B">
        <w:rPr>
          <w:rFonts w:eastAsia="Adobe Myungjo Std M" w:cstheme="minorHAnsi"/>
          <w:szCs w:val="18"/>
        </w:rPr>
        <w:t xml:space="preserve"> convergence analysis often unveils hidden patterns and is thus useful in understanding critical issues such as the degree of market integration among regions </w:t>
      </w:r>
      <w:r>
        <w:rPr>
          <w:rFonts w:eastAsia="Adobe Myungjo Std M" w:cstheme="minorHAnsi"/>
          <w:szCs w:val="18"/>
        </w:rPr>
        <w:t>and the role of spatial factors especially in diverse archipelago country like Indonesia</w:t>
      </w:r>
      <w:r w:rsidR="00030698">
        <w:rPr>
          <w:rFonts w:eastAsia="Adobe Myungjo Std M" w:cstheme="minorHAnsi"/>
          <w:szCs w:val="18"/>
        </w:rPr>
        <w:t xml:space="preserve"> </w:t>
      </w:r>
      <w:r w:rsidR="00030698">
        <w:rPr>
          <w:rFonts w:eastAsia="Adobe Myungjo Std M" w:cstheme="minorHAnsi"/>
          <w:szCs w:val="18"/>
        </w:rPr>
        <w:fldChar w:fldCharType="begin"/>
      </w:r>
      <w:r w:rsidR="00030698">
        <w:rPr>
          <w:rFonts w:eastAsia="Adobe Myungjo Std M" w:cstheme="minorHAnsi"/>
          <w:szCs w:val="18"/>
        </w:rPr>
        <w:instrText xml:space="preserve"> ADDIN ZOTERO_ITEM CSL_CITATION {"citationID":"g47uQAmh","properties":{"formattedCitation":"(Aginta, 2021)","plainCitation":"(Aginta, 2021)","noteIndex":0},"citationItems":[{"id":291,"uris":["http://zotero.org/users/local/9Bu69DCL/items/V3IXBCJE"],"uri":["http://zotero.org/users/local/9Bu69DCL/items/V3IXBCJE"],"itemData":{"id":291,"type":"article-journal","abstract":"This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030698">
        <w:rPr>
          <w:rFonts w:eastAsia="Adobe Myungjo Std M" w:cstheme="minorHAnsi"/>
          <w:szCs w:val="18"/>
        </w:rPr>
        <w:fldChar w:fldCharType="separate"/>
      </w:r>
      <w:r w:rsidR="00030698" w:rsidRPr="00030698">
        <w:rPr>
          <w:rFonts w:ascii="Calibri" w:hAnsi="Calibri" w:cs="Calibri"/>
        </w:rPr>
        <w:t>(Aginta, 2021)</w:t>
      </w:r>
      <w:r w:rsidR="00030698">
        <w:rPr>
          <w:rFonts w:eastAsia="Adobe Myungjo Std M" w:cstheme="minorHAnsi"/>
          <w:szCs w:val="18"/>
        </w:rPr>
        <w:fldChar w:fldCharType="end"/>
      </w:r>
      <w:r w:rsidR="00030698">
        <w:rPr>
          <w:rFonts w:eastAsia="Adobe Myungjo Std M" w:cstheme="minorHAnsi"/>
          <w:szCs w:val="18"/>
        </w:rPr>
        <w:t>.</w:t>
      </w:r>
    </w:p>
    <w:p w14:paraId="447E7AE1" w14:textId="3BF244DD" w:rsidR="00511618" w:rsidRDefault="00511618" w:rsidP="00511618">
      <w:pPr>
        <w:pStyle w:val="ListParagraph"/>
        <w:spacing w:line="360" w:lineRule="auto"/>
        <w:jc w:val="both"/>
        <w:rPr>
          <w:rFonts w:eastAsia="Adobe Myungjo Std M" w:cstheme="minorHAnsi"/>
          <w:szCs w:val="18"/>
        </w:rPr>
      </w:pPr>
      <w:r>
        <w:rPr>
          <w:rFonts w:eastAsia="Adobe Myungjo Std M" w:cstheme="minorHAnsi"/>
          <w:szCs w:val="18"/>
        </w:rPr>
        <w:tab/>
      </w:r>
      <w:r w:rsidRPr="003B6B07">
        <w:rPr>
          <w:rFonts w:eastAsia="Adobe Myungjo Std M" w:cstheme="minorHAnsi"/>
          <w:szCs w:val="18"/>
        </w:rPr>
        <w:t>The focus of this paper lies on</w:t>
      </w:r>
      <w:r>
        <w:rPr>
          <w:rFonts w:eastAsia="Adobe Myungjo Std M" w:cstheme="minorHAnsi"/>
          <w:szCs w:val="18"/>
        </w:rPr>
        <w:t xml:space="preserve"> convergence analysis of</w:t>
      </w:r>
      <w:r w:rsidRPr="003B6B07">
        <w:rPr>
          <w:rFonts w:eastAsia="Adobe Myungjo Std M" w:cstheme="minorHAnsi"/>
          <w:szCs w:val="18"/>
        </w:rPr>
        <w:t xml:space="preserve"> the long-run behavior of regional wages in </w:t>
      </w:r>
      <w:r>
        <w:rPr>
          <w:rFonts w:eastAsia="Adobe Myungjo Std M" w:cstheme="minorHAnsi"/>
          <w:szCs w:val="18"/>
        </w:rPr>
        <w:t xml:space="preserve">Indonesia and its influenced factors. </w:t>
      </w:r>
      <w:r w:rsidRPr="003B6B07">
        <w:rPr>
          <w:rFonts w:eastAsia="Adobe Myungjo Std M" w:cstheme="minorHAnsi"/>
          <w:szCs w:val="18"/>
        </w:rPr>
        <w:t>Despite numerous studies on regional income convergence, little is known about regional wage convergence in Indonesia</w:t>
      </w:r>
      <w:r>
        <w:rPr>
          <w:rFonts w:eastAsia="Adobe Myungjo Std M" w:cstheme="minorHAnsi"/>
          <w:szCs w:val="18"/>
        </w:rPr>
        <w:t xml:space="preserve">. Furthermore, in this paper we use average net income per month of employee and laborer in 34 provinces from 2005-2020 as main indicator instead of regional minimum wage (UMR). In many cases, regional minimum wage usually influenced by local government policy and other unconditional factors, so it </w:t>
      </w:r>
      <w:r w:rsidR="00A03A31">
        <w:rPr>
          <w:rFonts w:eastAsia="Adobe Myungjo Std M" w:cstheme="minorHAnsi"/>
          <w:szCs w:val="18"/>
        </w:rPr>
        <w:t>does not</w:t>
      </w:r>
      <w:r>
        <w:rPr>
          <w:rFonts w:eastAsia="Adobe Myungjo Std M" w:cstheme="minorHAnsi"/>
          <w:szCs w:val="18"/>
        </w:rPr>
        <w:t xml:space="preserve"> optimally </w:t>
      </w:r>
      <w:r w:rsidR="00A03A31">
        <w:rPr>
          <w:rFonts w:eastAsia="Adobe Myungjo Std M" w:cstheme="minorHAnsi"/>
          <w:szCs w:val="18"/>
        </w:rPr>
        <w:t>represent</w:t>
      </w:r>
      <w:r>
        <w:rPr>
          <w:rFonts w:eastAsia="Adobe Myungjo Std M" w:cstheme="minorHAnsi"/>
          <w:szCs w:val="18"/>
        </w:rPr>
        <w:t xml:space="preserve"> the real market situation. We also </w:t>
      </w:r>
      <w:r w:rsidRPr="003B6B07">
        <w:rPr>
          <w:rFonts w:eastAsia="Adobe Myungjo Std M" w:cstheme="minorHAnsi"/>
          <w:szCs w:val="18"/>
        </w:rPr>
        <w:t xml:space="preserve">remove the effect of inflation on regional wage by converting the data from nominal into real term using provincial Consumer Price Index (CPI) of 2005 as the base. </w:t>
      </w:r>
    </w:p>
    <w:p w14:paraId="433CE65A" w14:textId="617A7620" w:rsidR="00511618" w:rsidRDefault="00511618" w:rsidP="00511618">
      <w:pPr>
        <w:pStyle w:val="ListParagraph"/>
        <w:spacing w:line="360" w:lineRule="auto"/>
        <w:ind w:firstLine="720"/>
        <w:jc w:val="both"/>
      </w:pPr>
      <w:r>
        <w:rPr>
          <w:rFonts w:eastAsia="Adobe Myungjo Std M" w:cstheme="minorHAnsi"/>
          <w:szCs w:val="18"/>
        </w:rPr>
        <w:t xml:space="preserve">By applying club convergence technique </w:t>
      </w:r>
      <w:r w:rsidR="00D5639B">
        <w:rPr>
          <w:rFonts w:eastAsia="Adobe Myungjo Std M" w:cstheme="minorHAnsi"/>
          <w:szCs w:val="18"/>
        </w:rPr>
        <w:fldChar w:fldCharType="begin"/>
      </w:r>
      <w:r w:rsidR="00D5639B">
        <w:rPr>
          <w:rFonts w:eastAsia="Adobe Myungjo Std M" w:cstheme="minorHAnsi"/>
          <w:szCs w:val="18"/>
        </w:rPr>
        <w:instrText xml:space="preserve"> ADDIN ZOTERO_ITEM CSL_CITATION {"citationID":"Eba9wbiu","properties":{"formattedCitation":"(Phillips &amp; Sul, 2007)","plainCitation":"(Phillips &amp; Sul, 2007)","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D5639B">
        <w:rPr>
          <w:rFonts w:eastAsia="Adobe Myungjo Std M" w:cstheme="minorHAnsi"/>
          <w:szCs w:val="18"/>
        </w:rPr>
        <w:fldChar w:fldCharType="separate"/>
      </w:r>
      <w:r w:rsidR="00D5639B" w:rsidRPr="00D5639B">
        <w:rPr>
          <w:rFonts w:ascii="Calibri" w:hAnsi="Calibri" w:cs="Calibri"/>
        </w:rPr>
        <w:t>(Phillips &amp; Sul, 2007)</w:t>
      </w:r>
      <w:r w:rsidR="00D5639B">
        <w:rPr>
          <w:rFonts w:eastAsia="Adobe Myungjo Std M" w:cstheme="minorHAnsi"/>
          <w:szCs w:val="18"/>
        </w:rPr>
        <w:fldChar w:fldCharType="end"/>
      </w:r>
      <w:r w:rsidRPr="003B6B07">
        <w:rPr>
          <w:rFonts w:eastAsia="Adobe Myungjo Std M" w:cstheme="minorHAnsi"/>
          <w:szCs w:val="18"/>
        </w:rPr>
        <w:t xml:space="preserve">, we find three significant convergence clubs of regional wage. </w:t>
      </w:r>
      <w:r w:rsidRPr="00DE1903">
        <w:rPr>
          <w:rFonts w:eastAsia="Adobe Myungjo Std M" w:cstheme="minorHAnsi"/>
          <w:szCs w:val="18"/>
        </w:rPr>
        <w:t xml:space="preserve">Interestingly, the composition of the clubs by using real wage is very similar to the one we obtained by using nominal wage, implying the existence of price-adjusted mechanism in regional wages. </w:t>
      </w:r>
      <w:r>
        <w:rPr>
          <w:rFonts w:eastAsia="Adobe Myungjo Std M" w:cstheme="minorHAnsi"/>
          <w:szCs w:val="18"/>
        </w:rPr>
        <w:t>Provinces that converge into the higher wage clubs (</w:t>
      </w:r>
      <w:r w:rsidR="00D5639B">
        <w:rPr>
          <w:rFonts w:eastAsia="Adobe Myungjo Std M" w:cstheme="minorHAnsi"/>
          <w:szCs w:val="18"/>
        </w:rPr>
        <w:t>c</w:t>
      </w:r>
      <w:r>
        <w:rPr>
          <w:rFonts w:eastAsia="Adobe Myungjo Std M" w:cstheme="minorHAnsi"/>
          <w:szCs w:val="18"/>
        </w:rPr>
        <w:t>lub</w:t>
      </w:r>
      <w:r w:rsidR="00D5639B">
        <w:rPr>
          <w:rFonts w:eastAsia="Adobe Myungjo Std M" w:cstheme="minorHAnsi"/>
          <w:szCs w:val="18"/>
        </w:rPr>
        <w:t xml:space="preserve"> 1</w:t>
      </w:r>
      <w:r>
        <w:rPr>
          <w:rFonts w:eastAsia="Adobe Myungjo Std M" w:cstheme="minorHAnsi"/>
          <w:szCs w:val="18"/>
        </w:rPr>
        <w:t xml:space="preserve"> and </w:t>
      </w:r>
      <w:r w:rsidR="00D5639B">
        <w:rPr>
          <w:rFonts w:eastAsia="Adobe Myungjo Std M" w:cstheme="minorHAnsi"/>
          <w:szCs w:val="18"/>
        </w:rPr>
        <w:t>c</w:t>
      </w:r>
      <w:r>
        <w:rPr>
          <w:rFonts w:eastAsia="Adobe Myungjo Std M" w:cstheme="minorHAnsi"/>
          <w:szCs w:val="18"/>
        </w:rPr>
        <w:t>lub 2) have similar characteristic where there are many national strategic projects are being built and have high traffic of migrant workers. Our further analysis using</w:t>
      </w:r>
      <w:r w:rsidRPr="00DE1903">
        <w:t xml:space="preserve"> ordered logit model </w:t>
      </w:r>
      <w:r>
        <w:t>suggests</w:t>
      </w:r>
      <w:r w:rsidRPr="00DE1903">
        <w:t xml:space="preserve"> that the formation of club convergence is significantly explained by the following variables: initial level of wage, share of employment on manufacturing sector, investment share to GDP and labor force participation rate.</w:t>
      </w:r>
      <w:r>
        <w:t xml:space="preserve"> Our findings reveal that investment and manufacturing share to GDP have significant role to determine the club formation. Th</w:t>
      </w:r>
      <w:r w:rsidR="004F2556">
        <w:t>ese</w:t>
      </w:r>
      <w:r>
        <w:t xml:space="preserve"> findings also confirm the assumption of similar characteristics from those are as mentioned above.</w:t>
      </w:r>
      <w:r w:rsidR="004F2556">
        <w:t xml:space="preserve"> </w:t>
      </w:r>
    </w:p>
    <w:p w14:paraId="125DD1A8" w14:textId="77777777" w:rsidR="00511618" w:rsidRPr="00E859D4" w:rsidRDefault="00511618" w:rsidP="00511618">
      <w:pPr>
        <w:pStyle w:val="ListParagraph"/>
        <w:spacing w:line="360" w:lineRule="auto"/>
        <w:ind w:firstLine="720"/>
        <w:jc w:val="both"/>
        <w:rPr>
          <w:rFonts w:eastAsia="Adobe Myungjo Std M" w:cstheme="minorHAnsi"/>
          <w:szCs w:val="18"/>
        </w:rPr>
      </w:pPr>
      <w:r>
        <w:t xml:space="preserve">The remaining of this paper is organized as follows. In Section 2 we review related literature and in Section 3 we discuss the methodologies and data. Section 4 presents and </w:t>
      </w:r>
      <w:r>
        <w:lastRenderedPageBreak/>
        <w:t>discusses our results on the formation of convergence clubs and the influencing factors. Finally, Section 5 concludes the paper with remarks.</w:t>
      </w:r>
    </w:p>
    <w:p w14:paraId="13DB0B32" w14:textId="77777777" w:rsidR="00511618" w:rsidRDefault="00511618" w:rsidP="00511618">
      <w:pPr>
        <w:pStyle w:val="ListParagraph"/>
        <w:rPr>
          <w:rFonts w:ascii="Bookman Old Style" w:eastAsia="Adobe Myungjo Std M" w:hAnsi="Bookman Old Style"/>
          <w:b/>
          <w:szCs w:val="18"/>
        </w:rPr>
      </w:pPr>
    </w:p>
    <w:p w14:paraId="355038A0" w14:textId="7D3A16FB" w:rsidR="00511618" w:rsidRDefault="00B04DDF" w:rsidP="00EB13DE">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b/>
          <w:szCs w:val="18"/>
        </w:rPr>
        <w:t>L</w:t>
      </w:r>
      <w:r w:rsidR="00511618">
        <w:rPr>
          <w:rFonts w:ascii="Bookman Old Style" w:eastAsia="Adobe Myungjo Std M" w:hAnsi="Bookman Old Style"/>
          <w:b/>
          <w:szCs w:val="18"/>
        </w:rPr>
        <w:t>iterature</w:t>
      </w:r>
      <w:r>
        <w:rPr>
          <w:rFonts w:ascii="Bookman Old Style" w:eastAsia="Adobe Myungjo Std M" w:hAnsi="Bookman Old Style"/>
          <w:b/>
          <w:szCs w:val="18"/>
        </w:rPr>
        <w:t xml:space="preserve"> review</w:t>
      </w:r>
    </w:p>
    <w:p w14:paraId="31849A56" w14:textId="66DEA1F3" w:rsidR="00CC0532" w:rsidRDefault="00B04DDF" w:rsidP="00760941">
      <w:pPr>
        <w:pStyle w:val="ListParagraph"/>
        <w:numPr>
          <w:ilvl w:val="1"/>
          <w:numId w:val="2"/>
        </w:numPr>
        <w:ind w:left="1418" w:hanging="698"/>
        <w:rPr>
          <w:rFonts w:ascii="Bookman Old Style" w:eastAsia="Adobe Myungjo Std M" w:hAnsi="Bookman Old Style"/>
          <w:b/>
          <w:szCs w:val="18"/>
        </w:rPr>
      </w:pPr>
      <w:r>
        <w:rPr>
          <w:rFonts w:ascii="Bookman Old Style" w:eastAsia="Adobe Myungjo Std M" w:hAnsi="Bookman Old Style"/>
          <w:b/>
          <w:szCs w:val="18"/>
        </w:rPr>
        <w:t>Previous s</w:t>
      </w:r>
      <w:r w:rsidR="00CC0532">
        <w:rPr>
          <w:rFonts w:ascii="Bookman Old Style" w:eastAsia="Adobe Myungjo Std M" w:hAnsi="Bookman Old Style"/>
          <w:b/>
          <w:szCs w:val="18"/>
        </w:rPr>
        <w:t>tudies on wage convergence</w:t>
      </w:r>
    </w:p>
    <w:p w14:paraId="0A0883A9" w14:textId="03AF9C73" w:rsidR="00CC0532" w:rsidRDefault="00CC0532" w:rsidP="00CC0532">
      <w:pPr>
        <w:pStyle w:val="ListParagraph"/>
        <w:ind w:left="1160"/>
        <w:rPr>
          <w:rFonts w:ascii="Bookman Old Style" w:eastAsia="Adobe Myungjo Std M" w:hAnsi="Bookman Old Style"/>
          <w:b/>
          <w:szCs w:val="18"/>
        </w:rPr>
      </w:pPr>
    </w:p>
    <w:p w14:paraId="6596C406" w14:textId="6686EADA" w:rsidR="00CC0532" w:rsidRPr="0052431C" w:rsidRDefault="00CC0532" w:rsidP="00CC0532">
      <w:pPr>
        <w:pStyle w:val="ListParagraph"/>
        <w:spacing w:line="360" w:lineRule="auto"/>
        <w:ind w:left="709"/>
        <w:jc w:val="both"/>
        <w:rPr>
          <w:rFonts w:eastAsia="Adobe Myungjo Std M" w:cstheme="minorHAnsi"/>
          <w:szCs w:val="18"/>
        </w:rPr>
      </w:pPr>
      <w:r>
        <w:rPr>
          <w:rFonts w:eastAsia="Adobe Myungjo Std M" w:cstheme="minorHAnsi"/>
          <w:szCs w:val="18"/>
        </w:rPr>
        <w:t>Anal</w:t>
      </w:r>
      <w:r w:rsidRPr="00BE249C">
        <w:rPr>
          <w:rFonts w:eastAsia="Adobe Myungjo Std M" w:cstheme="minorHAnsi"/>
          <w:szCs w:val="18"/>
        </w:rPr>
        <w:t>yzing wage conver</w:t>
      </w:r>
      <w:r>
        <w:rPr>
          <w:rFonts w:eastAsia="Adobe Myungjo Std M" w:cstheme="minorHAnsi"/>
          <w:szCs w:val="18"/>
        </w:rPr>
        <w:t>gences within a country has some benefits. The main benefit is it will improve and provides a deeper understanding of wage dynamics across different regions. In a labor market context, the ‘law of one price’ would entail wages across workers and locations would converge as transports and communication technologies increase labor mobility</w:t>
      </w:r>
      <w:r w:rsidR="00497A6F">
        <w:rPr>
          <w:rFonts w:eastAsia="Adobe Myungjo Std M" w:cstheme="minorHAnsi"/>
          <w:szCs w:val="18"/>
        </w:rPr>
        <w:t xml:space="preserve"> </w:t>
      </w:r>
      <w:r w:rsidR="00497A6F">
        <w:rPr>
          <w:rFonts w:eastAsia="Adobe Myungjo Std M" w:cstheme="minorHAnsi"/>
          <w:szCs w:val="18"/>
        </w:rPr>
        <w:fldChar w:fldCharType="begin"/>
      </w:r>
      <w:r w:rsidR="00497A6F">
        <w:rPr>
          <w:rFonts w:eastAsia="Adobe Myungjo Std M" w:cstheme="minorHAnsi"/>
          <w:szCs w:val="18"/>
        </w:rPr>
        <w:instrText xml:space="preserve"> ADDIN ZOTERO_ITEM CSL_CITATION {"citationID":"9VZ77hKF","properties":{"formattedCitation":"(Prado et al., 2020)","plainCitation":"(Prado et al., 2020)","noteIndex":0},"citationItems":[{"id":292,"uris":["http://zotero.org/users/local/9Bu69DCL/items/86MW47I5"],"uri":["http://zotero.org/users/local/9Bu69DCL/items/86MW47I5"],"itemData":{"id":292,"type":"article-journal","container-title":"Scandinavian Economic History Review","ISSN":"0358-5522","journalAbbreviation":"Scandinavian Economic History Review","note":"publisher: Taylor &amp; Francis","page":"1-22","title":"Labour and the ‘law of one price’: regional wage convergence of farm workers in Sweden, 1757–1980","author":[{"family":"Prado","given":"Svante"},{"family":"Lundh","given":"Christer"},{"family":"Collin","given":"Kristoffer"},{"family":"Enflo","given":"Kerstin"}],"issued":{"date-parts":[["2020"]]}}}],"schema":"https://github.com/citation-style-language/schema/raw/master/csl-citation.json"} </w:instrText>
      </w:r>
      <w:r w:rsidR="00497A6F">
        <w:rPr>
          <w:rFonts w:eastAsia="Adobe Myungjo Std M" w:cstheme="minorHAnsi"/>
          <w:szCs w:val="18"/>
        </w:rPr>
        <w:fldChar w:fldCharType="separate"/>
      </w:r>
      <w:r w:rsidR="00497A6F" w:rsidRPr="00497A6F">
        <w:rPr>
          <w:rFonts w:ascii="Calibri" w:hAnsi="Calibri" w:cs="Calibri"/>
        </w:rPr>
        <w:t>(Prado et al., 2020)</w:t>
      </w:r>
      <w:r w:rsidR="00497A6F">
        <w:rPr>
          <w:rFonts w:eastAsia="Adobe Myungjo Std M" w:cstheme="minorHAnsi"/>
          <w:szCs w:val="18"/>
        </w:rPr>
        <w:fldChar w:fldCharType="end"/>
      </w:r>
      <w:r>
        <w:rPr>
          <w:rFonts w:eastAsia="Adobe Myungjo Std M" w:cstheme="minorHAnsi"/>
          <w:szCs w:val="18"/>
        </w:rPr>
        <w:t xml:space="preserve">. Several studies provide evidence that regional wages seem to have converged since pre-industrial times, whether for the distribution of wages across space in the late twentieth and the early twenty-first century was rather flat </w:t>
      </w:r>
      <w:r w:rsidR="00497A6F">
        <w:rPr>
          <w:rFonts w:eastAsia="Adobe Myungjo Std M" w:cstheme="minorHAnsi"/>
          <w:szCs w:val="18"/>
        </w:rPr>
        <w:fldChar w:fldCharType="begin"/>
      </w:r>
      <w:r w:rsidR="00497A6F">
        <w:rPr>
          <w:rFonts w:eastAsia="Adobe Myungjo Std M" w:cstheme="minorHAnsi"/>
          <w:szCs w:val="18"/>
        </w:rPr>
        <w:instrText xml:space="preserve"> ADDIN ZOTERO_ITEM CSL_CITATION {"citationID":"vJmim2w2","properties":{"formattedCitation":"(Collin et al., 2019)","plainCitation":"(Collin et al., 2019)","noteIndex":0},"citationItems":[{"id":288,"uris":["http://zotero.org/users/local/9Bu69DCL/items/63EDV5YR"],"uri":["http://zotero.org/users/local/9Bu69DCL/items/63EDV5YR"],"itemData":{"id":288,"type":"article-journal","container-title":"Scandinavian Economic History Review","ISSN":"0358-5522","issue":"3","journalAbbreviation":"Scandinavian Economic History Review","note":"publisher: Taylor &amp; Francis","page":"249-268","title":"Exploring regional wage dispersion in Swedish manufacturing, 1860–2009","volume":"67","author":[{"family":"Collin","given":"Kristoffer"},{"family":"Lundh","given":"Christer"},{"family":"Prado","given":"Svante"}],"issued":{"date-parts":[["2019"]]}}}],"schema":"https://github.com/citation-style-language/schema/raw/master/csl-citation.json"} </w:instrText>
      </w:r>
      <w:r w:rsidR="00497A6F">
        <w:rPr>
          <w:rFonts w:eastAsia="Adobe Myungjo Std M" w:cstheme="minorHAnsi"/>
          <w:szCs w:val="18"/>
        </w:rPr>
        <w:fldChar w:fldCharType="separate"/>
      </w:r>
      <w:r w:rsidR="00497A6F" w:rsidRPr="00497A6F">
        <w:rPr>
          <w:rFonts w:ascii="Calibri" w:hAnsi="Calibri" w:cs="Calibri"/>
        </w:rPr>
        <w:t>(Collin et al., 2019)</w:t>
      </w:r>
      <w:r w:rsidR="00497A6F">
        <w:rPr>
          <w:rFonts w:eastAsia="Adobe Myungjo Std M" w:cstheme="minorHAnsi"/>
          <w:szCs w:val="18"/>
        </w:rPr>
        <w:fldChar w:fldCharType="end"/>
      </w:r>
      <w:r>
        <w:rPr>
          <w:rFonts w:eastAsia="Adobe Myungjo Std M" w:cstheme="minorHAnsi"/>
          <w:szCs w:val="18"/>
        </w:rPr>
        <w:t>. However, another study shows t</w:t>
      </w:r>
      <w:r w:rsidRPr="000F28A7">
        <w:rPr>
          <w:rFonts w:eastAsia="Adobe Myungjo Std M" w:cstheme="minorHAnsi"/>
          <w:szCs w:val="18"/>
        </w:rPr>
        <w:t>he empirical implication of the law of one price in a labor ma</w:t>
      </w:r>
      <w:r>
        <w:rPr>
          <w:rFonts w:eastAsia="Adobe Myungjo Std M" w:cstheme="minorHAnsi"/>
          <w:szCs w:val="18"/>
        </w:rPr>
        <w:t xml:space="preserve">rket context is that wages will converge across space in line with huge </w:t>
      </w:r>
      <w:r w:rsidRPr="000F28A7">
        <w:rPr>
          <w:rFonts w:eastAsia="Adobe Myungjo Std M" w:cstheme="minorHAnsi"/>
          <w:szCs w:val="18"/>
        </w:rPr>
        <w:t>improvements in transports and communications expand</w:t>
      </w:r>
      <w:r>
        <w:rPr>
          <w:rFonts w:eastAsia="Adobe Myungjo Std M" w:cstheme="minorHAnsi"/>
          <w:szCs w:val="18"/>
        </w:rPr>
        <w:t>ing</w:t>
      </w:r>
      <w:r w:rsidRPr="000F28A7">
        <w:rPr>
          <w:rFonts w:eastAsia="Adobe Myungjo Std M" w:cstheme="minorHAnsi"/>
          <w:szCs w:val="18"/>
        </w:rPr>
        <w:t xml:space="preserve"> the geographical</w:t>
      </w:r>
      <w:r>
        <w:rPr>
          <w:rFonts w:eastAsia="Adobe Myungjo Std M" w:cstheme="minorHAnsi"/>
          <w:szCs w:val="18"/>
        </w:rPr>
        <w:t xml:space="preserve"> extent of labor markets. </w:t>
      </w:r>
      <w:r w:rsidRPr="000F28A7">
        <w:rPr>
          <w:rFonts w:eastAsia="Adobe Myungjo Std M" w:cstheme="minorHAnsi"/>
          <w:szCs w:val="18"/>
        </w:rPr>
        <w:t>In the absence of migration barriers, migration from low-wage regions to</w:t>
      </w:r>
      <w:r>
        <w:rPr>
          <w:rFonts w:eastAsia="Adobe Myungjo Std M" w:cstheme="minorHAnsi"/>
          <w:szCs w:val="18"/>
        </w:rPr>
        <w:t xml:space="preserve"> </w:t>
      </w:r>
      <w:r w:rsidRPr="0084636C">
        <w:rPr>
          <w:rFonts w:eastAsia="Adobe Myungjo Std M" w:cstheme="minorHAnsi"/>
          <w:szCs w:val="18"/>
        </w:rPr>
        <w:t xml:space="preserve">high-wage regions tends to decrease regional wage differentials </w:t>
      </w:r>
      <w:r w:rsidR="006E73C3">
        <w:rPr>
          <w:rFonts w:eastAsia="Adobe Myungjo Std M" w:cstheme="minorHAnsi"/>
          <w:szCs w:val="18"/>
        </w:rPr>
        <w:fldChar w:fldCharType="begin"/>
      </w:r>
      <w:r w:rsidR="006E73C3">
        <w:rPr>
          <w:rFonts w:eastAsia="Adobe Myungjo Std M" w:cstheme="minorHAnsi"/>
          <w:szCs w:val="18"/>
        </w:rPr>
        <w:instrText xml:space="preserve"> ADDIN ZOTERO_ITEM CSL_CITATION {"citationID":"umLxcBmx","properties":{"formattedCitation":"(Collin et al., 2019)","plainCitation":"(Collin et al., 2019)","noteIndex":0},"citationItems":[{"id":288,"uris":["http://zotero.org/users/local/9Bu69DCL/items/63EDV5YR"],"uri":["http://zotero.org/users/local/9Bu69DCL/items/63EDV5YR"],"itemData":{"id":288,"type":"article-journal","container-title":"Scandinavian Economic History Review","ISSN":"0358-5522","issue":"3","journalAbbreviation":"Scandinavian Economic History Review","note":"publisher: Taylor &amp; Francis","page":"249-268","title":"Exploring regional wage dispersion in Swedish manufacturing, 1860–2009","volume":"67","author":[{"family":"Collin","given":"Kristoffer"},{"family":"Lundh","given":"Christer"},{"family":"Prado","given":"Svante"}],"issued":{"date-parts":[["2019"]]}}}],"schema":"https://github.com/citation-style-language/schema/raw/master/csl-citation.json"} </w:instrText>
      </w:r>
      <w:r w:rsidR="006E73C3">
        <w:rPr>
          <w:rFonts w:eastAsia="Adobe Myungjo Std M" w:cstheme="minorHAnsi"/>
          <w:szCs w:val="18"/>
        </w:rPr>
        <w:fldChar w:fldCharType="separate"/>
      </w:r>
      <w:r w:rsidR="006E73C3" w:rsidRPr="006E73C3">
        <w:rPr>
          <w:rFonts w:ascii="Calibri" w:hAnsi="Calibri" w:cs="Calibri"/>
        </w:rPr>
        <w:t>(Collin et al., 2019)</w:t>
      </w:r>
      <w:r w:rsidR="006E73C3">
        <w:rPr>
          <w:rFonts w:eastAsia="Adobe Myungjo Std M" w:cstheme="minorHAnsi"/>
          <w:szCs w:val="18"/>
        </w:rPr>
        <w:fldChar w:fldCharType="end"/>
      </w:r>
      <w:r w:rsidRPr="0084636C">
        <w:rPr>
          <w:rFonts w:eastAsia="Adobe Myungjo Std M" w:cstheme="minorHAnsi"/>
          <w:szCs w:val="18"/>
        </w:rPr>
        <w:t xml:space="preserve">. </w:t>
      </w:r>
      <w:r w:rsidRPr="0052431C">
        <w:rPr>
          <w:rFonts w:eastAsia="Adobe Myungjo Std M" w:cstheme="minorHAnsi"/>
          <w:szCs w:val="18"/>
        </w:rPr>
        <w:t>Based on that study, there should be an interesting finding in Indonesia due to the vast transportation and communications infrastructure development in the last decade. One of proofs rapid development of transportation infrastructure in Indonesia was shown by the number of airport</w:t>
      </w:r>
      <w:r>
        <w:rPr>
          <w:rFonts w:eastAsia="Adobe Myungjo Std M" w:cstheme="minorHAnsi"/>
          <w:szCs w:val="18"/>
        </w:rPr>
        <w:t>s</w:t>
      </w:r>
      <w:r w:rsidRPr="0052431C">
        <w:rPr>
          <w:rFonts w:eastAsia="Adobe Myungjo Std M" w:cstheme="minorHAnsi"/>
          <w:szCs w:val="18"/>
        </w:rPr>
        <w:t xml:space="preserve"> in Indonesia which increase from 148 unit in 2004 to 235 unit in 2018. As a result, the traffic of domestic passengers was skyrocketing during that period from 34 million passengers per year in 2004 to 94 million passengers per year in 2018. Meanwhile, there is also a rapid development in communication infrastructure due to massive base transceiver station (BTS) construction which built by Indonesia’s telco state-owned enterprise from only around 26 thousand unit in 2008 to 231 thousand in 2020. </w:t>
      </w:r>
    </w:p>
    <w:p w14:paraId="63EB0EB1" w14:textId="3096B8F8" w:rsidR="00CC0532" w:rsidRPr="0009490D" w:rsidRDefault="00CC0532" w:rsidP="00CC0532">
      <w:pPr>
        <w:pStyle w:val="ListParagraph"/>
        <w:spacing w:line="360" w:lineRule="auto"/>
        <w:ind w:left="709" w:firstLine="709"/>
        <w:jc w:val="both"/>
        <w:rPr>
          <w:rFonts w:eastAsia="Adobe Myungjo Std M" w:cstheme="minorHAnsi"/>
          <w:szCs w:val="18"/>
        </w:rPr>
      </w:pPr>
      <w:r w:rsidRPr="0009490D">
        <w:rPr>
          <w:rFonts w:eastAsia="Adobe Myungjo Std M" w:cstheme="minorHAnsi"/>
          <w:szCs w:val="18"/>
        </w:rPr>
        <w:t xml:space="preserve">On the other hand, </w:t>
      </w:r>
      <w:r>
        <w:rPr>
          <w:rFonts w:eastAsia="Adobe Myungjo Std M" w:cstheme="minorHAnsi"/>
          <w:szCs w:val="18"/>
        </w:rPr>
        <w:t>our</w:t>
      </w:r>
      <w:r w:rsidRPr="0009490D">
        <w:rPr>
          <w:rFonts w:eastAsia="Adobe Myungjo Std M" w:cstheme="minorHAnsi"/>
          <w:szCs w:val="18"/>
        </w:rPr>
        <w:t xml:space="preserve"> research also possible to examine which factors are the driving forces behind the formation of multiple steady states of </w:t>
      </w:r>
      <w:r>
        <w:rPr>
          <w:rFonts w:eastAsia="Adobe Myungjo Std M" w:cstheme="minorHAnsi"/>
          <w:szCs w:val="18"/>
        </w:rPr>
        <w:t xml:space="preserve">wages </w:t>
      </w:r>
      <w:r w:rsidRPr="0009490D">
        <w:rPr>
          <w:rFonts w:eastAsia="Adobe Myungjo Std M" w:cstheme="minorHAnsi"/>
          <w:szCs w:val="18"/>
        </w:rPr>
        <w:t>across Indonesia regions. Some studies ha</w:t>
      </w:r>
      <w:r>
        <w:rPr>
          <w:rFonts w:eastAsia="Adobe Myungjo Std M" w:cstheme="minorHAnsi"/>
          <w:szCs w:val="18"/>
        </w:rPr>
        <w:t>ve</w:t>
      </w:r>
      <w:r w:rsidRPr="0009490D">
        <w:rPr>
          <w:rFonts w:eastAsia="Adobe Myungjo Std M" w:cstheme="minorHAnsi"/>
          <w:szCs w:val="18"/>
        </w:rPr>
        <w:t xml:space="preserve"> investigate</w:t>
      </w:r>
      <w:r w:rsidR="002F30D7">
        <w:rPr>
          <w:rFonts w:eastAsia="Adobe Myungjo Std M" w:cstheme="minorHAnsi"/>
          <w:szCs w:val="18"/>
        </w:rPr>
        <w:t>d</w:t>
      </w:r>
      <w:r w:rsidRPr="0009490D">
        <w:rPr>
          <w:rFonts w:eastAsia="Adobe Myungjo Std M" w:cstheme="minorHAnsi"/>
          <w:szCs w:val="18"/>
        </w:rPr>
        <w:t xml:space="preserve"> whether initial conditions put forward by a certa</w:t>
      </w:r>
      <w:r>
        <w:rPr>
          <w:rFonts w:eastAsia="Adobe Myungjo Std M" w:cstheme="minorHAnsi"/>
          <w:szCs w:val="18"/>
        </w:rPr>
        <w:t>i</w:t>
      </w:r>
      <w:r w:rsidRPr="0009490D">
        <w:rPr>
          <w:rFonts w:eastAsia="Adobe Myungjo Std M" w:cstheme="minorHAnsi"/>
          <w:szCs w:val="18"/>
        </w:rPr>
        <w:t xml:space="preserve">n class of theoretical models </w:t>
      </w:r>
      <w:r w:rsidR="00BC6C6F">
        <w:rPr>
          <w:rFonts w:eastAsia="Adobe Myungjo Std M" w:cstheme="minorHAnsi"/>
          <w:szCs w:val="18"/>
        </w:rPr>
        <w:fldChar w:fldCharType="begin"/>
      </w:r>
      <w:r w:rsidR="009B1E97">
        <w:rPr>
          <w:rFonts w:eastAsia="Adobe Myungjo Std M" w:cstheme="minorHAnsi"/>
          <w:szCs w:val="18"/>
        </w:rPr>
        <w:instrText xml:space="preserve"> ADDIN ZOTERO_ITEM CSL_CITATION {"citationID":"AGIQ2Uy9","properties":{"formattedCitation":"(Azariadis &amp; Drazen, 1990)","plainCitation":"(Azariadis &amp; Drazen, 1990)","dontUpdate":true,"noteIndex":0},"citationItems":[{"id":81,"uris":["http://zotero.org/users/local/9Bu69DCL/items/YTQSPYA5"],"uri":["http://zotero.org/users/local/9Bu69DCL/items/YTQSPYA5"],"itemData":{"id":81,"type":"article-journal","abstract":"[Standard one-sector growth models often have the counterfactual implication that economies with access to similar technologies will converge to a common balanced growth path. We propose an elaboration of the Diamond model that permits multiple, locally stable stationary states. This multiplicity is due to increasing social returns to scale in the accumulation of human capital.]","archive":"JSTOR","container-title":"The Quarterly Journal of Economics","DOI":"10.2307/2937797","ISSN":"00335533, 15314650","issue":"2","page":"501-526","title":"Threshold Externalities in Economic Development","volume":"105","author":[{"family":"Azariadis","given":"Costas"},{"family":"Drazen","given":"Allan"}],"issued":{"date-parts":[["1990"]]}}}],"schema":"https://github.com/citation-style-language/schema/raw/master/csl-citation.json"} </w:instrText>
      </w:r>
      <w:r w:rsidR="00BC6C6F">
        <w:rPr>
          <w:rFonts w:eastAsia="Adobe Myungjo Std M" w:cstheme="minorHAnsi"/>
          <w:szCs w:val="18"/>
        </w:rPr>
        <w:fldChar w:fldCharType="separate"/>
      </w:r>
      <w:r w:rsidR="00BC6C6F" w:rsidRPr="00BC6C6F">
        <w:rPr>
          <w:rFonts w:ascii="Calibri" w:hAnsi="Calibri" w:cs="Calibri"/>
        </w:rPr>
        <w:t>(</w:t>
      </w:r>
      <w:r w:rsidR="00BC6C6F">
        <w:rPr>
          <w:rFonts w:ascii="Calibri" w:hAnsi="Calibri" w:cs="Calibri"/>
        </w:rPr>
        <w:t xml:space="preserve">e.g., </w:t>
      </w:r>
      <w:r w:rsidR="00BC6C6F" w:rsidRPr="00BC6C6F">
        <w:rPr>
          <w:rFonts w:ascii="Calibri" w:hAnsi="Calibri" w:cs="Calibri"/>
        </w:rPr>
        <w:t>Azariadis &amp; Drazen, 1990)</w:t>
      </w:r>
      <w:r w:rsidR="00BC6C6F">
        <w:rPr>
          <w:rFonts w:eastAsia="Adobe Myungjo Std M" w:cstheme="minorHAnsi"/>
          <w:szCs w:val="18"/>
        </w:rPr>
        <w:fldChar w:fldCharType="end"/>
      </w:r>
      <w:r w:rsidRPr="0009490D">
        <w:rPr>
          <w:rFonts w:eastAsia="Adobe Myungjo Std M" w:cstheme="minorHAnsi"/>
          <w:szCs w:val="18"/>
        </w:rPr>
        <w:t xml:space="preserve"> are respon</w:t>
      </w:r>
      <w:r>
        <w:rPr>
          <w:rFonts w:eastAsia="Adobe Myungjo Std M" w:cstheme="minorHAnsi"/>
          <w:szCs w:val="18"/>
        </w:rPr>
        <w:t>sible for the o</w:t>
      </w:r>
      <w:r w:rsidRPr="0009490D">
        <w:rPr>
          <w:rFonts w:eastAsia="Adobe Myungjo Std M" w:cstheme="minorHAnsi"/>
          <w:szCs w:val="18"/>
        </w:rPr>
        <w:t xml:space="preserve">bserved convergence clubs. Moreover, in order to address that issue, there is a study that propose a two-step procedure consisting of first step which endogenously identify groups of regions that converge to the same steady state level and the second step investigating the role of starting conditions for club </w:t>
      </w:r>
      <w:r w:rsidRPr="0009490D">
        <w:rPr>
          <w:rFonts w:eastAsia="Adobe Myungjo Std M" w:cstheme="minorHAnsi"/>
          <w:szCs w:val="18"/>
        </w:rPr>
        <w:lastRenderedPageBreak/>
        <w:t>membership while controlling for the regions</w:t>
      </w:r>
      <w:r>
        <w:rPr>
          <w:rFonts w:eastAsia="Adobe Myungjo Std M" w:cstheme="minorHAnsi"/>
          <w:szCs w:val="18"/>
        </w:rPr>
        <w:t>’</w:t>
      </w:r>
      <w:r w:rsidRPr="0009490D">
        <w:rPr>
          <w:rFonts w:eastAsia="Adobe Myungjo Std M" w:cstheme="minorHAnsi"/>
          <w:szCs w:val="18"/>
        </w:rPr>
        <w:t xml:space="preserve"> structural characteristics </w:t>
      </w:r>
      <w:r w:rsidR="00BC6C6F">
        <w:rPr>
          <w:rFonts w:eastAsia="Adobe Myungjo Std M" w:cstheme="minorHAnsi"/>
          <w:szCs w:val="18"/>
        </w:rPr>
        <w:fldChar w:fldCharType="begin"/>
      </w:r>
      <w:r w:rsidR="00BC6C6F">
        <w:rPr>
          <w:rFonts w:eastAsia="Adobe Myungjo Std M" w:cstheme="minorHAnsi"/>
          <w:szCs w:val="18"/>
        </w:rPr>
        <w:instrText xml:space="preserve"> ADDIN ZOTERO_ITEM CSL_CITATION {"citationID":"CpMvLeNo","properties":{"formattedCitation":"(Bartkowska &amp; Riedl, 2012)","plainCitation":"(Bartkowska &amp; Riedl, 2012)","noteIndex":0},"citationItems":[{"id":33,"uris":["http://zotero.org/users/local/9Bu69DCL/items/94HQNCYQ"],"uri":["http://zotero.org/users/local/9Bu69DCL/items/94HQNCYQ"],"itemData":{"id":33,"type":"article-journal","container-title":"Economic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BC6C6F">
        <w:rPr>
          <w:rFonts w:eastAsia="Adobe Myungjo Std M" w:cstheme="minorHAnsi"/>
          <w:szCs w:val="18"/>
        </w:rPr>
        <w:fldChar w:fldCharType="separate"/>
      </w:r>
      <w:r w:rsidR="00BC6C6F" w:rsidRPr="00BC6C6F">
        <w:rPr>
          <w:rFonts w:ascii="Calibri" w:hAnsi="Calibri" w:cs="Calibri"/>
        </w:rPr>
        <w:t>(Bartkowska &amp; Riedl, 2012)</w:t>
      </w:r>
      <w:r w:rsidR="00BC6C6F">
        <w:rPr>
          <w:rFonts w:eastAsia="Adobe Myungjo Std M" w:cstheme="minorHAnsi"/>
          <w:szCs w:val="18"/>
        </w:rPr>
        <w:fldChar w:fldCharType="end"/>
      </w:r>
      <w:r w:rsidRPr="0009490D">
        <w:rPr>
          <w:rFonts w:eastAsia="Adobe Myungjo Std M" w:cstheme="minorHAnsi"/>
          <w:szCs w:val="18"/>
        </w:rPr>
        <w:t xml:space="preserve">. That study also is most closely related to the work of </w:t>
      </w:r>
      <w:r w:rsidR="00BC6C6F">
        <w:rPr>
          <w:rFonts w:eastAsia="Adobe Myungjo Std M" w:cstheme="minorHAnsi"/>
          <w:szCs w:val="18"/>
        </w:rPr>
        <w:fldChar w:fldCharType="begin"/>
      </w:r>
      <w:r w:rsidR="009B1E97">
        <w:rPr>
          <w:rFonts w:eastAsia="Adobe Myungjo Std M" w:cstheme="minorHAnsi"/>
          <w:szCs w:val="18"/>
        </w:rPr>
        <w:instrText xml:space="preserve"> ADDIN ZOTERO_ITEM CSL_CITATION {"citationID":"v5DtgrSV","properties":{"formattedCitation":"(Corrado et al., 2005)","plainCitation":"(Corrado et al., 2005)","dontUpdate":true,"noteIndex":0},"citationItems":[{"id":97,"uris":["http://zotero.org/users/local/9Bu69DCL/items/2QIJ2P5G"],"uri":["http://zotero.org/users/local/9Bu69DCL/items/2QIJ2P5G"],"itemData":{"id":97,"type":"article-journal","abstract":"In this paper we test for regional convergence clusters across the EU. We utilise a methodology that allows for the endogenous selection of regional clusters using a multivariate test for stationarity, where the number and composition of clusters are determined by the application of pairwise tests of regional differences in per capita output over time. To interpret the composition of the resulting convergence clusters, the latter are tested against a number of possible groupings suggested by recent theories and hypotheses of regional growth and convergence. Further, our method allows regional convergence clusters to vary over time.","container-title":"The Economic Journal","DOI":"10.1111/j.0013-0133.2005.00984.x","ISSN":"0013-0133","issue":"502","journalAbbreviation":"The Economic Journal","page":"C133-C160","title":"Identifying and Interpreting Regional Convergence Clusters across Europe*","volume":"115","author":[{"family":"Corrado","given":"Luisa"},{"family":"Martin","given":"Ron"},{"family":"Weeks","given":"Melvyn"}],"issued":{"date-parts":[["2005",3,1]]}}}],"schema":"https://github.com/citation-style-language/schema/raw/master/csl-citation.json"} </w:instrText>
      </w:r>
      <w:r w:rsidR="00BC6C6F">
        <w:rPr>
          <w:rFonts w:eastAsia="Adobe Myungjo Std M" w:cstheme="minorHAnsi"/>
          <w:szCs w:val="18"/>
        </w:rPr>
        <w:fldChar w:fldCharType="separate"/>
      </w:r>
      <w:r w:rsidR="00BC6C6F" w:rsidRPr="00BC6C6F">
        <w:rPr>
          <w:rFonts w:ascii="Calibri" w:hAnsi="Calibri" w:cs="Calibri"/>
        </w:rPr>
        <w:t xml:space="preserve">Corrado et al. </w:t>
      </w:r>
      <w:r w:rsidR="00BC6C6F">
        <w:rPr>
          <w:rFonts w:ascii="Calibri" w:hAnsi="Calibri" w:cs="Calibri"/>
        </w:rPr>
        <w:t>(</w:t>
      </w:r>
      <w:r w:rsidR="00BC6C6F" w:rsidRPr="00BC6C6F">
        <w:rPr>
          <w:rFonts w:ascii="Calibri" w:hAnsi="Calibri" w:cs="Calibri"/>
        </w:rPr>
        <w:t>2005)</w:t>
      </w:r>
      <w:r w:rsidR="00BC6C6F">
        <w:rPr>
          <w:rFonts w:eastAsia="Adobe Myungjo Std M" w:cstheme="minorHAnsi"/>
          <w:szCs w:val="18"/>
        </w:rPr>
        <w:fldChar w:fldCharType="end"/>
      </w:r>
      <w:r w:rsidRPr="0009490D">
        <w:rPr>
          <w:rFonts w:eastAsia="Adobe Myungjo Std M" w:cstheme="minorHAnsi"/>
          <w:szCs w:val="18"/>
        </w:rPr>
        <w:t xml:space="preserve">, who analyze per capita income across European NUTS1 regions (where NUTS stands for Nomenclature of Territorial Unites for Statistics). Based on their study, convergence clubs are determined endogenously using cointegration test proposed by </w:t>
      </w:r>
      <w:r w:rsidR="00897937">
        <w:rPr>
          <w:rFonts w:eastAsia="Adobe Myungjo Std M" w:cstheme="minorHAnsi"/>
          <w:szCs w:val="18"/>
        </w:rPr>
        <w:fldChar w:fldCharType="begin"/>
      </w:r>
      <w:r w:rsidR="009B1E97">
        <w:rPr>
          <w:rFonts w:eastAsia="Adobe Myungjo Std M" w:cstheme="minorHAnsi"/>
          <w:szCs w:val="18"/>
        </w:rPr>
        <w:instrText xml:space="preserve"> ADDIN ZOTERO_ITEM CSL_CITATION {"citationID":"4nKU9vhX","properties":{"formattedCitation":"(Hobijn &amp; Franses, 2000)","plainCitation":"(Hobijn &amp; Franses, 2000)","dontUpdate":true,"noteIndex":0},"citationItems":[{"id":86,"uris":["http://zotero.org/users/local/9Bu69DCL/items/XKEHKT3M"],"uri":["http://zotero.org/users/local/9Bu69DCL/items/XKEHKT3M"],"itemData":{"id":86,"type":"article-journal","abstract":"[In this paper we examine the extent to which countries are converging in per capita productivity levels. We propose to use cluster analysis in order to allow for the endogenous selection of converging countries. We formally define convergence in a time series analytical context, derive the necessary and sufficient conditions for convergence, and introduce a cluster analytical procedure that distinguishes several convergence clubs by testing for these conditions using a multivariate test for stationarity. We find a large number of relatively small convergence clubs, which suggests that convergence might not be such a widespread phenomenon.]","archive":"JSTOR","container-title":"Journal of Applied Econometrics","ISSN":"08837252, 10991255","issue":"1","page":"59-81","title":"Asymptotically Perfect and Relative Convergence of Productivity","volume":"15","author":[{"family":"Hobijn","given":"Bart"},{"family":"Franses","given":"Philip Hans"}],"issued":{"date-parts":[["2000"]]}}}],"schema":"https://github.com/citation-style-language/schema/raw/master/csl-citation.json"} </w:instrText>
      </w:r>
      <w:r w:rsidR="00897937">
        <w:rPr>
          <w:rFonts w:eastAsia="Adobe Myungjo Std M" w:cstheme="minorHAnsi"/>
          <w:szCs w:val="18"/>
        </w:rPr>
        <w:fldChar w:fldCharType="separate"/>
      </w:r>
      <w:r w:rsidR="00897937" w:rsidRPr="00897937">
        <w:rPr>
          <w:rFonts w:ascii="Calibri" w:hAnsi="Calibri" w:cs="Calibri"/>
        </w:rPr>
        <w:t xml:space="preserve">Hobijn &amp; Franses </w:t>
      </w:r>
      <w:r w:rsidR="00897937">
        <w:rPr>
          <w:rFonts w:ascii="Calibri" w:hAnsi="Calibri" w:cs="Calibri"/>
        </w:rPr>
        <w:t>(</w:t>
      </w:r>
      <w:r w:rsidR="00897937" w:rsidRPr="00897937">
        <w:rPr>
          <w:rFonts w:ascii="Calibri" w:hAnsi="Calibri" w:cs="Calibri"/>
        </w:rPr>
        <w:t>2000)</w:t>
      </w:r>
      <w:r w:rsidR="00897937">
        <w:rPr>
          <w:rFonts w:eastAsia="Adobe Myungjo Std M" w:cstheme="minorHAnsi"/>
          <w:szCs w:val="18"/>
        </w:rPr>
        <w:fldChar w:fldCharType="end"/>
      </w:r>
      <w:r w:rsidRPr="0009490D">
        <w:rPr>
          <w:rFonts w:eastAsia="Adobe Myungjo Std M" w:cstheme="minorHAnsi"/>
          <w:szCs w:val="18"/>
        </w:rPr>
        <w:t xml:space="preserve">. Furthermore, from the work of </w:t>
      </w:r>
      <w:r w:rsidR="00897937">
        <w:rPr>
          <w:rFonts w:eastAsia="Adobe Myungjo Std M" w:cstheme="minorHAnsi"/>
          <w:szCs w:val="18"/>
        </w:rPr>
        <w:fldChar w:fldCharType="begin"/>
      </w:r>
      <w:r w:rsidR="009B1E97">
        <w:rPr>
          <w:rFonts w:eastAsia="Adobe Myungjo Std M" w:cstheme="minorHAnsi"/>
          <w:szCs w:val="18"/>
        </w:rPr>
        <w:instrText xml:space="preserve"> ADDIN ZOTERO_ITEM CSL_CITATION {"citationID":"sDe8Xkib","properties":{"formattedCitation":"(Bartkowska &amp; Riedl, 2012)","plainCitation":"(Bartkowska &amp;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897937">
        <w:rPr>
          <w:rFonts w:eastAsia="Adobe Myungjo Std M" w:cstheme="minorHAnsi"/>
          <w:szCs w:val="18"/>
        </w:rPr>
        <w:fldChar w:fldCharType="separate"/>
      </w:r>
      <w:r w:rsidR="00897937" w:rsidRPr="00897937">
        <w:rPr>
          <w:rFonts w:ascii="Calibri" w:hAnsi="Calibri" w:cs="Calibri"/>
        </w:rPr>
        <w:t xml:space="preserve">Bartkowska &amp; Riedl </w:t>
      </w:r>
      <w:r w:rsidR="00897937">
        <w:rPr>
          <w:rFonts w:ascii="Calibri" w:hAnsi="Calibri" w:cs="Calibri"/>
        </w:rPr>
        <w:t>(</w:t>
      </w:r>
      <w:r w:rsidR="00897937" w:rsidRPr="00897937">
        <w:rPr>
          <w:rFonts w:ascii="Calibri" w:hAnsi="Calibri" w:cs="Calibri"/>
        </w:rPr>
        <w:t>2012)</w:t>
      </w:r>
      <w:r w:rsidR="00897937">
        <w:rPr>
          <w:rFonts w:eastAsia="Adobe Myungjo Std M" w:cstheme="minorHAnsi"/>
          <w:szCs w:val="18"/>
        </w:rPr>
        <w:fldChar w:fldCharType="end"/>
      </w:r>
      <w:r w:rsidRPr="0009490D">
        <w:rPr>
          <w:rFonts w:eastAsia="Adobe Myungjo Std M" w:cstheme="minorHAnsi"/>
          <w:szCs w:val="18"/>
        </w:rPr>
        <w:t xml:space="preserve"> reveal</w:t>
      </w:r>
      <w:r w:rsidR="00897937">
        <w:rPr>
          <w:rFonts w:eastAsia="Adobe Myungjo Std M" w:cstheme="minorHAnsi"/>
          <w:szCs w:val="18"/>
        </w:rPr>
        <w:t>s</w:t>
      </w:r>
      <w:r w:rsidRPr="0009490D">
        <w:rPr>
          <w:rFonts w:eastAsia="Adobe Myungjo Std M" w:cstheme="minorHAnsi"/>
          <w:szCs w:val="18"/>
        </w:rPr>
        <w:t xml:space="preserve"> that European regions form six separate gr</w:t>
      </w:r>
      <w:r w:rsidR="00897937">
        <w:rPr>
          <w:rFonts w:eastAsia="Adobe Myungjo Std M" w:cstheme="minorHAnsi"/>
          <w:szCs w:val="18"/>
        </w:rPr>
        <w:t>o</w:t>
      </w:r>
      <w:r w:rsidRPr="0009490D">
        <w:rPr>
          <w:rFonts w:eastAsia="Adobe Myungjo Std M" w:cstheme="minorHAnsi"/>
          <w:szCs w:val="18"/>
        </w:rPr>
        <w:t>ups converging to their own steady state paths. Their finding state</w:t>
      </w:r>
      <w:r w:rsidR="00897937">
        <w:rPr>
          <w:rFonts w:eastAsia="Adobe Myungjo Std M" w:cstheme="minorHAnsi"/>
          <w:szCs w:val="18"/>
        </w:rPr>
        <w:t>s</w:t>
      </w:r>
      <w:r w:rsidRPr="0009490D">
        <w:rPr>
          <w:rFonts w:eastAsia="Adobe Myungjo Std M" w:cstheme="minorHAnsi"/>
          <w:szCs w:val="18"/>
        </w:rPr>
        <w:t xml:space="preserve"> that starting conditions such as a region’s initial level of human capital and per capita income, can indeed explain to which club it will belong, hence they conclude that initial condition play a crucial role in determining a region’s equilibrium steady state level.</w:t>
      </w:r>
    </w:p>
    <w:p w14:paraId="0311A825" w14:textId="77777777" w:rsidR="00CC0532" w:rsidRDefault="00CC0532" w:rsidP="00CC0532">
      <w:pPr>
        <w:pStyle w:val="ListParagraph"/>
        <w:ind w:left="709"/>
        <w:rPr>
          <w:rFonts w:ascii="Bookman Old Style" w:eastAsia="Adobe Myungjo Std M" w:hAnsi="Bookman Old Style"/>
          <w:b/>
          <w:szCs w:val="18"/>
        </w:rPr>
      </w:pPr>
    </w:p>
    <w:p w14:paraId="02B74203" w14:textId="7F287071" w:rsidR="00760941" w:rsidRDefault="00760941" w:rsidP="00760941">
      <w:pPr>
        <w:pStyle w:val="ListParagraph"/>
        <w:numPr>
          <w:ilvl w:val="1"/>
          <w:numId w:val="2"/>
        </w:numPr>
        <w:ind w:left="1276" w:hanging="556"/>
        <w:rPr>
          <w:rFonts w:ascii="Bookman Old Style" w:eastAsia="Adobe Myungjo Std M" w:hAnsi="Bookman Old Style"/>
          <w:b/>
          <w:szCs w:val="18"/>
        </w:rPr>
      </w:pPr>
      <w:r>
        <w:rPr>
          <w:rFonts w:ascii="Bookman Old Style" w:eastAsia="Adobe Myungjo Std M" w:hAnsi="Bookman Old Style"/>
          <w:b/>
          <w:szCs w:val="18"/>
        </w:rPr>
        <w:t xml:space="preserve"> The </w:t>
      </w:r>
      <w:r w:rsidR="00B04DDF">
        <w:rPr>
          <w:rFonts w:ascii="Bookman Old Style" w:eastAsia="Adobe Myungjo Std M" w:hAnsi="Bookman Old Style"/>
          <w:b/>
          <w:szCs w:val="18"/>
        </w:rPr>
        <w:t xml:space="preserve">present paper’s </w:t>
      </w:r>
      <w:r>
        <w:rPr>
          <w:rFonts w:ascii="Bookman Old Style" w:eastAsia="Adobe Myungjo Std M" w:hAnsi="Bookman Old Style"/>
          <w:b/>
          <w:szCs w:val="18"/>
        </w:rPr>
        <w:t>contribution</w:t>
      </w:r>
    </w:p>
    <w:p w14:paraId="52EDFBC4" w14:textId="0E383B8D" w:rsidR="00511618" w:rsidRDefault="00511618" w:rsidP="00760941">
      <w:pPr>
        <w:pStyle w:val="ListParagraph"/>
        <w:ind w:left="1440"/>
        <w:rPr>
          <w:rFonts w:ascii="Bookman Old Style" w:eastAsia="Adobe Myungjo Std M" w:hAnsi="Bookman Old Style"/>
          <w:b/>
          <w:szCs w:val="18"/>
        </w:rPr>
      </w:pPr>
    </w:p>
    <w:p w14:paraId="27609456" w14:textId="387F196C" w:rsidR="005C61A7" w:rsidRPr="005C61A7" w:rsidRDefault="00760941" w:rsidP="005C61A7">
      <w:pPr>
        <w:pStyle w:val="ListParagraph"/>
        <w:spacing w:line="360" w:lineRule="auto"/>
        <w:ind w:left="709" w:firstLine="11"/>
        <w:jc w:val="both"/>
        <w:rPr>
          <w:rFonts w:eastAsia="Adobe Myungjo Std M" w:cstheme="minorHAnsi"/>
          <w:szCs w:val="18"/>
        </w:rPr>
      </w:pPr>
      <w:r>
        <w:rPr>
          <w:rFonts w:eastAsia="Adobe Myungjo Std M" w:cstheme="minorHAnsi"/>
          <w:szCs w:val="18"/>
        </w:rPr>
        <w:t xml:space="preserve">The present paper brings a huge contribution for the existing literature as none of the studies have analyzed the club convergence of real wages in Indonesia. </w:t>
      </w:r>
      <w:r w:rsidRPr="00401EF8">
        <w:rPr>
          <w:rFonts w:eastAsia="Adobe Myungjo Std M" w:cstheme="minorHAnsi"/>
          <w:szCs w:val="18"/>
        </w:rPr>
        <w:t xml:space="preserve">Previously, there </w:t>
      </w:r>
      <w:r>
        <w:rPr>
          <w:rFonts w:eastAsia="Adobe Myungjo Std M" w:cstheme="minorHAnsi"/>
          <w:szCs w:val="18"/>
        </w:rPr>
        <w:t xml:space="preserve">are several studies examine convergence in Indonesia but mainly focused in GDP per capita and total GDP in each province. </w:t>
      </w:r>
      <w:r w:rsidR="00BD1AEE">
        <w:rPr>
          <w:rFonts w:eastAsia="Adobe Myungjo Std M" w:cstheme="minorHAnsi"/>
          <w:szCs w:val="18"/>
        </w:rPr>
        <w:t xml:space="preserve">The </w:t>
      </w:r>
      <w:r>
        <w:rPr>
          <w:rFonts w:eastAsia="Adobe Myungjo Std M" w:cstheme="minorHAnsi"/>
          <w:szCs w:val="18"/>
        </w:rPr>
        <w:t xml:space="preserve">study </w:t>
      </w:r>
      <w:r w:rsidR="00BD1AEE">
        <w:rPr>
          <w:rFonts w:eastAsia="Adobe Myungjo Std M" w:cstheme="minorHAnsi"/>
          <w:szCs w:val="18"/>
        </w:rPr>
        <w:t xml:space="preserve">by </w:t>
      </w:r>
      <w:r w:rsidR="00BD1AEE">
        <w:rPr>
          <w:rFonts w:eastAsia="Adobe Myungjo Std M" w:cstheme="minorHAnsi"/>
          <w:szCs w:val="18"/>
        </w:rPr>
        <w:fldChar w:fldCharType="begin"/>
      </w:r>
      <w:r w:rsidR="009B1E97">
        <w:rPr>
          <w:rFonts w:eastAsia="Adobe Myungjo Std M" w:cstheme="minorHAnsi"/>
          <w:szCs w:val="18"/>
        </w:rPr>
        <w:instrText xml:space="preserve"> ADDIN ZOTERO_ITEM CSL_CITATION {"citationID":"bHllUWbi","properties":{"formattedCitation":"(Firdaus &amp; Yusop, 2009)","plainCitation":"(Firdaus &amp; Yusop, 2009)","dontUpdate":true,"noteIndex":0},"citationItems":[{"id":293,"uris":["http://zotero.org/users/local/9Bu69DCL/items/KXM32HSI"],"uri":["http://zotero.org/users/local/9Bu69DCL/items/KXM32HSI"],"itemData":{"id":293,"type":"article-journal","ISSN":"1823-836X","note":"publisher: International Journal of Economics &amp; Management, University Putra Malaysia","title":"Dynamic analysis of regional convergence in Indonesia","author":[{"family":"Firdaus","given":"Muhammad"},{"family":"Yusop","given":"Zulkornain"}],"issued":{"date-parts":[["2009"]]}}}],"schema":"https://github.com/citation-style-language/schema/raw/master/csl-citation.json"} </w:instrText>
      </w:r>
      <w:r w:rsidR="00BD1AEE">
        <w:rPr>
          <w:rFonts w:eastAsia="Adobe Myungjo Std M" w:cstheme="minorHAnsi"/>
          <w:szCs w:val="18"/>
        </w:rPr>
        <w:fldChar w:fldCharType="separate"/>
      </w:r>
      <w:r w:rsidR="00BD1AEE" w:rsidRPr="00BD1AEE">
        <w:rPr>
          <w:rFonts w:ascii="Calibri" w:hAnsi="Calibri" w:cs="Calibri"/>
        </w:rPr>
        <w:t>Firdaus &amp; Yusop</w:t>
      </w:r>
      <w:r w:rsidR="00BD1AEE">
        <w:rPr>
          <w:rFonts w:ascii="Calibri" w:hAnsi="Calibri" w:cs="Calibri"/>
        </w:rPr>
        <w:t xml:space="preserve"> (</w:t>
      </w:r>
      <w:r w:rsidR="00BD1AEE" w:rsidRPr="00BD1AEE">
        <w:rPr>
          <w:rFonts w:ascii="Calibri" w:hAnsi="Calibri" w:cs="Calibri"/>
        </w:rPr>
        <w:t>2009)</w:t>
      </w:r>
      <w:r w:rsidR="00BD1AEE">
        <w:rPr>
          <w:rFonts w:eastAsia="Adobe Myungjo Std M" w:cstheme="minorHAnsi"/>
          <w:szCs w:val="18"/>
        </w:rPr>
        <w:fldChar w:fldCharType="end"/>
      </w:r>
      <w:r w:rsidR="00BD1AEE">
        <w:rPr>
          <w:rFonts w:eastAsia="Adobe Myungjo Std M" w:cstheme="minorHAnsi"/>
          <w:szCs w:val="18"/>
        </w:rPr>
        <w:t xml:space="preserve"> </w:t>
      </w:r>
      <w:r>
        <w:rPr>
          <w:rFonts w:eastAsia="Adobe Myungjo Std M" w:cstheme="minorHAnsi"/>
          <w:szCs w:val="18"/>
        </w:rPr>
        <w:t xml:space="preserve">examines income convergence </w:t>
      </w:r>
      <w:r w:rsidRPr="00685869">
        <w:rPr>
          <w:rFonts w:eastAsia="Adobe Myungjo Std M" w:cstheme="minorHAnsi"/>
          <w:szCs w:val="18"/>
        </w:rPr>
        <w:t>among provinces in Indonesia using dynamic panel data approach. The results show that static and dynamic panel data approaches produce different results of convergence patterns.</w:t>
      </w:r>
      <w:r>
        <w:rPr>
          <w:rFonts w:eastAsia="Adobe Myungjo Std M" w:cstheme="minorHAnsi"/>
          <w:szCs w:val="18"/>
        </w:rPr>
        <w:t xml:space="preserve"> Furthermore, their study showed that </w:t>
      </w:r>
      <w:r w:rsidRPr="00685869">
        <w:rPr>
          <w:rFonts w:eastAsia="Adobe Myungjo Std M" w:cstheme="minorHAnsi"/>
          <w:szCs w:val="18"/>
        </w:rPr>
        <w:t>convergence process prevails among provinces in Indon</w:t>
      </w:r>
      <w:r>
        <w:rPr>
          <w:rFonts w:eastAsia="Adobe Myungjo Std M" w:cstheme="minorHAnsi"/>
          <w:szCs w:val="18"/>
        </w:rPr>
        <w:t>esia for the period 1983 – 2003, h</w:t>
      </w:r>
      <w:r w:rsidRPr="00685869">
        <w:rPr>
          <w:rFonts w:eastAsia="Adobe Myungjo Std M" w:cstheme="minorHAnsi"/>
          <w:szCs w:val="18"/>
        </w:rPr>
        <w:t>owever the speed of convergence is relatively very slow (0.29) compared to other studies in developing countries.</w:t>
      </w:r>
      <w:r>
        <w:rPr>
          <w:rFonts w:eastAsia="Adobe Myungjo Std M" w:cstheme="minorHAnsi"/>
          <w:szCs w:val="18"/>
        </w:rPr>
        <w:t xml:space="preserve"> Another study which by</w:t>
      </w:r>
      <w:r w:rsidR="00BD1AEE">
        <w:rPr>
          <w:rFonts w:eastAsia="Adobe Myungjo Std M" w:cstheme="minorHAnsi"/>
          <w:szCs w:val="18"/>
        </w:rPr>
        <w:t xml:space="preserve"> </w:t>
      </w:r>
      <w:r w:rsidR="00BD1AEE">
        <w:rPr>
          <w:rFonts w:eastAsia="Adobe Myungjo Std M" w:cstheme="minorHAnsi"/>
          <w:szCs w:val="18"/>
        </w:rPr>
        <w:fldChar w:fldCharType="begin"/>
      </w:r>
      <w:r w:rsidR="009B1E97">
        <w:rPr>
          <w:rFonts w:eastAsia="Adobe Myungjo Std M" w:cstheme="minorHAnsi"/>
          <w:szCs w:val="18"/>
        </w:rPr>
        <w:instrText xml:space="preserve"> ADDIN ZOTERO_ITEM CSL_CITATION {"citationID":"B29HPDtk","properties":{"formattedCitation":"(Kharisma &amp; Saleh, 2013)","plainCitation":"(Kharisma &amp; Saleh, 2013)","dontUpdate":true,"noteIndex":0},"citationItems":[{"id":294,"uris":["http://zotero.org/users/local/9Bu69DCL/items/4PQNUTAV"],"uri":["http://zotero.org/users/local/9Bu69DCL/items/4PQNUTAV"],"itemData":{"id":294,"type":"article-journal","container-title":"Journal of Indonesian Economy and Business","ISSN":"2338-5847","issue":"2","journalAbbreviation":"Journal of Indonesian Economy and Business","note":"publisher: Gadjah Mada University","page":"167-187","title":"Convergence of Income Among Provinces in Indonesia 1984-2008: A Panel Data Approach","volume":"28","author":[{"family":"Kharisma","given":"Bayu"},{"family":"Saleh","given":"Samsubar"}],"issued":{"date-parts":[["2013"]]}}}],"schema":"https://github.com/citation-style-language/schema/raw/master/csl-citation.json"} </w:instrText>
      </w:r>
      <w:r w:rsidR="00BD1AEE">
        <w:rPr>
          <w:rFonts w:eastAsia="Adobe Myungjo Std M" w:cstheme="minorHAnsi"/>
          <w:szCs w:val="18"/>
        </w:rPr>
        <w:fldChar w:fldCharType="separate"/>
      </w:r>
      <w:r w:rsidR="00BD1AEE" w:rsidRPr="00BD1AEE">
        <w:rPr>
          <w:rFonts w:ascii="Calibri" w:hAnsi="Calibri" w:cs="Calibri"/>
        </w:rPr>
        <w:t xml:space="preserve">Kharisma &amp; Saleh </w:t>
      </w:r>
      <w:r w:rsidR="00BD1AEE">
        <w:rPr>
          <w:rFonts w:ascii="Calibri" w:hAnsi="Calibri" w:cs="Calibri"/>
        </w:rPr>
        <w:t>(</w:t>
      </w:r>
      <w:r w:rsidR="00BD1AEE" w:rsidRPr="00BD1AEE">
        <w:rPr>
          <w:rFonts w:ascii="Calibri" w:hAnsi="Calibri" w:cs="Calibri"/>
        </w:rPr>
        <w:t>2013)</w:t>
      </w:r>
      <w:r w:rsidR="00BD1AEE">
        <w:rPr>
          <w:rFonts w:eastAsia="Adobe Myungjo Std M" w:cstheme="minorHAnsi"/>
          <w:szCs w:val="18"/>
        </w:rPr>
        <w:fldChar w:fldCharType="end"/>
      </w:r>
      <w:r w:rsidR="00BD1AEE">
        <w:rPr>
          <w:rFonts w:eastAsia="Adobe Myungjo Std M" w:cstheme="minorHAnsi"/>
          <w:szCs w:val="18"/>
        </w:rPr>
        <w:t xml:space="preserve"> </w:t>
      </w:r>
      <w:r w:rsidRPr="00EC582C">
        <w:rPr>
          <w:rFonts w:eastAsia="Adobe Myungjo Std M" w:cstheme="minorHAnsi"/>
          <w:szCs w:val="18"/>
        </w:rPr>
        <w:t>try to analyze the income dispersion and test both absolute convergence and conditional convergence of income among 26 provinces in Indonesia during 1984- 2008 using static and dynamic panel data approach. There was a strong indication of the existence of absolute convergence and conditional convergence among 26 provinces in Indonesia during 1984-2008. Thus, there was evidence that the economy of poorer provinces tends to grow faster compared to the more prosperous provinces. The last suggests that there was a tendency to catch up. Based on the system GMM estimation, it is found that the provinces in Java have faster speed of convergence comparatively to those outside Java.</w:t>
      </w:r>
      <w:r>
        <w:rPr>
          <w:rFonts w:eastAsia="Adobe Myungjo Std M" w:cstheme="minorHAnsi"/>
          <w:szCs w:val="18"/>
        </w:rPr>
        <w:t xml:space="preserve"> </w:t>
      </w:r>
      <w:r w:rsidRPr="005C61A7">
        <w:rPr>
          <w:rFonts w:eastAsia="Adobe Myungjo Std M" w:cstheme="minorHAnsi"/>
          <w:szCs w:val="18"/>
        </w:rPr>
        <w:t>Meanwhile another study conducting by</w:t>
      </w:r>
      <w:r w:rsidR="00BD1AEE" w:rsidRPr="005C61A7">
        <w:rPr>
          <w:rFonts w:eastAsia="Adobe Myungjo Std M" w:cstheme="minorHAnsi"/>
          <w:szCs w:val="18"/>
        </w:rPr>
        <w:t xml:space="preserve"> </w:t>
      </w:r>
      <w:r w:rsidR="00BD1AEE" w:rsidRPr="005C61A7">
        <w:rPr>
          <w:rFonts w:eastAsia="Adobe Myungjo Std M" w:cstheme="minorHAnsi"/>
          <w:szCs w:val="18"/>
        </w:rPr>
        <w:fldChar w:fldCharType="begin"/>
      </w:r>
      <w:r w:rsidR="009B1E97">
        <w:rPr>
          <w:rFonts w:eastAsia="Adobe Myungjo Std M" w:cstheme="minorHAnsi"/>
          <w:szCs w:val="18"/>
        </w:rPr>
        <w:instrText xml:space="preserve"> ADDIN ZOTERO_ITEM CSL_CITATION {"citationID":"zMOnYtsY","properties":{"formattedCitation":"(Vidyattama, 2006)","plainCitation":"(Vidyattama, 2006)","dontUpdate":true,"noteIndex":0},"citationItems":[{"id":295,"uris":["http://zotero.org/users/local/9Bu69DCL/items/A2XTHMPE"],"uri":["http://zotero.org/users/local/9Bu69DCL/items/A2XTHMPE"],"itemData":{"id":295,"type":"article-journal","container-title":"Economics and Finance in Indonesia","journalAbbreviation":"Economics and Finance in Indonesia","note":"publisher: Faculty of Economics and Business, University of Indonesia","page":"197-227","title":"Regional Convergence and Indonesia Economic Dynamics","volume":"54","author":[{"family":"Vidyattama","given":"Yogi"}],"issued":{"date-parts":[["2006"]]}}}],"schema":"https://github.com/citation-style-language/schema/raw/master/csl-citation.json"} </w:instrText>
      </w:r>
      <w:r w:rsidR="00BD1AEE" w:rsidRPr="005C61A7">
        <w:rPr>
          <w:rFonts w:eastAsia="Adobe Myungjo Std M" w:cstheme="minorHAnsi"/>
          <w:szCs w:val="18"/>
        </w:rPr>
        <w:fldChar w:fldCharType="separate"/>
      </w:r>
      <w:r w:rsidR="00BD1AEE" w:rsidRPr="005C61A7">
        <w:rPr>
          <w:rFonts w:ascii="Calibri" w:hAnsi="Calibri" w:cs="Calibri"/>
        </w:rPr>
        <w:t>Vidyattama (2006)</w:t>
      </w:r>
      <w:r w:rsidR="00BD1AEE" w:rsidRPr="005C61A7">
        <w:rPr>
          <w:rFonts w:eastAsia="Adobe Myungjo Std M" w:cstheme="minorHAnsi"/>
          <w:szCs w:val="18"/>
        </w:rPr>
        <w:fldChar w:fldCharType="end"/>
      </w:r>
      <w:r w:rsidRPr="005C61A7">
        <w:rPr>
          <w:rFonts w:eastAsia="Adobe Myungjo Std M" w:cstheme="minorHAnsi"/>
          <w:szCs w:val="18"/>
        </w:rPr>
        <w:t xml:space="preserve"> tr</w:t>
      </w:r>
      <w:r w:rsidR="00BD1AEE" w:rsidRPr="005C61A7">
        <w:rPr>
          <w:rFonts w:eastAsia="Adobe Myungjo Std M" w:cstheme="minorHAnsi"/>
          <w:szCs w:val="18"/>
        </w:rPr>
        <w:t>ies</w:t>
      </w:r>
      <w:r w:rsidRPr="005C61A7">
        <w:rPr>
          <w:rFonts w:eastAsia="Adobe Myungjo Std M" w:cstheme="minorHAnsi"/>
          <w:szCs w:val="18"/>
        </w:rPr>
        <w:t xml:space="preserve"> to examine the pattern of inequality and convergence of Indonesia’s regional income since the 1970’s. It shows the pattern has been affected by a few major changes in Indonesian policies and economic </w:t>
      </w:r>
      <w:r w:rsidRPr="005C61A7">
        <w:rPr>
          <w:rFonts w:eastAsia="Adobe Myungjo Std M" w:cstheme="minorHAnsi"/>
          <w:szCs w:val="18"/>
        </w:rPr>
        <w:lastRenderedPageBreak/>
        <w:t xml:space="preserve">development, including macroeconomic conditions and structural change. </w:t>
      </w:r>
      <w:r w:rsidR="005C61A7">
        <w:rPr>
          <w:rFonts w:eastAsia="Adobe Myungjo Std M" w:cstheme="minorHAnsi"/>
          <w:szCs w:val="18"/>
        </w:rPr>
        <w:t xml:space="preserve">The most recent study on regional income convergence in Indonesia has been conducted by </w:t>
      </w:r>
      <w:r w:rsidR="005C61A7">
        <w:rPr>
          <w:rFonts w:eastAsia="Adobe Myungjo Std M" w:cstheme="minorHAnsi"/>
          <w:szCs w:val="18"/>
        </w:rPr>
        <w:fldChar w:fldCharType="begin"/>
      </w:r>
      <w:r w:rsidR="009B1E97">
        <w:rPr>
          <w:rFonts w:eastAsia="Adobe Myungjo Std M" w:cstheme="minorHAnsi"/>
          <w:szCs w:val="18"/>
        </w:rPr>
        <w:instrText xml:space="preserve"> ADDIN ZOTERO_ITEM CSL_CITATION {"citationID":"7AYGLXtf","properties":{"formattedCitation":"(Aginta et al., 2020)","plainCitation":"(Aginta et al., 2020)","dontUpdate":true,"noteIndex":0},"citationItems":[{"id":296,"uris":["http://zotero.org/users/local/9Bu69DCL/items/DTVQE7E9"],"uri":["http://zotero.org/users/local/9Bu69DCL/items/DTVQE7E9"],"itemData":{"id":296,"type":"article-journal","container-title":"Journal of the Asia Pacific Economy","ISSN":"1354-7860","journalAbbreviation":"Journal of the Asia Pacific Economy","note":"publisher: Taylor &amp; Francis","page":"1-33","title":"Regional income disparities and convergence clubs in Indonesia: new district-level evidence","author":[{"family":"Aginta","given":"Harry"},{"family":"Gunawan","given":"Anang Budi"},{"family":"Mendez","given":"Carlos"}],"issued":{"date-parts":[["2020"]]}}}],"schema":"https://github.com/citation-style-language/schema/raw/master/csl-citation.json"} </w:instrText>
      </w:r>
      <w:r w:rsidR="005C61A7">
        <w:rPr>
          <w:rFonts w:eastAsia="Adobe Myungjo Std M" w:cstheme="minorHAnsi"/>
          <w:szCs w:val="18"/>
        </w:rPr>
        <w:fldChar w:fldCharType="separate"/>
      </w:r>
      <w:r w:rsidR="005C61A7" w:rsidRPr="005C61A7">
        <w:rPr>
          <w:rFonts w:ascii="Calibri" w:hAnsi="Calibri" w:cs="Calibri"/>
        </w:rPr>
        <w:t xml:space="preserve">Aginta et al. </w:t>
      </w:r>
      <w:r w:rsidR="005C61A7">
        <w:rPr>
          <w:rFonts w:ascii="Calibri" w:hAnsi="Calibri" w:cs="Calibri"/>
        </w:rPr>
        <w:t>(</w:t>
      </w:r>
      <w:r w:rsidR="005C61A7" w:rsidRPr="005C61A7">
        <w:rPr>
          <w:rFonts w:ascii="Calibri" w:hAnsi="Calibri" w:cs="Calibri"/>
        </w:rPr>
        <w:t>2020)</w:t>
      </w:r>
      <w:r w:rsidR="005C61A7">
        <w:rPr>
          <w:rFonts w:eastAsia="Adobe Myungjo Std M" w:cstheme="minorHAnsi"/>
          <w:szCs w:val="18"/>
        </w:rPr>
        <w:fldChar w:fldCharType="end"/>
      </w:r>
      <w:r w:rsidR="005C61A7">
        <w:rPr>
          <w:rFonts w:eastAsia="Adobe Myungjo Std M" w:cstheme="minorHAnsi"/>
          <w:szCs w:val="18"/>
        </w:rPr>
        <w:t xml:space="preserve">. Analyzing income per capita across 514 Indonesian districts from 2000-2017 using club convergence framework, they conform the lack of convergence in per capita income during post-decentralization era.  </w:t>
      </w:r>
    </w:p>
    <w:p w14:paraId="53E16A33" w14:textId="54A2F66C" w:rsidR="00511618" w:rsidRPr="00760941" w:rsidRDefault="00760941" w:rsidP="00760941">
      <w:pPr>
        <w:pStyle w:val="ListParagraph"/>
        <w:spacing w:line="360" w:lineRule="auto"/>
        <w:ind w:left="709" w:firstLineChars="322" w:firstLine="708"/>
        <w:jc w:val="both"/>
        <w:rPr>
          <w:rFonts w:eastAsia="Adobe Myungjo Std M" w:cstheme="minorHAnsi"/>
          <w:szCs w:val="18"/>
        </w:rPr>
      </w:pPr>
      <w:r>
        <w:rPr>
          <w:rFonts w:eastAsia="Adobe Myungjo Std M" w:cstheme="minorHAnsi"/>
          <w:szCs w:val="18"/>
        </w:rPr>
        <w:t xml:space="preserve">On the other hand, there is a study that using club formation methodology which similar to this paper but has different object. </w:t>
      </w:r>
      <w:r w:rsidR="003315B4">
        <w:rPr>
          <w:rFonts w:eastAsia="Adobe Myungjo Std M" w:cstheme="minorHAnsi"/>
          <w:szCs w:val="18"/>
        </w:rPr>
        <w:fldChar w:fldCharType="begin"/>
      </w:r>
      <w:r w:rsidR="009B1E97">
        <w:rPr>
          <w:rFonts w:eastAsia="Adobe Myungjo Std M" w:cstheme="minorHAnsi"/>
          <w:szCs w:val="18"/>
        </w:rPr>
        <w:instrText xml:space="preserve"> ADDIN ZOTERO_ITEM CSL_CITATION {"citationID":"MrVQW0xM","properties":{"formattedCitation":"(Aginta,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3315B4">
        <w:rPr>
          <w:rFonts w:eastAsia="Adobe Myungjo Std M" w:cstheme="minorHAnsi"/>
          <w:szCs w:val="18"/>
        </w:rPr>
        <w:fldChar w:fldCharType="separate"/>
      </w:r>
      <w:r w:rsidR="003315B4" w:rsidRPr="003315B4">
        <w:rPr>
          <w:rFonts w:ascii="Calibri" w:hAnsi="Calibri" w:cs="Calibri"/>
        </w:rPr>
        <w:t xml:space="preserve">Aginta </w:t>
      </w:r>
      <w:r w:rsidR="003315B4">
        <w:rPr>
          <w:rFonts w:ascii="Calibri" w:hAnsi="Calibri" w:cs="Calibri"/>
        </w:rPr>
        <w:t>(</w:t>
      </w:r>
      <w:r w:rsidR="003315B4" w:rsidRPr="003315B4">
        <w:rPr>
          <w:rFonts w:ascii="Calibri" w:hAnsi="Calibri" w:cs="Calibri"/>
        </w:rPr>
        <w:t>2021)</w:t>
      </w:r>
      <w:r w:rsidR="003315B4">
        <w:rPr>
          <w:rFonts w:eastAsia="Adobe Myungjo Std M" w:cstheme="minorHAnsi"/>
          <w:szCs w:val="18"/>
        </w:rPr>
        <w:fldChar w:fldCharType="end"/>
      </w:r>
      <w:r>
        <w:rPr>
          <w:rFonts w:eastAsia="Adobe Myungjo Std M" w:cstheme="minorHAnsi"/>
          <w:szCs w:val="18"/>
        </w:rPr>
        <w:t xml:space="preserve"> identif</w:t>
      </w:r>
      <w:r w:rsidR="003315B4">
        <w:rPr>
          <w:rFonts w:eastAsia="Adobe Myungjo Std M" w:cstheme="minorHAnsi"/>
          <w:szCs w:val="18"/>
        </w:rPr>
        <w:t>ies</w:t>
      </w:r>
      <w:r>
        <w:rPr>
          <w:rFonts w:eastAsia="Adobe Myungjo Std M" w:cstheme="minorHAnsi"/>
          <w:szCs w:val="18"/>
        </w:rPr>
        <w:t xml:space="preserve"> convergence clubs in regional price across 34 provinces in Indonesia and investigate conditioning factors of club formation. </w:t>
      </w:r>
      <w:r w:rsidR="003315B4">
        <w:rPr>
          <w:rFonts w:eastAsia="Adobe Myungjo Std M" w:cstheme="minorHAnsi"/>
          <w:szCs w:val="18"/>
        </w:rPr>
        <w:t>His</w:t>
      </w:r>
      <w:r>
        <w:rPr>
          <w:rFonts w:eastAsia="Adobe Myungjo Std M" w:cstheme="minorHAnsi"/>
          <w:szCs w:val="18"/>
        </w:rPr>
        <w:t xml:space="preserve"> study analyzes regional monthly consumer price data from January 2012 to December 2019 with club convergence test and show</w:t>
      </w:r>
      <w:r w:rsidR="003315B4">
        <w:rPr>
          <w:rFonts w:eastAsia="Adobe Myungjo Std M" w:cstheme="minorHAnsi"/>
          <w:szCs w:val="18"/>
        </w:rPr>
        <w:t>s</w:t>
      </w:r>
      <w:r>
        <w:rPr>
          <w:rFonts w:eastAsia="Adobe Myungjo Std M" w:cstheme="minorHAnsi"/>
          <w:szCs w:val="18"/>
        </w:rPr>
        <w:t xml:space="preserve"> that regional consumer price does not converge into a single universal equilibrium. Instead, there are four convergence clubs identified. </w:t>
      </w:r>
      <w:r>
        <w:rPr>
          <w:noProof/>
        </w:rPr>
        <w:t>As conclusion, to the best of our knowlegde, none of previous studies investigates club of wage convergence in Indinesia. The present article fills this research gap with its attempt to reveal the determining factors of wage convergence clubs identified endogenously by club convergence test.</w:t>
      </w:r>
    </w:p>
    <w:p w14:paraId="5A64DD79" w14:textId="6A9153EE" w:rsidR="00511618" w:rsidRDefault="00511618" w:rsidP="00511618">
      <w:pPr>
        <w:pStyle w:val="ListParagraph"/>
        <w:rPr>
          <w:rFonts w:ascii="Bookman Old Style" w:eastAsia="Adobe Myungjo Std M" w:hAnsi="Bookman Old Style"/>
          <w:b/>
          <w:szCs w:val="18"/>
        </w:rPr>
      </w:pPr>
    </w:p>
    <w:p w14:paraId="644DBDA8" w14:textId="77777777" w:rsidR="00511618" w:rsidRDefault="00511618" w:rsidP="00511618">
      <w:pPr>
        <w:pStyle w:val="ListParagraph"/>
        <w:rPr>
          <w:rFonts w:ascii="Bookman Old Style" w:eastAsia="Adobe Myungjo Std M" w:hAnsi="Bookman Old Style"/>
          <w:b/>
          <w:szCs w:val="18"/>
        </w:rPr>
      </w:pPr>
    </w:p>
    <w:p w14:paraId="34E541F9" w14:textId="5EAEEA32" w:rsidR="00511618" w:rsidRDefault="00511618" w:rsidP="00EB13DE">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t>M</w:t>
      </w:r>
      <w:r>
        <w:rPr>
          <w:rFonts w:ascii="Bookman Old Style" w:eastAsia="Adobe Myungjo Std M" w:hAnsi="Bookman Old Style"/>
          <w:b/>
          <w:szCs w:val="18"/>
        </w:rPr>
        <w:t>ethods and data</w:t>
      </w:r>
    </w:p>
    <w:p w14:paraId="7E4BFC15" w14:textId="6AAC52A0" w:rsidR="00F06AAD" w:rsidRDefault="00F06AAD" w:rsidP="00F06AAD">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Econometric methods</w:t>
      </w:r>
    </w:p>
    <w:p w14:paraId="6C69A79A" w14:textId="5BC9F927" w:rsidR="00F04063" w:rsidRDefault="00F06AAD" w:rsidP="00F06AAD">
      <w:pPr>
        <w:pStyle w:val="ListParagraph"/>
        <w:numPr>
          <w:ilvl w:val="2"/>
          <w:numId w:val="2"/>
        </w:numPr>
        <w:ind w:left="1418" w:hanging="709"/>
        <w:rPr>
          <w:rFonts w:ascii="Bookman Old Style" w:eastAsia="Adobe Myungjo Std M" w:hAnsi="Bookman Old Style"/>
          <w:b/>
          <w:szCs w:val="18"/>
        </w:rPr>
      </w:pPr>
      <w:r w:rsidRPr="00F06AAD">
        <w:rPr>
          <w:rFonts w:ascii="Bookman Old Style" w:eastAsia="Adobe Myungjo Std M" w:hAnsi="Bookman Old Style"/>
          <w:b/>
          <w:szCs w:val="18"/>
        </w:rPr>
        <w:t>Conceptual framework of club convergence</w:t>
      </w:r>
    </w:p>
    <w:p w14:paraId="038EB669" w14:textId="77777777" w:rsidR="00F06AAD" w:rsidRDefault="00F06AAD" w:rsidP="00F06AAD">
      <w:pPr>
        <w:pStyle w:val="ListParagraph"/>
        <w:spacing w:line="360" w:lineRule="auto"/>
        <w:jc w:val="both"/>
      </w:pPr>
    </w:p>
    <w:p w14:paraId="5BED68BD" w14:textId="51ED9AA8" w:rsidR="00F06AAD" w:rsidRDefault="00F06AAD" w:rsidP="00F06AAD">
      <w:pPr>
        <w:pStyle w:val="ListParagraph"/>
        <w:spacing w:line="360" w:lineRule="auto"/>
        <w:jc w:val="both"/>
      </w:pPr>
      <w:r w:rsidRPr="00F06AAD">
        <w:t xml:space="preserve">This study closes the research gap in investigating whether </w:t>
      </w:r>
      <w:r w:rsidR="000B2C99">
        <w:t>regional wages</w:t>
      </w:r>
      <w:r w:rsidRPr="00F06AAD">
        <w:t xml:space="preserve"> </w:t>
      </w:r>
      <w:r w:rsidR="000B2C99">
        <w:t>ac</w:t>
      </w:r>
      <w:r w:rsidRPr="00F06AAD">
        <w:t xml:space="preserve">ross Indonesia form a single or multiple common trend by employing the innovative approach of club convergence test developed by </w:t>
      </w:r>
      <w:r w:rsidRPr="00F06AAD">
        <w:fldChar w:fldCharType="begin"/>
      </w:r>
      <w:r w:rsidRPr="00F06AAD">
        <w:instrText xml:space="preserve"> ADDIN ZOTERO_ITEM CSL_CITATION {"citationID":"9x3Rdoj8","properties":{"formattedCitation":"(Phillips and Sul 2007)","plainCitation":"(Phillips and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F06AAD">
        <w:fldChar w:fldCharType="separate"/>
      </w:r>
      <w:r w:rsidRPr="00F06AAD">
        <w:t>Phillips and Sul (2007</w:t>
      </w:r>
      <w:r w:rsidRPr="00F06AAD">
        <w:fldChar w:fldCharType="end"/>
      </w:r>
      <w:r w:rsidRPr="00F06AAD">
        <w:t xml:space="preserve">). As a starting point, the test considers that a panel-data variable, for instance, </w:t>
      </w:r>
      <m:oMath>
        <m:sSub>
          <m:sSubPr>
            <m:ctrlPr>
              <w:rPr>
                <w:rFonts w:ascii="Cambria Math" w:hAnsi="Cambria Math"/>
              </w:rPr>
            </m:ctrlPr>
          </m:sSubPr>
          <m:e>
            <m:r>
              <w:rPr>
                <w:rFonts w:ascii="Cambria Math" w:hAnsi="Cambria Math"/>
              </w:rPr>
              <m:t>y</m:t>
            </m:r>
          </m:e>
          <m:sub>
            <m:r>
              <w:rPr>
                <w:rFonts w:ascii="Cambria Math" w:hAnsi="Cambria Math"/>
              </w:rPr>
              <m:t>it</m:t>
            </m:r>
          </m:sub>
        </m:sSub>
      </m:oMath>
      <w:r w:rsidRPr="00F06AAD">
        <w:t xml:space="preserve">, can be decomposed into systematic and transitory component, </w:t>
      </w:r>
      <m:oMath>
        <m:sSub>
          <m:sSubPr>
            <m:ctrlPr>
              <w:rPr>
                <w:rFonts w:ascii="Cambria Math" w:hAnsi="Cambria Math"/>
              </w:rPr>
            </m:ctrlPr>
          </m:sSubPr>
          <m:e>
            <m:r>
              <w:rPr>
                <w:rFonts w:ascii="Cambria Math" w:hAnsi="Cambria Math"/>
              </w:rPr>
              <m:t>g</m:t>
            </m:r>
          </m:e>
          <m:sub>
            <m:r>
              <w:rPr>
                <w:rFonts w:ascii="Cambria Math" w:hAnsi="Cambria Math"/>
              </w:rPr>
              <m:t>it</m:t>
            </m:r>
          </m:sub>
        </m:sSub>
      </m:oMath>
      <w:r w:rsidRPr="00F06AAD">
        <w:t xml:space="preserve"> and </w:t>
      </w:r>
      <m:oMath>
        <m:sSub>
          <m:sSubPr>
            <m:ctrlPr>
              <w:rPr>
                <w:rFonts w:ascii="Cambria Math" w:hAnsi="Cambria Math"/>
              </w:rPr>
            </m:ctrlPr>
          </m:sSubPr>
          <m:e>
            <m:r>
              <w:rPr>
                <w:rFonts w:ascii="Cambria Math" w:hAnsi="Cambria Math"/>
              </w:rPr>
              <m:t>a</m:t>
            </m:r>
          </m:e>
          <m:sub>
            <m:r>
              <w:rPr>
                <w:rFonts w:ascii="Cambria Math" w:hAnsi="Cambria Math"/>
              </w:rPr>
              <m:t>it</m:t>
            </m:r>
          </m:sub>
        </m:sSub>
      </m:oMath>
      <w:r w:rsidRPr="00F06AAD">
        <w:t>, respectively as follows:</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F06AAD" w:rsidRPr="00B627EE" w14:paraId="24C784E4" w14:textId="77777777" w:rsidTr="00F06AAD">
        <w:tc>
          <w:tcPr>
            <w:tcW w:w="8080" w:type="dxa"/>
          </w:tcPr>
          <w:p w14:paraId="3954543D" w14:textId="77777777" w:rsidR="00F06AAD" w:rsidRPr="00B627EE" w:rsidRDefault="005E6069" w:rsidP="00F06AAD">
            <w:pPr>
              <w:pStyle w:val="BodyText"/>
              <w:ind w:leftChars="1109" w:left="2440" w:rightChars="959" w:right="2110"/>
              <w:rPr>
                <w:b w:val="0"/>
                <w:sz w:val="21"/>
                <w:szCs w:val="21"/>
              </w:rPr>
            </w:pPr>
            <m:oMathPara>
              <m:oMathParaPr>
                <m:jc m:val="center"/>
              </m:oMathParaP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g</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a</m:t>
                    </m:r>
                  </m:e>
                  <m:sub>
                    <m:r>
                      <m:rPr>
                        <m:sty m:val="bi"/>
                      </m:rPr>
                      <w:rPr>
                        <w:rFonts w:ascii="Cambria Math" w:hAnsi="Cambria Math"/>
                        <w:sz w:val="21"/>
                        <w:szCs w:val="21"/>
                      </w:rPr>
                      <m:t>it</m:t>
                    </m:r>
                  </m:sub>
                </m:sSub>
              </m:oMath>
            </m:oMathPara>
          </w:p>
        </w:tc>
        <w:tc>
          <w:tcPr>
            <w:tcW w:w="567" w:type="dxa"/>
          </w:tcPr>
          <w:p w14:paraId="73307363" w14:textId="77777777" w:rsidR="00F06AAD" w:rsidRPr="00B627EE" w:rsidRDefault="00F06AAD" w:rsidP="00971B36">
            <w:pPr>
              <w:pStyle w:val="BodyText"/>
              <w:tabs>
                <w:tab w:val="left" w:pos="0"/>
              </w:tabs>
              <w:ind w:rightChars="12" w:right="26"/>
              <w:jc w:val="right"/>
              <w:rPr>
                <w:b w:val="0"/>
                <w:sz w:val="21"/>
                <w:szCs w:val="21"/>
              </w:rPr>
            </w:pPr>
            <w:r w:rsidRPr="00B627EE">
              <w:rPr>
                <w:b w:val="0"/>
                <w:sz w:val="21"/>
                <w:szCs w:val="21"/>
              </w:rPr>
              <w:t>(1)</w:t>
            </w:r>
          </w:p>
        </w:tc>
      </w:tr>
    </w:tbl>
    <w:p w14:paraId="347BFE2C" w14:textId="77777777" w:rsidR="00F06AAD" w:rsidRDefault="00F06AAD" w:rsidP="00F06AAD">
      <w:pPr>
        <w:pStyle w:val="BodyText"/>
        <w:ind w:left="720"/>
        <w:jc w:val="both"/>
        <w:rPr>
          <w:b w:val="0"/>
          <w:sz w:val="21"/>
          <w:szCs w:val="21"/>
        </w:rPr>
      </w:pPr>
    </w:p>
    <w:p w14:paraId="2E9BB7A2" w14:textId="7A4391F3" w:rsidR="00F06AAD" w:rsidRPr="00F06AAD" w:rsidRDefault="00F06AAD" w:rsidP="00F06AAD">
      <w:pPr>
        <w:pStyle w:val="BodyText"/>
        <w:ind w:firstLine="720"/>
        <w:jc w:val="both"/>
        <w:rPr>
          <w:rFonts w:asciiTheme="minorHAnsi" w:eastAsiaTheme="minorEastAsia" w:hAnsiTheme="minorHAnsi" w:cstheme="minorBidi"/>
          <w:b w:val="0"/>
          <w:sz w:val="22"/>
          <w:szCs w:val="22"/>
          <w:lang w:val="en-US"/>
        </w:rPr>
      </w:pPr>
      <w:r w:rsidRPr="00F06AAD">
        <w:rPr>
          <w:rFonts w:asciiTheme="minorHAnsi" w:eastAsiaTheme="minorEastAsia" w:hAnsiTheme="minorHAnsi" w:cstheme="minorBidi"/>
          <w:b w:val="0"/>
          <w:sz w:val="22"/>
          <w:szCs w:val="22"/>
          <w:lang w:val="en-US"/>
        </w:rPr>
        <w:t xml:space="preserve">Then, in this study, we consider </w:t>
      </w:r>
      <w:r w:rsidR="000B2C99">
        <w:rPr>
          <w:rFonts w:asciiTheme="minorHAnsi" w:eastAsiaTheme="minorEastAsia" w:hAnsiTheme="minorHAnsi" w:cstheme="minorBidi"/>
          <w:b w:val="0"/>
          <w:sz w:val="22"/>
          <w:szCs w:val="22"/>
          <w:lang w:val="en-US"/>
        </w:rPr>
        <w:t xml:space="preserve">wage </w:t>
      </w:r>
      <w:r w:rsidRPr="00F06AAD">
        <w:rPr>
          <w:rFonts w:asciiTheme="minorHAnsi" w:eastAsiaTheme="minorEastAsia" w:hAnsiTheme="minorHAnsi" w:cstheme="minorBidi"/>
          <w:b w:val="0"/>
          <w:sz w:val="22"/>
          <w:szCs w:val="22"/>
          <w:lang w:val="en-US"/>
        </w:rPr>
        <w:t xml:space="preserve">in province </w:t>
      </w:r>
      <w:r w:rsidRPr="000B2C99">
        <w:rPr>
          <w:rFonts w:asciiTheme="minorHAnsi" w:eastAsiaTheme="minorEastAsia" w:hAnsiTheme="minorHAnsi" w:cstheme="minorBidi"/>
          <w:b w:val="0"/>
          <w:i/>
          <w:iCs/>
          <w:sz w:val="22"/>
          <w:szCs w:val="22"/>
          <w:lang w:val="en-US"/>
        </w:rPr>
        <w:t>i</w:t>
      </w:r>
      <w:r w:rsidRPr="00F06AAD">
        <w:rPr>
          <w:rFonts w:asciiTheme="minorHAnsi" w:eastAsiaTheme="minorEastAsia" w:hAnsiTheme="minorHAnsi" w:cstheme="minorBidi"/>
          <w:b w:val="0"/>
          <w:sz w:val="22"/>
          <w:szCs w:val="22"/>
          <w:lang w:val="en-US"/>
        </w:rPr>
        <w:t xml:space="preserve"> at time </w:t>
      </w:r>
      <w:r w:rsidRPr="000B2C99">
        <w:rPr>
          <w:rFonts w:asciiTheme="minorHAnsi" w:eastAsiaTheme="minorEastAsia" w:hAnsiTheme="minorHAnsi" w:cstheme="minorBidi"/>
          <w:b w:val="0"/>
          <w:i/>
          <w:iCs/>
          <w:sz w:val="22"/>
          <w:szCs w:val="22"/>
          <w:lang w:val="en-US"/>
        </w:rPr>
        <w:t>t</w:t>
      </w:r>
      <w:r w:rsidRPr="00F06AAD">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follows this process: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F06AAD" w:rsidRPr="00B627EE" w14:paraId="71A14D7D" w14:textId="77777777" w:rsidTr="00F06AAD">
        <w:tc>
          <w:tcPr>
            <w:tcW w:w="8080" w:type="dxa"/>
          </w:tcPr>
          <w:p w14:paraId="29481DED" w14:textId="77777777" w:rsidR="00F06AAD" w:rsidRPr="00B627EE" w:rsidRDefault="005E6069" w:rsidP="00F06AAD">
            <w:pPr>
              <w:pStyle w:val="BodyText"/>
              <w:ind w:leftChars="1109" w:left="2440" w:rightChars="959" w:right="2110"/>
              <w:rPr>
                <w:b w:val="0"/>
                <w:sz w:val="21"/>
                <w:szCs w:val="21"/>
              </w:rPr>
            </w:pPr>
            <m:oMathPara>
              <m:oMathParaPr>
                <m:jc m:val="center"/>
              </m:oMathParaP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λ</m:t>
                    </m:r>
                  </m:e>
                  <m:sub>
                    <m:r>
                      <m:rPr>
                        <m:sty m:val="bi"/>
                      </m:rPr>
                      <w:rPr>
                        <w:rFonts w:ascii="Cambria Math" w:hAnsi="Cambria Math"/>
                        <w:sz w:val="21"/>
                        <w:szCs w:val="21"/>
                      </w:rPr>
                      <m:t>it</m:t>
                    </m:r>
                  </m:sub>
                </m:sSub>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ϵ</m:t>
                    </m:r>
                  </m:e>
                  <m:sub>
                    <m:r>
                      <m:rPr>
                        <m:sty m:val="bi"/>
                      </m:rPr>
                      <w:rPr>
                        <w:rFonts w:ascii="Cambria Math" w:hAnsi="Cambria Math"/>
                        <w:sz w:val="21"/>
                        <w:szCs w:val="21"/>
                      </w:rPr>
                      <m:t>it</m:t>
                    </m:r>
                  </m:sub>
                </m:sSub>
              </m:oMath>
            </m:oMathPara>
          </w:p>
        </w:tc>
        <w:tc>
          <w:tcPr>
            <w:tcW w:w="567" w:type="dxa"/>
          </w:tcPr>
          <w:p w14:paraId="4EB0D9D3" w14:textId="77777777" w:rsidR="00F06AAD" w:rsidRPr="00B627EE" w:rsidRDefault="00F06AAD" w:rsidP="00971B36">
            <w:pPr>
              <w:pStyle w:val="BodyText"/>
              <w:tabs>
                <w:tab w:val="left" w:pos="0"/>
              </w:tabs>
              <w:ind w:rightChars="12" w:right="26"/>
              <w:jc w:val="right"/>
              <w:rPr>
                <w:b w:val="0"/>
                <w:sz w:val="21"/>
                <w:szCs w:val="21"/>
              </w:rPr>
            </w:pPr>
            <w:r w:rsidRPr="00B627EE">
              <w:rPr>
                <w:b w:val="0"/>
                <w:sz w:val="21"/>
                <w:szCs w:val="21"/>
              </w:rPr>
              <w:t>(2)</w:t>
            </w:r>
          </w:p>
        </w:tc>
      </w:tr>
    </w:tbl>
    <w:p w14:paraId="3FEF14B0" w14:textId="77777777" w:rsidR="00F06AAD" w:rsidRDefault="00F06AAD" w:rsidP="00F06AAD">
      <w:pPr>
        <w:pStyle w:val="BodyText"/>
        <w:jc w:val="both"/>
        <w:rPr>
          <w:b w:val="0"/>
          <w:sz w:val="21"/>
          <w:szCs w:val="21"/>
        </w:rPr>
      </w:pPr>
    </w:p>
    <w:p w14:paraId="39450F9B" w14:textId="276DF224" w:rsidR="00F06AAD" w:rsidRPr="00F06AAD" w:rsidRDefault="00F06AAD" w:rsidP="00F06AAD">
      <w:pPr>
        <w:pStyle w:val="BodyText"/>
        <w:spacing w:line="360" w:lineRule="auto"/>
        <w:ind w:left="720"/>
        <w:jc w:val="both"/>
        <w:rPr>
          <w:rFonts w:asciiTheme="minorHAnsi" w:eastAsiaTheme="minorEastAsia" w:hAnsiTheme="minorHAnsi" w:cstheme="minorBidi"/>
          <w:b w:val="0"/>
          <w:sz w:val="22"/>
          <w:szCs w:val="22"/>
          <w:lang w:val="en-US"/>
        </w:rPr>
      </w:pPr>
      <w:r w:rsidRPr="00F06AAD">
        <w:rPr>
          <w:rFonts w:asciiTheme="minorHAnsi" w:eastAsiaTheme="minorEastAsia" w:hAnsiTheme="minorHAnsi" w:cstheme="minorBidi"/>
          <w:b w:val="0"/>
          <w:sz w:val="22"/>
          <w:szCs w:val="22"/>
          <w:lang w:val="en-US"/>
        </w:rPr>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λ</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is a province specific component that interact with common component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Pr="00F06AAD">
        <w:rPr>
          <w:rFonts w:asciiTheme="minorHAnsi" w:eastAsiaTheme="minorEastAsia" w:hAnsiTheme="minorHAnsi" w:cstheme="minorBidi"/>
          <w:b w:val="0"/>
          <w:sz w:val="22"/>
          <w:szCs w:val="22"/>
          <w:lang w:val="en-US"/>
        </w:rPr>
        <w:t xml:space="preserve"> to define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while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ϵ</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is the error </w:t>
      </w:r>
      <w:proofErr w:type="gramStart"/>
      <w:r w:rsidRPr="00F06AAD">
        <w:rPr>
          <w:rFonts w:asciiTheme="minorHAnsi" w:eastAsiaTheme="minorEastAsia" w:hAnsiTheme="minorHAnsi" w:cstheme="minorBidi"/>
          <w:b w:val="0"/>
          <w:sz w:val="22"/>
          <w:szCs w:val="22"/>
          <w:lang w:val="en-US"/>
        </w:rPr>
        <w:t>term.</w:t>
      </w:r>
      <w:proofErr w:type="gramEnd"/>
      <w:r w:rsidRPr="00F06AAD">
        <w:rPr>
          <w:rFonts w:asciiTheme="minorHAnsi" w:eastAsiaTheme="minorEastAsia" w:hAnsiTheme="minorHAnsi" w:cstheme="minorBidi"/>
          <w:b w:val="0"/>
          <w:sz w:val="22"/>
          <w:szCs w:val="22"/>
          <w:lang w:val="en-US"/>
        </w:rPr>
        <w:t xml:space="preserve"> In this setting, a time-varying factor representation contained in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can be derived from the conventional panel data representation as follows:</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F06AAD" w:rsidRPr="00B627EE" w14:paraId="1E3BB63B" w14:textId="77777777" w:rsidTr="00F06AAD">
        <w:tc>
          <w:tcPr>
            <w:tcW w:w="8080" w:type="dxa"/>
          </w:tcPr>
          <w:p w14:paraId="53A11B17" w14:textId="77777777" w:rsidR="00F06AAD" w:rsidRPr="00B627EE" w:rsidRDefault="00F06AAD"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r>
                <m:rPr>
                  <m:sty m:val="bi"/>
                </m:rPr>
                <w:rPr>
                  <w:rFonts w:ascii="Cambria Math" w:hAnsi="Cambria Math"/>
                  <w:sz w:val="21"/>
                  <w:szCs w:val="21"/>
                </w:rPr>
                <m:t>=</m:t>
              </m:r>
              <m:d>
                <m:dPr>
                  <m:ctrlPr>
                    <w:rPr>
                      <w:rFonts w:ascii="Cambria Math" w:hAnsi="Cambria Math"/>
                      <w:b w:val="0"/>
                      <w:sz w:val="21"/>
                      <w:szCs w:val="21"/>
                    </w:rPr>
                  </m:ctrlPr>
                </m:dPr>
                <m:e>
                  <m:sSub>
                    <m:sSubPr>
                      <m:ctrlPr>
                        <w:rPr>
                          <w:rFonts w:ascii="Cambria Math" w:hAnsi="Cambria Math"/>
                          <w:b w:val="0"/>
                          <w:sz w:val="21"/>
                          <w:szCs w:val="21"/>
                        </w:rPr>
                      </m:ctrlPr>
                    </m:sSubPr>
                    <m:e>
                      <m:r>
                        <m:rPr>
                          <m:sty m:val="bi"/>
                        </m:rPr>
                        <w:rPr>
                          <w:rFonts w:ascii="Cambria Math" w:hAnsi="Cambria Math"/>
                          <w:sz w:val="21"/>
                          <w:szCs w:val="21"/>
                        </w:rPr>
                        <m:t>λ</m:t>
                      </m:r>
                    </m:e>
                    <m:sub>
                      <m:r>
                        <m:rPr>
                          <m:sty m:val="bi"/>
                        </m:rPr>
                        <w:rPr>
                          <w:rFonts w:ascii="Cambria Math" w:hAnsi="Cambria Math"/>
                          <w:sz w:val="21"/>
                          <w:szCs w:val="21"/>
                        </w:rPr>
                        <m:t>it</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ϵ</m:t>
                          </m:r>
                        </m:e>
                        <m:sub>
                          <m:r>
                            <m:rPr>
                              <m:sty m:val="bi"/>
                            </m:rPr>
                            <w:rPr>
                              <w:rFonts w:ascii="Cambria Math" w:hAnsi="Cambria Math"/>
                              <w:sz w:val="21"/>
                              <w:szCs w:val="21"/>
                            </w:rPr>
                            <m:t>it</m:t>
                          </m:r>
                        </m:sub>
                      </m:sSub>
                    </m:num>
                    <m:den>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den>
                  </m:f>
                </m:e>
              </m:d>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oMath>
          </w:p>
        </w:tc>
        <w:tc>
          <w:tcPr>
            <w:tcW w:w="567" w:type="dxa"/>
          </w:tcPr>
          <w:p w14:paraId="669932B8" w14:textId="77777777" w:rsidR="00F06AAD" w:rsidRPr="00B627EE" w:rsidRDefault="00F06AAD" w:rsidP="00971B36">
            <w:pPr>
              <w:pStyle w:val="BodyText"/>
              <w:tabs>
                <w:tab w:val="left" w:pos="0"/>
              </w:tabs>
              <w:ind w:rightChars="12" w:right="26"/>
              <w:jc w:val="right"/>
              <w:rPr>
                <w:b w:val="0"/>
                <w:sz w:val="21"/>
                <w:szCs w:val="21"/>
              </w:rPr>
            </w:pPr>
            <w:r w:rsidRPr="00B627EE">
              <w:rPr>
                <w:b w:val="0"/>
                <w:sz w:val="21"/>
                <w:szCs w:val="21"/>
              </w:rPr>
              <w:t>(3)</w:t>
            </w:r>
          </w:p>
        </w:tc>
      </w:tr>
    </w:tbl>
    <w:p w14:paraId="66077EC5" w14:textId="77777777" w:rsidR="00F06AAD" w:rsidRDefault="00F06AAD" w:rsidP="00F06AAD">
      <w:pPr>
        <w:pStyle w:val="BodyText"/>
        <w:jc w:val="both"/>
        <w:rPr>
          <w:b w:val="0"/>
          <w:sz w:val="21"/>
          <w:szCs w:val="21"/>
        </w:rPr>
      </w:pPr>
    </w:p>
    <w:p w14:paraId="3D0C85AF" w14:textId="1B904868" w:rsidR="00F06AAD" w:rsidRPr="00F06AAD" w:rsidRDefault="00F06AAD" w:rsidP="00F06AAD">
      <w:pPr>
        <w:pStyle w:val="BodyText"/>
        <w:spacing w:line="360" w:lineRule="auto"/>
        <w:ind w:left="720"/>
        <w:jc w:val="both"/>
        <w:rPr>
          <w:rFonts w:asciiTheme="minorHAnsi" w:eastAsiaTheme="minorEastAsia" w:hAnsiTheme="minorHAnsi" w:cstheme="minorBidi"/>
          <w:b w:val="0"/>
          <w:sz w:val="22"/>
          <w:szCs w:val="22"/>
          <w:lang w:val="en-US"/>
        </w:rPr>
      </w:pPr>
      <w:r w:rsidRPr="00F06AAD">
        <w:rPr>
          <w:rFonts w:asciiTheme="minorHAnsi" w:eastAsiaTheme="minorEastAsia" w:hAnsiTheme="minorHAnsi" w:cstheme="minorBidi"/>
          <w:b w:val="0"/>
          <w:sz w:val="22"/>
          <w:szCs w:val="22"/>
          <w:lang w:val="en-US"/>
        </w:rPr>
        <w:lastRenderedPageBreak/>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indicates province-specific component and is allowed to have a random component, which absorbs error term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ϵ</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and thus representing a time-varying idiosyncratic element.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Pr="00F06AAD">
        <w:rPr>
          <w:rFonts w:asciiTheme="minorHAnsi" w:eastAsiaTheme="minorEastAsia" w:hAnsiTheme="minorHAnsi" w:cstheme="minorBidi"/>
          <w:b w:val="0"/>
          <w:sz w:val="22"/>
          <w:szCs w:val="22"/>
          <w:lang w:val="en-US"/>
        </w:rPr>
        <w:t xml:space="preserve"> represents the aggregated common behavior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Intuitively,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describes each province’s transition path towards its equilibrium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Pr="00F06AAD">
        <w:rPr>
          <w:rFonts w:asciiTheme="minorHAnsi" w:eastAsiaTheme="minorEastAsia" w:hAnsiTheme="minorHAnsi" w:cstheme="minorBidi"/>
          <w:b w:val="0"/>
          <w:sz w:val="22"/>
          <w:szCs w:val="22"/>
          <w:lang w:val="en-US"/>
        </w:rPr>
        <w:t xml:space="preserve"> refers a hypothesized equilibrium that is common to all provinces. More formally, equation 3 is a dynamic factor model where the transition path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towards its own equilibrium is explained by a factor loading coefficient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that represents the difference between the observed variable,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with a hypothesized common path of </w:t>
      </w:r>
      <w:r w:rsidR="000B2C99">
        <w:rPr>
          <w:rFonts w:asciiTheme="minorHAnsi" w:eastAsiaTheme="minorEastAsia" w:hAnsiTheme="minorHAnsi" w:cstheme="minorBidi"/>
          <w:b w:val="0"/>
          <w:sz w:val="22"/>
          <w:szCs w:val="22"/>
          <w:lang w:val="en-US"/>
        </w:rPr>
        <w:t>wage</w:t>
      </w:r>
      <w:r w:rsidRPr="00F06AAD">
        <w:rPr>
          <w:rFonts w:asciiTheme="minorHAnsi" w:eastAsiaTheme="minorEastAsia" w:hAnsiTheme="minorHAnsi" w:cstheme="minorBidi"/>
          <w:b w:val="0"/>
          <w:sz w:val="22"/>
          <w:szCs w:val="22"/>
          <w:lang w:val="en-US"/>
        </w:rPr>
        <w:t xml:space="preserve"> movements,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Pr="00F06AAD">
        <w:rPr>
          <w:rFonts w:asciiTheme="minorHAnsi" w:eastAsiaTheme="minorEastAsia" w:hAnsiTheme="minorHAnsi" w:cstheme="minorBidi"/>
          <w:b w:val="0"/>
          <w:sz w:val="22"/>
          <w:szCs w:val="22"/>
          <w:lang w:val="en-US"/>
        </w:rPr>
        <w:t>.</w:t>
      </w:r>
    </w:p>
    <w:p w14:paraId="24716CE2" w14:textId="77777777" w:rsidR="00F06AAD" w:rsidRPr="00F06AAD" w:rsidRDefault="00F06AAD" w:rsidP="00F06AAD">
      <w:pPr>
        <w:pStyle w:val="BodyText"/>
        <w:spacing w:line="360" w:lineRule="auto"/>
        <w:ind w:left="720" w:firstLine="720"/>
        <w:jc w:val="both"/>
        <w:rPr>
          <w:rFonts w:asciiTheme="minorHAnsi" w:eastAsiaTheme="minorEastAsia" w:hAnsiTheme="minorHAnsi" w:cstheme="minorBidi"/>
          <w:b w:val="0"/>
          <w:sz w:val="22"/>
          <w:szCs w:val="22"/>
          <w:lang w:val="en-US"/>
        </w:rPr>
      </w:pPr>
      <w:r w:rsidRPr="00F06AAD">
        <w:rPr>
          <w:rFonts w:asciiTheme="minorHAnsi" w:eastAsiaTheme="minorEastAsia" w:hAnsiTheme="minorHAnsi" w:cstheme="minorBidi"/>
          <w:b w:val="0"/>
          <w:sz w:val="22"/>
          <w:szCs w:val="22"/>
          <w:lang w:val="en-US"/>
        </w:rPr>
        <w:t xml:space="preserve">Next, according to </w:t>
      </w:r>
      <w:r w:rsidRPr="00F06AAD">
        <w:rPr>
          <w:rFonts w:asciiTheme="minorHAnsi" w:eastAsiaTheme="minorEastAsia" w:hAnsiTheme="minorHAnsi" w:cstheme="minorBidi"/>
          <w:b w:val="0"/>
          <w:sz w:val="22"/>
          <w:szCs w:val="22"/>
          <w:lang w:val="en-US"/>
        </w:rPr>
        <w:fldChar w:fldCharType="begin"/>
      </w:r>
      <w:r w:rsidRPr="00F06AAD">
        <w:rPr>
          <w:rFonts w:asciiTheme="minorHAnsi" w:eastAsiaTheme="minorEastAsia" w:hAnsiTheme="minorHAnsi" w:cstheme="minorBidi"/>
          <w:b w:val="0"/>
          <w:sz w:val="22"/>
          <w:szCs w:val="22"/>
          <w:lang w:val="en-US"/>
        </w:rPr>
        <w:instrText xml:space="preserve"> ADDIN ZOTERO_ITEM CSL_CITATION {"citationID":"ZsRPohIT","properties":{"formattedCitation":"(Phillips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F06AAD">
        <w:rPr>
          <w:rFonts w:asciiTheme="minorHAnsi" w:eastAsiaTheme="minorEastAsia" w:hAnsiTheme="minorHAnsi" w:cstheme="minorBidi"/>
          <w:b w:val="0"/>
          <w:sz w:val="22"/>
          <w:szCs w:val="22"/>
          <w:lang w:val="en-US"/>
        </w:rPr>
        <w:fldChar w:fldCharType="separate"/>
      </w:r>
      <w:r w:rsidRPr="00F06AAD">
        <w:rPr>
          <w:rFonts w:asciiTheme="minorHAnsi" w:eastAsiaTheme="minorEastAsia" w:hAnsiTheme="minorHAnsi" w:cstheme="minorBidi"/>
          <w:b w:val="0"/>
          <w:sz w:val="22"/>
          <w:szCs w:val="22"/>
          <w:lang w:val="en-US"/>
        </w:rPr>
        <w:t>Phillips &amp; Sul (2007)</w:t>
      </w:r>
      <w:r w:rsidRPr="00F06AAD">
        <w:rPr>
          <w:rFonts w:asciiTheme="minorHAnsi" w:eastAsiaTheme="minorEastAsia" w:hAnsiTheme="minorHAnsi" w:cstheme="minorBidi"/>
          <w:b w:val="0"/>
          <w:sz w:val="22"/>
          <w:szCs w:val="22"/>
          <w:lang w:val="en-US"/>
        </w:rPr>
        <w:fldChar w:fldCharType="end"/>
      </w:r>
      <w:r w:rsidRPr="00F06AAD">
        <w:rPr>
          <w:rFonts w:asciiTheme="minorHAnsi" w:eastAsiaTheme="minorEastAsia" w:hAnsiTheme="minorHAnsi" w:cstheme="minorBidi"/>
          <w:b w:val="0"/>
          <w:sz w:val="22"/>
          <w:szCs w:val="22"/>
          <w:lang w:val="en-US"/>
        </w:rPr>
        <w:t xml:space="preserve">, we may characterize the dynamics of the idiosyncratic component,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Pr="00F06AAD">
        <w:rPr>
          <w:rFonts w:asciiTheme="minorHAnsi" w:eastAsiaTheme="minorEastAsia" w:hAnsiTheme="minorHAnsi" w:cstheme="minorBidi"/>
          <w:b w:val="0"/>
          <w:sz w:val="22"/>
          <w:szCs w:val="22"/>
          <w:lang w:val="en-US"/>
        </w:rPr>
        <w:t xml:space="preserve">, with the following semi-parametric specification: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3809370E" w14:textId="77777777" w:rsidTr="00E1186E">
        <w:tc>
          <w:tcPr>
            <w:tcW w:w="8080" w:type="dxa"/>
          </w:tcPr>
          <w:p w14:paraId="64010D96" w14:textId="77777777" w:rsidR="00E1186E" w:rsidRPr="00B627EE" w:rsidRDefault="00E1186E"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σ</m:t>
                      </m:r>
                    </m:e>
                    <m:sub>
                      <m:r>
                        <m:rPr>
                          <m:sty m:val="bi"/>
                        </m:rPr>
                        <w:rPr>
                          <w:rFonts w:ascii="Cambria Math" w:hAnsi="Cambria Math"/>
                          <w:sz w:val="21"/>
                          <w:szCs w:val="21"/>
                        </w:rPr>
                        <m:t>i</m:t>
                      </m:r>
                    </m:sub>
                  </m:sSub>
                  <m:sSub>
                    <m:sSubPr>
                      <m:ctrlPr>
                        <w:rPr>
                          <w:rFonts w:ascii="Cambria Math" w:hAnsi="Cambria Math"/>
                          <w:b w:val="0"/>
                          <w:sz w:val="21"/>
                          <w:szCs w:val="21"/>
                        </w:rPr>
                      </m:ctrlPr>
                    </m:sSubPr>
                    <m:e>
                      <m:r>
                        <m:rPr>
                          <m:sty m:val="bi"/>
                        </m:rPr>
                        <w:rPr>
                          <w:rFonts w:ascii="Cambria Math" w:hAnsi="Cambria Math"/>
                          <w:sz w:val="21"/>
                          <w:szCs w:val="21"/>
                        </w:rPr>
                        <m:t>ξ</m:t>
                      </m:r>
                    </m:e>
                    <m:sub>
                      <m:r>
                        <m:rPr>
                          <m:sty m:val="bi"/>
                        </m:rPr>
                        <w:rPr>
                          <w:rFonts w:ascii="Cambria Math" w:hAnsi="Cambria Math"/>
                          <w:sz w:val="21"/>
                          <w:szCs w:val="21"/>
                        </w:rPr>
                        <m:t>it</m:t>
                      </m:r>
                    </m:sub>
                  </m:sSub>
                </m:num>
                <m:den>
                  <m:r>
                    <m:rPr>
                      <m:sty m:val="b"/>
                    </m:rPr>
                    <w:rPr>
                      <w:rFonts w:ascii="Cambria Math" w:hAnsi="Cambria Math"/>
                      <w:sz w:val="21"/>
                      <w:szCs w:val="21"/>
                    </w:rPr>
                    <m:t>log</m:t>
                  </m:r>
                  <m:r>
                    <m:rPr>
                      <m:sty m:val="bi"/>
                    </m:rPr>
                    <w:rPr>
                      <w:rFonts w:ascii="Cambria Math" w:hAnsi="Cambria Math"/>
                      <w:sz w:val="21"/>
                      <w:szCs w:val="21"/>
                    </w:rPr>
                    <m:t>⁡(t)</m:t>
                  </m:r>
                  <m:sSup>
                    <m:sSupPr>
                      <m:ctrlPr>
                        <w:rPr>
                          <w:rFonts w:ascii="Cambria Math" w:hAnsi="Cambria Math"/>
                          <w:b w:val="0"/>
                          <w:sz w:val="21"/>
                          <w:szCs w:val="21"/>
                        </w:rPr>
                      </m:ctrlPr>
                    </m:sSupPr>
                    <m:e>
                      <m:r>
                        <m:rPr>
                          <m:sty m:val="bi"/>
                        </m:rPr>
                        <w:rPr>
                          <w:rFonts w:ascii="Cambria Math" w:hAnsi="Cambria Math"/>
                          <w:sz w:val="21"/>
                          <w:szCs w:val="21"/>
                        </w:rPr>
                        <m:t>t</m:t>
                      </m:r>
                    </m:e>
                    <m:sup>
                      <m:r>
                        <m:rPr>
                          <m:sty m:val="bi"/>
                        </m:rPr>
                        <w:rPr>
                          <w:rFonts w:ascii="Cambria Math" w:hAnsi="Cambria Math"/>
                          <w:sz w:val="21"/>
                          <w:szCs w:val="21"/>
                        </w:rPr>
                        <m:t>α</m:t>
                      </m:r>
                    </m:sup>
                  </m:sSup>
                </m:den>
              </m:f>
            </m:oMath>
          </w:p>
        </w:tc>
        <w:tc>
          <w:tcPr>
            <w:tcW w:w="567" w:type="dxa"/>
          </w:tcPr>
          <w:p w14:paraId="1773296F" w14:textId="77777777"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(4)</w:t>
            </w:r>
          </w:p>
        </w:tc>
      </w:tr>
    </w:tbl>
    <w:p w14:paraId="72110C51" w14:textId="77777777" w:rsidR="00E1186E" w:rsidRDefault="00E1186E" w:rsidP="00E1186E">
      <w:pPr>
        <w:pStyle w:val="BodyText"/>
        <w:jc w:val="both"/>
        <w:rPr>
          <w:b w:val="0"/>
          <w:sz w:val="21"/>
          <w:szCs w:val="21"/>
        </w:rPr>
      </w:pPr>
    </w:p>
    <w:p w14:paraId="7F434B90" w14:textId="654D9D52" w:rsidR="00F06AAD" w:rsidRPr="00E1186E"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m:t>
            </m:r>
          </m:sub>
        </m:sSub>
      </m:oMath>
      <w:r w:rsidRPr="00E1186E">
        <w:rPr>
          <w:rFonts w:asciiTheme="minorHAnsi" w:eastAsiaTheme="minorEastAsia" w:hAnsiTheme="minorHAnsi" w:cstheme="minorBidi"/>
          <w:b w:val="0"/>
          <w:sz w:val="22"/>
          <w:szCs w:val="22"/>
          <w:lang w:val="en-US"/>
        </w:rPr>
        <w:t xml:space="preserve"> refers to the time-independent province heterogeneity,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ξ</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is a time-dependent process with mean 0 and variance 1 across provinces.</w:t>
      </w:r>
      <w:r w:rsidR="00E1186E">
        <w:rPr>
          <w:rFonts w:asciiTheme="minorHAnsi" w:eastAsiaTheme="minorEastAsia" w:hAnsiTheme="minorHAnsi" w:cstheme="minorBidi" w:hint="eastAsia"/>
          <w:b w:val="0"/>
          <w:sz w:val="22"/>
          <w:szCs w:val="22"/>
          <w:lang w:val="en-US"/>
        </w:rPr>
        <w:t xml:space="preserve"> </w:t>
      </w:r>
      <w:r w:rsidRPr="00E1186E">
        <w:rPr>
          <w:rFonts w:asciiTheme="minorHAnsi" w:eastAsiaTheme="minorEastAsia" w:hAnsiTheme="minorHAnsi" w:cstheme="minorBidi"/>
          <w:b w:val="0"/>
          <w:sz w:val="22"/>
          <w:szCs w:val="22"/>
          <w:lang w:val="en-US"/>
        </w:rPr>
        <w:t>Under equation 4, convergence occurs when all provinces move to the same transition path:</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06270498" w14:textId="77777777" w:rsidTr="00E1186E">
        <w:tc>
          <w:tcPr>
            <w:tcW w:w="8080" w:type="dxa"/>
          </w:tcPr>
          <w:p w14:paraId="4E25C114" w14:textId="77777777" w:rsidR="00E1186E" w:rsidRPr="00B627EE" w:rsidRDefault="00E1186E" w:rsidP="00971B36">
            <w:pPr>
              <w:pStyle w:val="BodyText"/>
              <w:ind w:rightChars="959" w:right="2110"/>
              <w:rPr>
                <w:b w:val="0"/>
                <w:sz w:val="21"/>
                <w:szCs w:val="21"/>
              </w:rPr>
            </w:pPr>
            <w:r w:rsidRPr="00B627EE">
              <w:rPr>
                <w:b w:val="0"/>
                <w:sz w:val="21"/>
                <w:szCs w:val="21"/>
              </w:rPr>
              <w:t xml:space="preserve">                                      </w:t>
            </w:r>
            <m:oMath>
              <m:limLow>
                <m:limLowPr>
                  <m:ctrlPr>
                    <w:rPr>
                      <w:rFonts w:ascii="Cambria Math" w:hAnsi="Cambria Math"/>
                      <w:b w:val="0"/>
                      <w:sz w:val="21"/>
                      <w:szCs w:val="21"/>
                    </w:rPr>
                  </m:ctrlPr>
                </m:limLowPr>
                <m:e>
                  <m:r>
                    <m:rPr>
                      <m:sty m:val="bi"/>
                    </m:rPr>
                    <w:rPr>
                      <w:rFonts w:ascii="Cambria Math" w:hAnsi="Cambria Math"/>
                      <w:sz w:val="21"/>
                      <w:szCs w:val="21"/>
                    </w:rPr>
                    <m:t>lim</m:t>
                  </m:r>
                </m:e>
                <m:lim>
                  <m:r>
                    <m:rPr>
                      <m:sty m:val="bi"/>
                    </m:rPr>
                    <w:rPr>
                      <w:rFonts w:ascii="Cambria Math" w:hAnsi="Cambria Math"/>
                      <w:sz w:val="21"/>
                      <w:szCs w:val="21"/>
                    </w:rPr>
                    <m:t>t→</m:t>
                  </m:r>
                  <m:r>
                    <m:rPr>
                      <m:sty m:val="b"/>
                    </m:rPr>
                    <w:rPr>
                      <w:rFonts w:ascii="Cambria Math" w:hAnsi="Cambria Math"/>
                      <w:sz w:val="21"/>
                      <w:szCs w:val="21"/>
                    </w:rPr>
                    <m:t>∞</m:t>
                  </m:r>
                </m:lim>
              </m:limLow>
              <m:r>
                <m:rPr>
                  <m:sty m:val="bi"/>
                </m:rPr>
                <w:rPr>
                  <w:rFonts w:ascii="Cambria Math" w:hAnsi="Cambria Math"/>
                  <w:sz w:val="21"/>
                  <w:szCs w:val="21"/>
                </w:rPr>
                <m:t> </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=δ</m:t>
              </m:r>
              <m:r>
                <m:rPr>
                  <m:nor/>
                </m:rPr>
                <w:rPr>
                  <w:b w:val="0"/>
                  <w:sz w:val="21"/>
                  <w:szCs w:val="21"/>
                </w:rPr>
                <m:t xml:space="preserve"> and </m:t>
              </m:r>
              <m:r>
                <m:rPr>
                  <m:sty m:val="bi"/>
                </m:rPr>
                <w:rPr>
                  <w:rFonts w:ascii="Cambria Math" w:hAnsi="Cambria Math"/>
                  <w:sz w:val="21"/>
                  <w:szCs w:val="21"/>
                </w:rPr>
                <m:t>α≥0</m:t>
              </m:r>
            </m:oMath>
          </w:p>
        </w:tc>
        <w:tc>
          <w:tcPr>
            <w:tcW w:w="567" w:type="dxa"/>
          </w:tcPr>
          <w:p w14:paraId="196D035F" w14:textId="77777777"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(5)</w:t>
            </w:r>
          </w:p>
        </w:tc>
      </w:tr>
    </w:tbl>
    <w:p w14:paraId="3233CD16" w14:textId="77777777" w:rsidR="00E1186E" w:rsidRDefault="00E1186E" w:rsidP="00E1186E">
      <w:pPr>
        <w:pStyle w:val="BodyText"/>
        <w:jc w:val="both"/>
        <w:rPr>
          <w:b w:val="0"/>
          <w:sz w:val="21"/>
          <w:szCs w:val="21"/>
        </w:rPr>
      </w:pPr>
    </w:p>
    <w:p w14:paraId="37BB61F0" w14:textId="7FD1E464" w:rsidR="00F06AAD" w:rsidRPr="00E1186E"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Equation 5 is thus the null hypothesis of convergence. To estimate the transition coefficient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a relative transition parameter,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is formulated as follows: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1F66879B" w14:textId="77777777" w:rsidTr="00E1186E">
        <w:tc>
          <w:tcPr>
            <w:tcW w:w="8080" w:type="dxa"/>
          </w:tcPr>
          <w:p w14:paraId="3E226191" w14:textId="77777777" w:rsidR="00E1186E" w:rsidRPr="00B627EE" w:rsidRDefault="00E1186E"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den>
              </m:f>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den>
              </m:f>
            </m:oMath>
          </w:p>
        </w:tc>
        <w:tc>
          <w:tcPr>
            <w:tcW w:w="567" w:type="dxa"/>
          </w:tcPr>
          <w:p w14:paraId="4805BE68" w14:textId="77777777"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(6)</w:t>
            </w:r>
          </w:p>
        </w:tc>
      </w:tr>
    </w:tbl>
    <w:p w14:paraId="53E06664" w14:textId="77777777" w:rsidR="00E1186E" w:rsidRDefault="00E1186E" w:rsidP="00E1186E">
      <w:pPr>
        <w:pStyle w:val="BodyText"/>
        <w:jc w:val="both"/>
        <w:rPr>
          <w:b w:val="0"/>
          <w:sz w:val="21"/>
          <w:szCs w:val="21"/>
        </w:rPr>
      </w:pPr>
    </w:p>
    <w:p w14:paraId="23006A4F" w14:textId="2A19445C" w:rsidR="00F06AAD"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where a common component,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Pr="00E1186E">
        <w:rPr>
          <w:rFonts w:asciiTheme="minorHAnsi" w:eastAsiaTheme="minorEastAsia" w:hAnsiTheme="minorHAnsi" w:cstheme="minorBidi"/>
          <w:b w:val="0"/>
          <w:sz w:val="22"/>
          <w:szCs w:val="22"/>
          <w:lang w:val="en-US"/>
        </w:rPr>
        <w:t xml:space="preserve"> in equation 2 and 3 is eliminated by dividing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with the panel average. Thus,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represents the transition path of province </w:t>
      </w:r>
      <w:r w:rsidRPr="00B575BE">
        <w:rPr>
          <w:rFonts w:asciiTheme="minorHAnsi" w:eastAsiaTheme="minorEastAsia" w:hAnsiTheme="minorHAnsi" w:cstheme="minorBidi"/>
          <w:b w:val="0"/>
          <w:i/>
          <w:iCs/>
          <w:sz w:val="22"/>
          <w:szCs w:val="22"/>
          <w:lang w:val="en-US"/>
        </w:rPr>
        <w:t>i</w:t>
      </w:r>
      <w:r w:rsidRPr="00E1186E">
        <w:rPr>
          <w:rFonts w:asciiTheme="minorHAnsi" w:eastAsiaTheme="minorEastAsia" w:hAnsiTheme="minorHAnsi" w:cstheme="minorBidi"/>
          <w:b w:val="0"/>
          <w:sz w:val="22"/>
          <w:szCs w:val="22"/>
          <w:lang w:val="en-US"/>
        </w:rPr>
        <w:t xml:space="preserve"> against cross-sectional average, referring to distinctive behavio</w:t>
      </w:r>
      <w:r w:rsidR="000B2C99">
        <w:rPr>
          <w:rFonts w:asciiTheme="minorHAnsi" w:eastAsiaTheme="minorEastAsia" w:hAnsiTheme="minorHAnsi" w:cstheme="minorBidi"/>
          <w:b w:val="0"/>
          <w:sz w:val="22"/>
          <w:szCs w:val="22"/>
          <w:lang w:val="en-US"/>
        </w:rPr>
        <w:t xml:space="preserve">r </w:t>
      </w:r>
      <w:r w:rsidRPr="00E1186E">
        <w:rPr>
          <w:rFonts w:asciiTheme="minorHAnsi" w:eastAsiaTheme="minorEastAsia" w:hAnsiTheme="minorHAnsi" w:cstheme="minorBidi"/>
          <w:b w:val="0"/>
          <w:sz w:val="22"/>
          <w:szCs w:val="22"/>
          <w:lang w:val="en-US"/>
        </w:rPr>
        <w:t xml:space="preserve">of a particular province relative to others. In the state of convergence,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that varies across provinces moves toward a common transition path in the long-run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r>
          <m:rPr>
            <m:sty m:val="b"/>
          </m:rPr>
          <w:rPr>
            <w:rFonts w:ascii="Cambria Math" w:eastAsiaTheme="minorEastAsia" w:hAnsi="Cambria Math" w:cstheme="minorBidi"/>
            <w:sz w:val="22"/>
            <w:szCs w:val="22"/>
            <w:lang w:val="en-US"/>
          </w:rPr>
          <m:t>→1</m:t>
        </m:r>
      </m:oMath>
      <w:r w:rsidRPr="00E1186E">
        <w:rPr>
          <w:rFonts w:asciiTheme="minorHAnsi" w:eastAsiaTheme="minorEastAsia" w:hAnsiTheme="minorHAnsi" w:cstheme="minorBidi"/>
          <w:b w:val="0"/>
          <w:sz w:val="22"/>
          <w:szCs w:val="22"/>
          <w:lang w:val="en-US"/>
        </w:rPr>
        <w:t xml:space="preserve">, when  </w:t>
      </w:r>
      <m:oMath>
        <m:r>
          <m:rPr>
            <m:sty m:val="b"/>
          </m:rPr>
          <w:rPr>
            <w:rFonts w:ascii="Cambria Math" w:eastAsiaTheme="minorEastAsia" w:hAnsi="Cambria Math" w:cstheme="minorBidi"/>
            <w:sz w:val="22"/>
            <w:szCs w:val="22"/>
            <w:lang w:val="en-US"/>
          </w:rPr>
          <m:t>→∞</m:t>
        </m:r>
      </m:oMath>
      <w:r w:rsidRPr="00E1186E">
        <w:rPr>
          <w:rFonts w:asciiTheme="minorHAnsi" w:eastAsiaTheme="minorEastAsia" w:hAnsiTheme="minorHAnsi" w:cstheme="minorBidi"/>
          <w:b w:val="0"/>
          <w:sz w:val="22"/>
          <w:szCs w:val="22"/>
          <w:lang w:val="en-US"/>
        </w:rPr>
        <w:t xml:space="preserve">). The notion of convergence defined in equation 5 is then reformulated into the following equation that describe the cross-sectional variance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17F95344" w14:textId="77777777" w:rsidTr="00E1186E">
        <w:tc>
          <w:tcPr>
            <w:tcW w:w="8080" w:type="dxa"/>
          </w:tcPr>
          <w:p w14:paraId="1DC3A5D8" w14:textId="77777777" w:rsidR="00E1186E" w:rsidRPr="00B627EE" w:rsidRDefault="00E1186E"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r>
                <m:rPr>
                  <m:sty m:val="bi"/>
                </m:rPr>
                <w:rPr>
                  <w:rFonts w:ascii="Cambria Math" w:hAnsi="Cambria Math"/>
                  <w:sz w:val="21"/>
                  <w:szCs w:val="21"/>
                </w:rPr>
                <m:t>=</m:t>
              </m:r>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p>
                <m:sSupPr>
                  <m:ctrlPr>
                    <w:rPr>
                      <w:rFonts w:ascii="Cambria Math" w:hAnsi="Cambria Math"/>
                      <w:b w:val="0"/>
                      <w:sz w:val="21"/>
                      <w:szCs w:val="21"/>
                    </w:rPr>
                  </m:ctrlPr>
                </m:sSupPr>
                <m:e>
                  <m:d>
                    <m:dPr>
                      <m:ctrlPr>
                        <w:rPr>
                          <w:rFonts w:ascii="Cambria Math" w:hAnsi="Cambria Math"/>
                          <w:b w:val="0"/>
                          <w:sz w:val="21"/>
                          <w:szCs w:val="21"/>
                        </w:rPr>
                      </m:ctrlPr>
                    </m:dPr>
                    <m:e>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-1</m:t>
                      </m:r>
                    </m:e>
                  </m:d>
                </m:e>
                <m:sup>
                  <m:r>
                    <m:rPr>
                      <m:sty m:val="bi"/>
                    </m:rPr>
                    <w:rPr>
                      <w:rFonts w:ascii="Cambria Math" w:hAnsi="Cambria Math"/>
                      <w:sz w:val="21"/>
                      <w:szCs w:val="21"/>
                    </w:rPr>
                    <m:t>2</m:t>
                  </m:r>
                </m:sup>
              </m:sSup>
              <m:r>
                <m:rPr>
                  <m:sty m:val="bi"/>
                </m:rPr>
                <w:rPr>
                  <w:rFonts w:ascii="Cambria Math" w:hAnsi="Cambria Math"/>
                  <w:sz w:val="21"/>
                  <w:szCs w:val="21"/>
                </w:rPr>
                <m:t>→0</m:t>
              </m:r>
            </m:oMath>
          </w:p>
        </w:tc>
        <w:tc>
          <w:tcPr>
            <w:tcW w:w="567" w:type="dxa"/>
          </w:tcPr>
          <w:p w14:paraId="75BE135A" w14:textId="77777777"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(7)</w:t>
            </w:r>
          </w:p>
        </w:tc>
      </w:tr>
    </w:tbl>
    <w:p w14:paraId="38711A2D" w14:textId="77777777" w:rsidR="00F06AAD" w:rsidRPr="00E1186E"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where the cross-sectional variance converges to zero,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t</m:t>
            </m:r>
          </m:sub>
        </m:sSub>
      </m:oMath>
      <w:r w:rsidRPr="00E1186E">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m:t>
        </m:r>
      </m:oMath>
      <w:r w:rsidRPr="00E1186E">
        <w:rPr>
          <w:rFonts w:asciiTheme="minorHAnsi" w:eastAsiaTheme="minorEastAsia" w:hAnsiTheme="minorHAnsi" w:cstheme="minorBidi"/>
          <w:b w:val="0"/>
          <w:sz w:val="22"/>
          <w:szCs w:val="22"/>
          <w:lang w:val="en-US"/>
        </w:rPr>
        <w:t xml:space="preserve"> 0.</w:t>
      </w:r>
    </w:p>
    <w:p w14:paraId="6606137A" w14:textId="77777777" w:rsidR="00F06AAD" w:rsidRPr="00E1186E" w:rsidRDefault="00F06AAD" w:rsidP="00E1186E">
      <w:pPr>
        <w:pStyle w:val="BodyText"/>
        <w:spacing w:line="360" w:lineRule="auto"/>
        <w:ind w:left="720" w:firstLine="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The null hypothesis in equation 5 is verified in counter to the alternative hypothesis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A</m:t>
            </m:r>
          </m:sub>
        </m:sSub>
        <m:r>
          <m:rPr>
            <m:sty m:val="b"/>
          </m:rPr>
          <w:rPr>
            <w:rFonts w:ascii="Cambria Math" w:eastAsiaTheme="minorEastAsia" w:hAnsi="Cambria Math" w:cstheme="minorBidi"/>
            <w:sz w:val="22"/>
            <w:szCs w:val="22"/>
            <w:lang w:val="en-US"/>
          </w:rPr>
          <m:t>:</m:t>
        </m:r>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m:t>
            </m:r>
          </m:sub>
        </m:sSub>
        <m:r>
          <m:rPr>
            <m:sty m:val="b"/>
          </m:rPr>
          <w:rPr>
            <w:rFonts w:ascii="Cambria Math" w:eastAsiaTheme="minorEastAsia" w:hAnsi="Cambria Math" w:cstheme="minorBidi"/>
            <w:sz w:val="22"/>
            <w:szCs w:val="22"/>
            <w:lang w:val="en-US"/>
          </w:rPr>
          <m:t>≠</m:t>
        </m:r>
        <m:r>
          <m:rPr>
            <m:sty m:val="bi"/>
          </m:rPr>
          <w:rPr>
            <w:rFonts w:ascii="Cambria Math" w:eastAsiaTheme="minorEastAsia" w:hAnsi="Cambria Math" w:cstheme="minorBidi"/>
            <w:sz w:val="22"/>
            <w:szCs w:val="22"/>
            <w:lang w:val="en-US"/>
          </w:rPr>
          <m:t>δ</m:t>
        </m:r>
      </m:oMath>
      <w:r w:rsidRPr="00E1186E">
        <w:rPr>
          <w:rFonts w:asciiTheme="minorHAnsi" w:eastAsiaTheme="minorEastAsia" w:hAnsiTheme="minorHAnsi" w:cstheme="minorBidi"/>
          <w:b w:val="0"/>
          <w:sz w:val="22"/>
          <w:szCs w:val="22"/>
          <w:lang w:val="en-US"/>
        </w:rPr>
        <w:t xml:space="preserve"> for all </w:t>
      </w:r>
      <w:r w:rsidRPr="00B575BE">
        <w:rPr>
          <w:rFonts w:asciiTheme="minorHAnsi" w:eastAsiaTheme="minorEastAsia" w:hAnsiTheme="minorHAnsi" w:cstheme="minorBidi"/>
          <w:b w:val="0"/>
          <w:i/>
          <w:iCs/>
          <w:sz w:val="22"/>
          <w:szCs w:val="22"/>
          <w:lang w:val="en-US"/>
        </w:rPr>
        <w:t>i</w:t>
      </w:r>
      <w:r w:rsidRPr="00E1186E">
        <w:rPr>
          <w:rFonts w:asciiTheme="minorHAnsi" w:eastAsiaTheme="minorEastAsia" w:hAnsiTheme="minorHAnsi" w:cstheme="minorBidi"/>
          <w:b w:val="0"/>
          <w:sz w:val="22"/>
          <w:szCs w:val="22"/>
          <w:lang w:val="en-US"/>
        </w:rPr>
        <w:t xml:space="preserve"> and </w:t>
      </w:r>
      <m:oMath>
        <m:r>
          <m:rPr>
            <m:sty m:val="bi"/>
          </m:rPr>
          <w:rPr>
            <w:rFonts w:ascii="Cambria Math" w:eastAsiaTheme="minorEastAsia" w:hAnsi="Cambria Math" w:cstheme="minorBidi"/>
            <w:sz w:val="22"/>
            <w:szCs w:val="22"/>
            <w:lang w:val="en-US"/>
          </w:rPr>
          <m:t>α</m:t>
        </m:r>
        <m:r>
          <m:rPr>
            <m:sty m:val="b"/>
          </m:rPr>
          <w:rPr>
            <w:rFonts w:ascii="Cambria Math" w:eastAsiaTheme="minorEastAsia" w:hAnsi="Cambria Math" w:cstheme="minorBidi"/>
            <w:sz w:val="22"/>
            <w:szCs w:val="22"/>
            <w:lang w:val="en-US"/>
          </w:rPr>
          <m:t>≥0</m:t>
        </m:r>
      </m:oMath>
      <w:r w:rsidRPr="00E1186E">
        <w:rPr>
          <w:rFonts w:asciiTheme="minorHAnsi" w:eastAsiaTheme="minorEastAsia" w:hAnsiTheme="minorHAnsi" w:cstheme="minorBidi"/>
          <w:b w:val="0"/>
          <w:sz w:val="22"/>
          <w:szCs w:val="22"/>
          <w:lang w:val="en-US"/>
        </w:rPr>
        <w:t xml:space="preserve">. Finally, </w:t>
      </w:r>
      <w:r w:rsidRPr="00E1186E">
        <w:rPr>
          <w:rFonts w:asciiTheme="minorHAnsi" w:eastAsiaTheme="minorEastAsia" w:hAnsiTheme="minorHAnsi" w:cstheme="minorBidi"/>
          <w:b w:val="0"/>
          <w:sz w:val="22"/>
          <w:szCs w:val="22"/>
          <w:lang w:val="en-US"/>
        </w:rPr>
        <w:fldChar w:fldCharType="begin"/>
      </w:r>
      <w:r w:rsidRPr="00E1186E">
        <w:rPr>
          <w:rFonts w:asciiTheme="minorHAnsi" w:eastAsiaTheme="minorEastAsia" w:hAnsiTheme="minorHAnsi" w:cstheme="minorBidi"/>
          <w:b w:val="0"/>
          <w:sz w:val="22"/>
          <w:szCs w:val="22"/>
          <w:lang w:val="en-US"/>
        </w:rPr>
        <w:instrText xml:space="preserve"> ADDIN ZOTERO_ITEM CSL_CITATION {"citationID":"ECmCo6ma","properties":{"formattedCitation":"(Phillips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E1186E">
        <w:rPr>
          <w:rFonts w:asciiTheme="minorHAnsi" w:eastAsiaTheme="minorEastAsia" w:hAnsiTheme="minorHAnsi" w:cstheme="minorBidi"/>
          <w:b w:val="0"/>
          <w:sz w:val="22"/>
          <w:szCs w:val="22"/>
          <w:lang w:val="en-US"/>
        </w:rPr>
        <w:fldChar w:fldCharType="separate"/>
      </w:r>
      <w:r w:rsidRPr="00E1186E">
        <w:rPr>
          <w:rFonts w:asciiTheme="minorHAnsi" w:eastAsiaTheme="minorEastAsia" w:hAnsiTheme="minorHAnsi" w:cstheme="minorBidi"/>
          <w:b w:val="0"/>
          <w:sz w:val="22"/>
          <w:szCs w:val="22"/>
          <w:lang w:val="en-US"/>
        </w:rPr>
        <w:t>Phillips &amp; Sul (2007)</w:t>
      </w:r>
      <w:r w:rsidRPr="00E1186E">
        <w:rPr>
          <w:rFonts w:asciiTheme="minorHAnsi" w:eastAsiaTheme="minorEastAsia" w:hAnsiTheme="minorHAnsi" w:cstheme="minorBidi"/>
          <w:b w:val="0"/>
          <w:sz w:val="22"/>
          <w:szCs w:val="22"/>
          <w:lang w:val="en-US"/>
        </w:rPr>
        <w:fldChar w:fldCharType="end"/>
      </w:r>
      <w:r w:rsidRPr="00E1186E">
        <w:rPr>
          <w:rFonts w:asciiTheme="minorHAnsi" w:eastAsiaTheme="minorEastAsia" w:hAnsiTheme="minorHAnsi" w:cstheme="minorBidi"/>
          <w:b w:val="0"/>
          <w:sz w:val="22"/>
          <w:szCs w:val="22"/>
          <w:lang w:val="en-US"/>
        </w:rPr>
        <w:t xml:space="preserve"> empirically evaluate this null hypothesis by using the following log t regression model:</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0B2C99" w:rsidRPr="00B627EE" w14:paraId="7D8BB926" w14:textId="77777777" w:rsidTr="000B2C99">
        <w:tc>
          <w:tcPr>
            <w:tcW w:w="8080" w:type="dxa"/>
          </w:tcPr>
          <w:p w14:paraId="48FDF8AA" w14:textId="77777777" w:rsidR="000B2C99" w:rsidRPr="00B627EE" w:rsidRDefault="000B2C99" w:rsidP="000B2C99">
            <w:pPr>
              <w:pStyle w:val="BodyText"/>
              <w:ind w:leftChars="14" w:left="31" w:rightChars="595" w:right="1309"/>
              <w:rPr>
                <w:b w:val="0"/>
                <w:sz w:val="21"/>
                <w:szCs w:val="21"/>
              </w:rPr>
            </w:pPr>
            <w:r w:rsidRPr="00B627EE">
              <w:rPr>
                <w:b w:val="0"/>
                <w:sz w:val="21"/>
                <w:szCs w:val="21"/>
              </w:rPr>
              <w:lastRenderedPageBreak/>
              <w:t xml:space="preserve">                             </w:t>
            </w:r>
            <m:oMath>
              <m:eqArr>
                <m:eqArrPr>
                  <m:ctrlPr>
                    <w:rPr>
                      <w:rFonts w:ascii="Cambria Math" w:hAnsi="Cambria Math"/>
                      <w:b w:val="0"/>
                      <w:sz w:val="21"/>
                      <w:szCs w:val="21"/>
                    </w:rPr>
                  </m:ctrlPr>
                </m:eqArrPr>
                <m:e>
                  <m:r>
                    <m:rPr>
                      <m:sty m:val="bi"/>
                    </m:rPr>
                    <w:rPr>
                      <w:rFonts w:ascii="Cambria Math" w:hAnsi="Cambria Math"/>
                      <w:sz w:val="21"/>
                      <w:szCs w:val="21"/>
                    </w:rPr>
                    <m:t>&amp;</m:t>
                  </m:r>
                  <m:func>
                    <m:funcPr>
                      <m:ctrlPr>
                        <w:rPr>
                          <w:rFonts w:ascii="Cambria Math" w:hAnsi="Cambria Math"/>
                          <w:b w:val="0"/>
                          <w:i/>
                          <w:sz w:val="21"/>
                          <w:szCs w:val="21"/>
                        </w:rPr>
                      </m:ctrlPr>
                    </m:funcPr>
                    <m:fName>
                      <m:r>
                        <m:rPr>
                          <m:sty m:val="b"/>
                        </m:rPr>
                        <w:rPr>
                          <w:rFonts w:ascii="Cambria Math" w:hAnsi="Cambria Math"/>
                          <w:sz w:val="21"/>
                          <w:szCs w:val="21"/>
                        </w:rPr>
                        <m:t>log</m:t>
                      </m:r>
                    </m:fName>
                    <m:e>
                      <m:d>
                        <m:dPr>
                          <m:ctrlPr>
                            <w:rPr>
                              <w:rFonts w:ascii="Cambria Math" w:hAnsi="Cambria Math"/>
                              <w:b w:val="0"/>
                              <w:sz w:val="21"/>
                              <w:szCs w:val="21"/>
                            </w:rPr>
                          </m:ctrlPr>
                        </m:dPr>
                        <m:e>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1</m:t>
                                  </m:r>
                                </m:sub>
                              </m:sSub>
                            </m:num>
                            <m:den>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den>
                          </m:f>
                        </m:e>
                      </m:d>
                    </m:e>
                  </m:func>
                  <m:r>
                    <m:rPr>
                      <m:sty m:val="bi"/>
                    </m:rPr>
                    <w:rPr>
                      <w:rFonts w:ascii="Cambria Math" w:hAnsi="Cambria Math"/>
                      <w:sz w:val="21"/>
                      <w:szCs w:val="21"/>
                    </w:rPr>
                    <m:t xml:space="preserve">-2 </m:t>
                  </m:r>
                  <m:r>
                    <m:rPr>
                      <m:sty m:val="b"/>
                    </m:rPr>
                    <w:rPr>
                      <w:rFonts w:ascii="Cambria Math" w:hAnsi="Cambria Math"/>
                      <w:sz w:val="21"/>
                      <w:szCs w:val="21"/>
                    </w:rPr>
                    <m:t>log</m:t>
                  </m:r>
                  <m:r>
                    <m:rPr>
                      <m:sty m:val="bi"/>
                    </m:rPr>
                    <w:rPr>
                      <w:rFonts w:ascii="Cambria Math" w:hAnsi="Cambria Math"/>
                      <w:sz w:val="21"/>
                      <w:szCs w:val="21"/>
                    </w:rPr>
                    <m:t>⁡{</m:t>
                  </m:r>
                  <m:r>
                    <m:rPr>
                      <m:sty m:val="b"/>
                    </m:rPr>
                    <w:rPr>
                      <w:rFonts w:ascii="Cambria Math" w:hAnsi="Cambria Math"/>
                      <w:sz w:val="21"/>
                      <w:szCs w:val="21"/>
                    </w:rPr>
                    <m:t>log</m:t>
                  </m:r>
                  <m:r>
                    <m:rPr>
                      <m:sty m:val="bi"/>
                    </m:rPr>
                    <w:rPr>
                      <w:rFonts w:ascii="Cambria Math" w:hAnsi="Cambria Math"/>
                      <w:sz w:val="21"/>
                      <w:szCs w:val="21"/>
                    </w:rPr>
                    <m:t xml:space="preserve">⁡(t)}=a+b </m:t>
                  </m:r>
                  <m:r>
                    <m:rPr>
                      <m:sty m:val="b"/>
                    </m:rPr>
                    <w:rPr>
                      <w:rFonts w:ascii="Cambria Math" w:hAnsi="Cambria Math"/>
                      <w:sz w:val="21"/>
                      <w:szCs w:val="21"/>
                    </w:rPr>
                    <m:t>log</m:t>
                  </m:r>
                  <m:r>
                    <m:rPr>
                      <m:sty m:val="bi"/>
                    </m:rPr>
                    <w:rPr>
                      <w:rFonts w:ascii="Cambria Math" w:hAnsi="Cambria Math"/>
                      <w:sz w:val="21"/>
                      <w:szCs w:val="21"/>
                    </w:rPr>
                    <m:t>⁡(t)+</m:t>
                  </m:r>
                  <m:sSub>
                    <m:sSubPr>
                      <m:ctrlPr>
                        <w:rPr>
                          <w:rFonts w:ascii="Cambria Math" w:hAnsi="Cambria Math"/>
                          <w:b w:val="0"/>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e>
                <m:e>
                  <m:r>
                    <m:rPr>
                      <m:sty m:val="bi"/>
                    </m:rPr>
                    <w:rPr>
                      <w:rFonts w:ascii="Cambria Math" w:hAnsi="Cambria Math"/>
                      <w:sz w:val="21"/>
                      <w:szCs w:val="21"/>
                    </w:rPr>
                    <m:t>&amp;</m:t>
                  </m:r>
                  <m:r>
                    <m:rPr>
                      <m:nor/>
                    </m:rPr>
                    <w:rPr>
                      <w:b w:val="0"/>
                      <w:sz w:val="21"/>
                      <w:szCs w:val="21"/>
                    </w:rPr>
                    <m:t xml:space="preserve"> for </m:t>
                  </m:r>
                  <m:r>
                    <m:rPr>
                      <m:sty m:val="bi"/>
                    </m:rPr>
                    <w:rPr>
                      <w:rFonts w:ascii="Cambria Math" w:hAnsi="Cambria Math"/>
                      <w:sz w:val="21"/>
                      <w:szCs w:val="21"/>
                    </w:rPr>
                    <m:t>t=[rT],[rT]+1,…,T</m:t>
                  </m:r>
                  <m:r>
                    <m:rPr>
                      <m:nor/>
                    </m:rPr>
                    <w:rPr>
                      <w:b w:val="0"/>
                      <w:sz w:val="21"/>
                      <w:szCs w:val="21"/>
                    </w:rPr>
                    <m:t xml:space="preserve"> with </m:t>
                  </m:r>
                  <m:r>
                    <m:rPr>
                      <m:sty m:val="bi"/>
                    </m:rPr>
                    <w:rPr>
                      <w:rFonts w:ascii="Cambria Math" w:hAnsi="Cambria Math"/>
                      <w:sz w:val="21"/>
                      <w:szCs w:val="21"/>
                    </w:rPr>
                    <m:t>r&gt;0</m:t>
                  </m:r>
                </m:e>
              </m:eqArr>
            </m:oMath>
          </w:p>
        </w:tc>
        <w:tc>
          <w:tcPr>
            <w:tcW w:w="567" w:type="dxa"/>
          </w:tcPr>
          <w:p w14:paraId="52395C03" w14:textId="77777777" w:rsidR="000B2C99" w:rsidRPr="00B627EE" w:rsidRDefault="000B2C99" w:rsidP="00971B36">
            <w:pPr>
              <w:pStyle w:val="BodyText"/>
              <w:tabs>
                <w:tab w:val="left" w:pos="0"/>
              </w:tabs>
              <w:ind w:rightChars="12" w:right="26"/>
              <w:jc w:val="right"/>
              <w:rPr>
                <w:b w:val="0"/>
                <w:sz w:val="21"/>
                <w:szCs w:val="21"/>
              </w:rPr>
            </w:pPr>
            <w:r w:rsidRPr="00B627EE">
              <w:rPr>
                <w:b w:val="0"/>
                <w:sz w:val="21"/>
                <w:szCs w:val="21"/>
              </w:rPr>
              <w:t>(8)</w:t>
            </w:r>
          </w:p>
        </w:tc>
      </w:tr>
    </w:tbl>
    <w:p w14:paraId="7FD7D1AB" w14:textId="77777777" w:rsidR="00E1186E" w:rsidRDefault="00E1186E" w:rsidP="000B2C99">
      <w:pPr>
        <w:pStyle w:val="BodyText"/>
        <w:jc w:val="both"/>
        <w:rPr>
          <w:b w:val="0"/>
          <w:sz w:val="21"/>
          <w:szCs w:val="21"/>
        </w:rPr>
      </w:pPr>
    </w:p>
    <w:p w14:paraId="06AE85BC" w14:textId="52788B00" w:rsidR="00F06AAD" w:rsidRDefault="00F06AAD" w:rsidP="000B2C99">
      <w:pPr>
        <w:pStyle w:val="BodyText"/>
        <w:spacing w:line="360" w:lineRule="auto"/>
        <w:ind w:left="720"/>
        <w:jc w:val="both"/>
        <w:rPr>
          <w:rFonts w:asciiTheme="minorHAnsi" w:eastAsiaTheme="minorEastAsia" w:hAnsiTheme="minorHAnsi" w:cstheme="minorBidi"/>
          <w:b w:val="0"/>
          <w:sz w:val="22"/>
          <w:szCs w:val="22"/>
          <w:lang w:val="en-US"/>
        </w:rPr>
      </w:pPr>
      <w:r w:rsidRPr="000B2C99">
        <w:rPr>
          <w:rFonts w:asciiTheme="minorHAnsi" w:eastAsiaTheme="minorEastAsia" w:hAnsiTheme="minorHAnsi" w:cstheme="minorBidi"/>
          <w:b w:val="0"/>
          <w:sz w:val="22"/>
          <w:szCs w:val="22"/>
          <w:lang w:val="en-US"/>
        </w:rPr>
        <w:t xml:space="preserve">where </w:t>
      </w:r>
      <m:oMath>
        <m:r>
          <m:rPr>
            <m:sty m:val="bi"/>
          </m:rPr>
          <w:rPr>
            <w:rFonts w:ascii="Cambria Math" w:eastAsiaTheme="minorEastAsia" w:hAnsi="Cambria Math" w:cstheme="minorBidi"/>
            <w:sz w:val="22"/>
            <w:szCs w:val="22"/>
            <w:lang w:val="en-US"/>
          </w:rPr>
          <m:t>rT</m:t>
        </m:r>
      </m:oMath>
      <w:r w:rsidRPr="000B2C99">
        <w:rPr>
          <w:rFonts w:asciiTheme="minorHAnsi" w:eastAsiaTheme="minorEastAsia" w:hAnsiTheme="minorHAnsi" w:cstheme="minorBidi"/>
          <w:b w:val="0"/>
          <w:sz w:val="22"/>
          <w:szCs w:val="22"/>
          <w:lang w:val="en-US"/>
        </w:rPr>
        <w:t xml:space="preserve"> is the initial observation in the regression, which impl</w:t>
      </w:r>
      <w:r w:rsidR="001B4288">
        <w:rPr>
          <w:rFonts w:asciiTheme="minorHAnsi" w:eastAsiaTheme="minorEastAsia" w:hAnsiTheme="minorHAnsi" w:cstheme="minorBidi"/>
          <w:b w:val="0"/>
          <w:sz w:val="22"/>
          <w:szCs w:val="22"/>
          <w:lang w:val="en-US"/>
        </w:rPr>
        <w:t>ies</w:t>
      </w:r>
      <w:r w:rsidRPr="000B2C99">
        <w:rPr>
          <w:rFonts w:asciiTheme="minorHAnsi" w:eastAsiaTheme="minorEastAsia" w:hAnsiTheme="minorHAnsi" w:cstheme="minorBidi"/>
          <w:b w:val="0"/>
          <w:sz w:val="22"/>
          <w:szCs w:val="22"/>
          <w:lang w:val="en-US"/>
        </w:rPr>
        <w:t xml:space="preserve"> that the first fraction of the data (that is, </w:t>
      </w:r>
      <m:oMath>
        <m:r>
          <m:rPr>
            <m:sty m:val="bi"/>
          </m:rPr>
          <w:rPr>
            <w:rFonts w:ascii="Cambria Math" w:eastAsiaTheme="minorEastAsia" w:hAnsi="Cambria Math" w:cstheme="minorBidi"/>
            <w:sz w:val="22"/>
            <w:szCs w:val="22"/>
            <w:lang w:val="en-US"/>
          </w:rPr>
          <m:t>r</m:t>
        </m:r>
      </m:oMath>
      <w:r w:rsidRPr="000B2C99">
        <w:rPr>
          <w:rFonts w:asciiTheme="minorHAnsi" w:eastAsiaTheme="minorEastAsia" w:hAnsiTheme="minorHAnsi" w:cstheme="minorBidi"/>
          <w:b w:val="0"/>
          <w:sz w:val="22"/>
          <w:szCs w:val="22"/>
          <w:lang w:val="en-US"/>
        </w:rPr>
        <w:t xml:space="preserve">) is discarded. Based on Monte Carlo experiments, </w:t>
      </w:r>
      <w:r w:rsidRPr="000B2C99">
        <w:rPr>
          <w:rFonts w:asciiTheme="minorHAnsi" w:eastAsiaTheme="minorEastAsia" w:hAnsiTheme="minorHAnsi" w:cstheme="minorBidi"/>
          <w:b w:val="0"/>
          <w:sz w:val="22"/>
          <w:szCs w:val="22"/>
          <w:lang w:val="en-US"/>
        </w:rPr>
        <w:fldChar w:fldCharType="begin"/>
      </w:r>
      <w:r w:rsidRPr="000B2C99">
        <w:rPr>
          <w:rFonts w:asciiTheme="minorHAnsi" w:eastAsiaTheme="minorEastAsia" w:hAnsiTheme="minorHAnsi" w:cstheme="minorBidi"/>
          <w:b w:val="0"/>
          <w:sz w:val="22"/>
          <w:szCs w:val="22"/>
          <w:lang w:val="en-US"/>
        </w:rPr>
        <w:instrText xml:space="preserve"> ADDIN ZOTERO_ITEM CSL_CITATION {"citationID":"UFb9KIaz","properties":{"formattedCitation":"(Phillips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0B2C99">
        <w:rPr>
          <w:rFonts w:asciiTheme="minorHAnsi" w:eastAsiaTheme="minorEastAsia" w:hAnsiTheme="minorHAnsi" w:cstheme="minorBidi"/>
          <w:b w:val="0"/>
          <w:sz w:val="22"/>
          <w:szCs w:val="22"/>
          <w:lang w:val="en-US"/>
        </w:rPr>
        <w:fldChar w:fldCharType="separate"/>
      </w:r>
      <w:r w:rsidRPr="000B2C99">
        <w:rPr>
          <w:rFonts w:asciiTheme="minorHAnsi" w:eastAsiaTheme="minorEastAsia" w:hAnsiTheme="minorHAnsi" w:cstheme="minorBidi"/>
          <w:b w:val="0"/>
          <w:sz w:val="22"/>
          <w:szCs w:val="22"/>
          <w:lang w:val="en-US"/>
        </w:rPr>
        <w:t>Phillips &amp; Sul (2007)</w:t>
      </w:r>
      <w:r w:rsidRPr="000B2C99">
        <w:rPr>
          <w:rFonts w:asciiTheme="minorHAnsi" w:eastAsiaTheme="minorEastAsia" w:hAnsiTheme="minorHAnsi" w:cstheme="minorBidi"/>
          <w:b w:val="0"/>
          <w:sz w:val="22"/>
          <w:szCs w:val="22"/>
          <w:lang w:val="en-US"/>
        </w:rPr>
        <w:fldChar w:fldCharType="end"/>
      </w:r>
      <w:r w:rsidRPr="000B2C99">
        <w:rPr>
          <w:rFonts w:asciiTheme="minorHAnsi" w:eastAsiaTheme="minorEastAsia" w:hAnsiTheme="minorHAnsi" w:cstheme="minorBidi"/>
          <w:b w:val="0"/>
          <w:sz w:val="22"/>
          <w:szCs w:val="22"/>
          <w:lang w:val="en-US"/>
        </w:rPr>
        <w:t xml:space="preserve"> suggest to set </w:t>
      </w:r>
      <m:oMath>
        <m:r>
          <m:rPr>
            <m:sty m:val="bi"/>
          </m:rPr>
          <w:rPr>
            <w:rFonts w:ascii="Cambria Math" w:eastAsiaTheme="minorEastAsia" w:hAnsi="Cambria Math" w:cstheme="minorBidi"/>
            <w:sz w:val="22"/>
            <w:szCs w:val="22"/>
            <w:lang w:val="en-US"/>
          </w:rPr>
          <m:t>r</m:t>
        </m:r>
        <m:r>
          <m:rPr>
            <m:sty m:val="b"/>
          </m:rPr>
          <w:rPr>
            <w:rFonts w:ascii="Cambria Math" w:eastAsiaTheme="minorEastAsia" w:hAnsi="Cambria Math" w:cstheme="minorBidi"/>
            <w:sz w:val="22"/>
            <w:szCs w:val="22"/>
            <w:lang w:val="en-US"/>
          </w:rPr>
          <m:t>=0.3</m:t>
        </m:r>
      </m:oMath>
      <w:r w:rsidRPr="000B2C99">
        <w:rPr>
          <w:rFonts w:asciiTheme="minorHAnsi" w:eastAsiaTheme="minorEastAsia" w:hAnsiTheme="minorHAnsi" w:cstheme="minorBidi"/>
          <w:b w:val="0"/>
          <w:sz w:val="22"/>
          <w:szCs w:val="22"/>
          <w:lang w:val="en-US"/>
        </w:rPr>
        <w:t xml:space="preserve"> when the sample is small or moderate </w:t>
      </w:r>
      <m:oMath>
        <m:r>
          <m:rPr>
            <m:sty m:val="bi"/>
          </m:rPr>
          <w:rPr>
            <w:rFonts w:ascii="Cambria Math" w:eastAsiaTheme="minorEastAsia" w:hAnsi="Cambria Math" w:cstheme="minorBidi"/>
            <w:sz w:val="22"/>
            <w:szCs w:val="22"/>
            <w:lang w:val="en-US"/>
          </w:rPr>
          <m:t>T</m:t>
        </m:r>
        <m:r>
          <m:rPr>
            <m:sty m:val="b"/>
          </m:rPr>
          <w:rPr>
            <w:rFonts w:ascii="Cambria Math" w:eastAsiaTheme="minorEastAsia" w:hAnsi="Cambria Math" w:cstheme="minorBidi"/>
            <w:sz w:val="22"/>
            <w:szCs w:val="22"/>
            <w:lang w:val="en-US"/>
          </w:rPr>
          <m:t>≤50</m:t>
        </m:r>
      </m:oMath>
      <w:r w:rsidRPr="000B2C99">
        <w:rPr>
          <w:rFonts w:asciiTheme="minorHAnsi" w:eastAsiaTheme="minorEastAsia" w:hAnsiTheme="minorHAnsi" w:cstheme="minorBidi"/>
          <w:b w:val="0"/>
          <w:sz w:val="22"/>
          <w:szCs w:val="22"/>
          <w:lang w:val="en-US"/>
        </w:rPr>
        <w:t>. A fairly conventional inferential procedure</w:t>
      </w:r>
      <w:r w:rsidRPr="000B2C99">
        <w:rPr>
          <w:rFonts w:asciiTheme="minorHAnsi" w:eastAsiaTheme="minorEastAsia" w:hAnsiTheme="minorHAnsi" w:cstheme="minorBidi" w:hint="eastAsia"/>
          <w:b w:val="0"/>
          <w:sz w:val="22"/>
          <w:szCs w:val="22"/>
          <w:lang w:val="en-US"/>
        </w:rPr>
        <w:t xml:space="preserve"> </w:t>
      </w:r>
      <w:r w:rsidRPr="000B2C99">
        <w:rPr>
          <w:rFonts w:asciiTheme="minorHAnsi" w:eastAsiaTheme="minorEastAsia" w:hAnsiTheme="minorHAnsi" w:cstheme="minorBidi"/>
          <w:b w:val="0"/>
          <w:sz w:val="22"/>
          <w:szCs w:val="22"/>
          <w:lang w:val="en-US"/>
        </w:rPr>
        <w:t>is also suggested for equation 8. To be more specific, a one-sided t test with</w:t>
      </w:r>
      <w:r w:rsidRPr="000B2C99">
        <w:rPr>
          <w:rFonts w:asciiTheme="minorHAnsi" w:eastAsiaTheme="minorEastAsia" w:hAnsiTheme="minorHAnsi" w:cstheme="minorBidi" w:hint="eastAsia"/>
          <w:b w:val="0"/>
          <w:sz w:val="22"/>
          <w:szCs w:val="22"/>
          <w:lang w:val="en-US"/>
        </w:rPr>
        <w:t xml:space="preserve"> </w:t>
      </w:r>
      <w:r w:rsidRPr="000B2C99">
        <w:rPr>
          <w:rFonts w:asciiTheme="minorHAnsi" w:eastAsiaTheme="minorEastAsia" w:hAnsiTheme="minorHAnsi" w:cstheme="minorBidi"/>
          <w:b w:val="0"/>
          <w:sz w:val="22"/>
          <w:szCs w:val="22"/>
          <w:lang w:val="en-US"/>
        </w:rPr>
        <w:t xml:space="preserve">heteroskedasticity-autocorrelation consistent (HAC) standard errors is used. In this setting, the null hypothesis of convergence is rejected when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&lt;-1.65</m:t>
        </m:r>
      </m:oMath>
      <w:r w:rsidRPr="000B2C99">
        <w:rPr>
          <w:rFonts w:asciiTheme="minorHAnsi" w:eastAsiaTheme="minorEastAsia" w:hAnsiTheme="minorHAnsi" w:cstheme="minorBidi"/>
          <w:b w:val="0"/>
          <w:sz w:val="22"/>
          <w:szCs w:val="22"/>
          <w:lang w:val="en-US"/>
        </w:rPr>
        <w:t xml:space="preserve">. The sign and magnitude of </w:t>
      </w:r>
      <m:oMath>
        <m:acc>
          <m:accPr>
            <m:ctrlPr>
              <w:rPr>
                <w:rFonts w:ascii="Cambria Math" w:eastAsiaTheme="minorEastAsia" w:hAnsi="Cambria Math" w:cstheme="minorBidi"/>
                <w:b w:val="0"/>
                <w:sz w:val="22"/>
                <w:szCs w:val="22"/>
                <w:lang w:val="en-US"/>
              </w:rPr>
            </m:ctrlPr>
          </m:accPr>
          <m:e>
            <m:r>
              <m:rPr>
                <m:sty m:val="bi"/>
              </m:rPr>
              <w:rPr>
                <w:rFonts w:ascii="Cambria Math" w:eastAsiaTheme="minorEastAsia" w:hAnsi="Cambria Math" w:cstheme="minorBidi"/>
                <w:sz w:val="22"/>
                <w:szCs w:val="22"/>
                <w:lang w:val="en-US"/>
              </w:rPr>
              <m:t>b</m:t>
            </m:r>
          </m:e>
        </m:acc>
      </m:oMath>
      <w:r w:rsidRPr="000B2C99">
        <w:rPr>
          <w:rFonts w:asciiTheme="minorHAnsi" w:eastAsiaTheme="minorEastAsia" w:hAnsiTheme="minorHAnsi" w:cstheme="minorBidi"/>
          <w:b w:val="0"/>
          <w:sz w:val="22"/>
          <w:szCs w:val="22"/>
          <w:lang w:val="en-US"/>
        </w:rPr>
        <w:t xml:space="preserve"> in equation 8 indicate different convergence patterns; when </w:t>
      </w:r>
      <m:oMath>
        <m:acc>
          <m:accPr>
            <m:ctrlPr>
              <w:rPr>
                <w:rFonts w:ascii="Cambria Math" w:eastAsiaTheme="minorEastAsia" w:hAnsi="Cambria Math" w:cstheme="minorBidi"/>
                <w:b w:val="0"/>
                <w:sz w:val="22"/>
                <w:szCs w:val="22"/>
                <w:lang w:val="en-US"/>
              </w:rPr>
            </m:ctrlPr>
          </m:accPr>
          <m:e>
            <m:r>
              <m:rPr>
                <m:sty m:val="bi"/>
              </m:rPr>
              <w:rPr>
                <w:rFonts w:ascii="Cambria Math" w:eastAsiaTheme="minorEastAsia" w:hAnsi="Cambria Math" w:cstheme="minorBidi"/>
                <w:sz w:val="22"/>
                <w:szCs w:val="22"/>
                <w:lang w:val="en-US"/>
              </w:rPr>
              <m:t>b</m:t>
            </m:r>
          </m:e>
        </m:acc>
      </m:oMath>
      <w:r w:rsidRPr="000B2C99">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&lt;</m:t>
        </m:r>
      </m:oMath>
      <w:r w:rsidRPr="000B2C99">
        <w:rPr>
          <w:rFonts w:asciiTheme="minorHAnsi" w:eastAsiaTheme="minorEastAsia" w:hAnsiTheme="minorHAnsi" w:cstheme="minorBidi"/>
          <w:b w:val="0"/>
          <w:sz w:val="22"/>
          <w:szCs w:val="22"/>
          <w:lang w:val="en-US"/>
        </w:rPr>
        <w:t xml:space="preserve"> 0, the model suggests divergence, when </w:t>
      </w:r>
      <m:oMath>
        <m:r>
          <m:rPr>
            <m:sty m:val="b"/>
          </m:rPr>
          <w:rPr>
            <w:rFonts w:ascii="Cambria Math" w:eastAsiaTheme="minorEastAsia" w:hAnsi="Cambria Math" w:cstheme="minorBidi"/>
            <w:sz w:val="22"/>
            <w:szCs w:val="22"/>
            <w:lang w:val="en-US"/>
          </w:rPr>
          <m:t>0≤</m:t>
        </m:r>
        <m:acc>
          <m:accPr>
            <m:ctrlPr>
              <w:rPr>
                <w:rFonts w:ascii="Cambria Math" w:eastAsiaTheme="minorEastAsia" w:hAnsi="Cambria Math" w:cstheme="minorBidi"/>
                <w:b w:val="0"/>
                <w:sz w:val="22"/>
                <w:szCs w:val="22"/>
                <w:lang w:val="en-US"/>
              </w:rPr>
            </m:ctrlPr>
          </m:accPr>
          <m:e>
            <m:r>
              <m:rPr>
                <m:sty m:val="bi"/>
              </m:rPr>
              <w:rPr>
                <w:rFonts w:ascii="Cambria Math" w:eastAsiaTheme="minorEastAsia" w:hAnsi="Cambria Math" w:cstheme="minorBidi"/>
                <w:sz w:val="22"/>
                <w:szCs w:val="22"/>
                <w:lang w:val="en-US"/>
              </w:rPr>
              <m:t>b</m:t>
            </m:r>
          </m:e>
        </m:acc>
        <m:r>
          <m:rPr>
            <m:sty m:val="b"/>
          </m:rPr>
          <w:rPr>
            <w:rFonts w:ascii="Cambria Math" w:eastAsiaTheme="minorEastAsia" w:hAnsi="Cambria Math" w:cstheme="minorBidi"/>
            <w:sz w:val="22"/>
            <w:szCs w:val="22"/>
            <w:lang w:val="en-US"/>
          </w:rPr>
          <m:t>≤2</m:t>
        </m:r>
      </m:oMath>
      <w:r w:rsidRPr="000B2C99">
        <w:rPr>
          <w:rFonts w:asciiTheme="minorHAnsi" w:eastAsiaTheme="minorEastAsia" w:hAnsiTheme="minorHAnsi" w:cstheme="minorBidi"/>
          <w:b w:val="0"/>
          <w:sz w:val="22"/>
          <w:szCs w:val="22"/>
          <w:lang w:val="en-US"/>
        </w:rPr>
        <w:t xml:space="preserve">, the model suggests convergence in growth rates (relative convergence), when </w:t>
      </w:r>
      <m:oMath>
        <m:acc>
          <m:accPr>
            <m:ctrlPr>
              <w:rPr>
                <w:rFonts w:ascii="Cambria Math" w:eastAsiaTheme="minorEastAsia" w:hAnsi="Cambria Math" w:cstheme="minorBidi"/>
                <w:b w:val="0"/>
                <w:sz w:val="22"/>
                <w:szCs w:val="22"/>
                <w:lang w:val="en-US"/>
              </w:rPr>
            </m:ctrlPr>
          </m:accPr>
          <m:e>
            <m:r>
              <m:rPr>
                <m:sty m:val="bi"/>
              </m:rPr>
              <w:rPr>
                <w:rFonts w:ascii="Cambria Math" w:eastAsiaTheme="minorEastAsia" w:hAnsi="Cambria Math" w:cstheme="minorBidi"/>
                <w:sz w:val="22"/>
                <w:szCs w:val="22"/>
                <w:lang w:val="en-US"/>
              </w:rPr>
              <m:t>b</m:t>
            </m:r>
          </m:e>
        </m:acc>
        <m:r>
          <m:rPr>
            <m:sty m:val="b"/>
          </m:rPr>
          <w:rPr>
            <w:rFonts w:ascii="Cambria Math" w:eastAsiaTheme="minorEastAsia" w:hAnsi="Cambria Math" w:cstheme="minorBidi"/>
            <w:sz w:val="22"/>
            <w:szCs w:val="22"/>
            <w:lang w:val="en-US"/>
          </w:rPr>
          <m:t>≥2</m:t>
        </m:r>
      </m:oMath>
      <w:r w:rsidRPr="000B2C99">
        <w:rPr>
          <w:rFonts w:asciiTheme="minorHAnsi" w:eastAsiaTheme="minorEastAsia" w:hAnsiTheme="minorHAnsi" w:cstheme="minorBidi"/>
          <w:b w:val="0"/>
          <w:sz w:val="22"/>
          <w:szCs w:val="22"/>
          <w:lang w:val="en-US"/>
        </w:rPr>
        <w:t xml:space="preserve">, the model suggests convergence in levels (absolute convergence). </w:t>
      </w:r>
    </w:p>
    <w:p w14:paraId="098BFEC0" w14:textId="77777777" w:rsidR="000B2C99" w:rsidRPr="000B2C99" w:rsidRDefault="000B2C99" w:rsidP="000B2C99">
      <w:pPr>
        <w:pStyle w:val="BodyText"/>
        <w:spacing w:line="360" w:lineRule="auto"/>
        <w:ind w:left="720"/>
        <w:jc w:val="both"/>
        <w:rPr>
          <w:rFonts w:asciiTheme="minorHAnsi" w:eastAsiaTheme="minorEastAsia" w:hAnsiTheme="minorHAnsi" w:cstheme="minorBidi"/>
          <w:b w:val="0"/>
          <w:sz w:val="22"/>
          <w:szCs w:val="22"/>
          <w:lang w:val="en-US"/>
        </w:rPr>
      </w:pPr>
    </w:p>
    <w:p w14:paraId="30A74F9B" w14:textId="5AB8C538" w:rsidR="00F06AAD" w:rsidRDefault="00F06AAD" w:rsidP="00F06AAD">
      <w:pPr>
        <w:pStyle w:val="ListParagraph"/>
        <w:numPr>
          <w:ilvl w:val="2"/>
          <w:numId w:val="2"/>
        </w:numPr>
        <w:ind w:left="1418" w:hanging="709"/>
        <w:rPr>
          <w:rFonts w:ascii="Bookman Old Style" w:eastAsia="Adobe Myungjo Std M" w:hAnsi="Bookman Old Style"/>
          <w:b/>
          <w:szCs w:val="18"/>
        </w:rPr>
      </w:pPr>
      <w:r w:rsidRPr="00F06AAD">
        <w:rPr>
          <w:rFonts w:ascii="Bookman Old Style" w:eastAsia="Adobe Myungjo Std M" w:hAnsi="Bookman Old Style"/>
          <w:b/>
          <w:szCs w:val="18"/>
        </w:rPr>
        <w:t>Identifying convergence clubs</w:t>
      </w:r>
    </w:p>
    <w:p w14:paraId="0EEED498" w14:textId="77777777" w:rsidR="000B2C99" w:rsidRDefault="000B2C99" w:rsidP="000B2C99">
      <w:pPr>
        <w:pStyle w:val="ListParagraph"/>
        <w:spacing w:line="360" w:lineRule="auto"/>
        <w:jc w:val="both"/>
      </w:pPr>
    </w:p>
    <w:p w14:paraId="442C0AA2" w14:textId="4679A59C" w:rsidR="000B2C99" w:rsidRDefault="000B2C99" w:rsidP="000B2C99">
      <w:pPr>
        <w:pStyle w:val="ListParagraph"/>
        <w:spacing w:line="360" w:lineRule="auto"/>
        <w:jc w:val="both"/>
      </w:pPr>
      <w:r w:rsidRPr="000B2C99">
        <w:t xml:space="preserve">Note that even though the null hypothesis of overall convergence in full sample is rejected, it does not necessarily mean that the convergence in the sub sample of the panel is not present. Indeed, perhaps the most appealing feature of the model of equation 8 is its ability to reveal the presence of multiple convergence clubs in sub-sample. In order to do that, </w:t>
      </w:r>
      <w:r w:rsidRPr="000B2C99">
        <w:fldChar w:fldCharType="begin"/>
      </w:r>
      <w:r w:rsidR="00D20F47">
        <w:instrText xml:space="preserve"> ADDIN ZOTERO_ITEM CSL_CITATION {"citationID":"C8bnz2LT","properties":{"formattedCitation":"(Peter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0B2C99">
        <w:fldChar w:fldCharType="separate"/>
      </w:r>
      <w:r w:rsidRPr="000B2C99">
        <w:t>Phillips and Sul (2009)</w:t>
      </w:r>
      <w:r w:rsidRPr="000B2C99">
        <w:fldChar w:fldCharType="end"/>
      </w:r>
      <w:r w:rsidRPr="000B2C99">
        <w:t xml:space="preserve"> suggest an innovative a data-driven algorithm, which can be summarized into four steps (for details see Appendix 1).</w:t>
      </w:r>
    </w:p>
    <w:p w14:paraId="43D9583B" w14:textId="77777777" w:rsidR="000B2C99" w:rsidRPr="000B2C99" w:rsidRDefault="000B2C99" w:rsidP="000B2C99">
      <w:pPr>
        <w:pStyle w:val="ListParagraph"/>
        <w:spacing w:line="360" w:lineRule="auto"/>
        <w:jc w:val="both"/>
      </w:pPr>
    </w:p>
    <w:p w14:paraId="718FD6AC" w14:textId="6E12FBFB" w:rsidR="000B2C99" w:rsidRPr="000B2C99" w:rsidRDefault="00F06AAD" w:rsidP="000B2C99">
      <w:pPr>
        <w:pStyle w:val="ListParagraph"/>
        <w:numPr>
          <w:ilvl w:val="2"/>
          <w:numId w:val="2"/>
        </w:numPr>
        <w:ind w:left="1418" w:hanging="709"/>
        <w:rPr>
          <w:rFonts w:ascii="Bookman Old Style" w:eastAsia="Adobe Myungjo Std M" w:hAnsi="Bookman Old Style"/>
          <w:b/>
          <w:szCs w:val="18"/>
        </w:rPr>
      </w:pPr>
      <w:r w:rsidRPr="00F06AAD">
        <w:rPr>
          <w:rFonts w:ascii="Bookman Old Style" w:eastAsia="Adobe Myungjo Std M" w:hAnsi="Bookman Old Style"/>
          <w:b/>
          <w:szCs w:val="18"/>
        </w:rPr>
        <w:t>Ordered logit model</w:t>
      </w:r>
    </w:p>
    <w:p w14:paraId="6F27D21D" w14:textId="27DF459C" w:rsidR="00B91CDA" w:rsidRDefault="00F04063" w:rsidP="00B91CDA">
      <w:pPr>
        <w:spacing w:after="0" w:line="360" w:lineRule="auto"/>
        <w:ind w:leftChars="321" w:left="706"/>
        <w:jc w:val="both"/>
      </w:pPr>
      <w:r w:rsidRPr="000B2C99">
        <w:t xml:space="preserve">It is clear that the convergence clubs method of </w:t>
      </w:r>
      <w:r w:rsidRPr="000B2C99">
        <w:fldChar w:fldCharType="begin"/>
      </w:r>
      <w:r w:rsidRPr="000B2C99">
        <w:instrText xml:space="preserve"> ADDIN ZOTERO_ITEM CSL_CITATION {"citationID":"TP7YCXGk","properties":{"formattedCitation":"(Phillips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0B2C99">
        <w:fldChar w:fldCharType="separate"/>
      </w:r>
      <w:r w:rsidRPr="000B2C99">
        <w:t>Phillips &amp; Sul (2007)</w:t>
      </w:r>
      <w:r w:rsidRPr="000B2C99">
        <w:fldChar w:fldCharType="end"/>
      </w:r>
      <w:r w:rsidRPr="000B2C99">
        <w:t xml:space="preserve"> estimates the transition paths of each region and then clusters the regions accordingly. Apart of its advantage to endogenously identify convergence clubs, however, this does not provide any information about driving factors of club formation. In fact, understanding the determinants of convergence club formation is important in particular from the policy point of view. For this reason, following </w:t>
      </w:r>
      <w:r w:rsidRPr="000B2C99">
        <w:fldChar w:fldCharType="begin"/>
      </w:r>
      <w:r w:rsidR="00D20F47">
        <w:instrText xml:space="preserve"> ADDIN ZOTERO_ITEM CSL_CITATION {"citationID":"aRHhbAY3","properties":{"formattedCitation":"(Bartkowska and Riedl 2012)","plainCitation":"(Bartkowska and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Pr="000B2C99">
        <w:fldChar w:fldCharType="separate"/>
      </w:r>
      <w:r w:rsidRPr="000B2C99">
        <w:t>Bartkowska and Riedl (2012)</w:t>
      </w:r>
      <w:r w:rsidRPr="000B2C99">
        <w:fldChar w:fldCharType="end"/>
      </w:r>
      <w:r w:rsidRPr="000B2C99">
        <w:t xml:space="preserve">, in this study we conduct ordered logit technique to examine the conditioning factors of convergence clubs formation. Since conditional convergence literatures suggest that structural characteristics play important roles in determining the long-run dynamics, we selected important </w:t>
      </w:r>
      <w:r w:rsidRPr="000B2C99">
        <w:lastRenderedPageBreak/>
        <w:t xml:space="preserve">variables based on theoretical backgrounds that represent province’s characteristics as explanatory variables in ordered logit estimation. </w:t>
      </w:r>
    </w:p>
    <w:p w14:paraId="3D89A114" w14:textId="4F4DC539" w:rsidR="00F04063" w:rsidRPr="000B2C99" w:rsidRDefault="00F04063" w:rsidP="00B91CDA">
      <w:pPr>
        <w:spacing w:after="0" w:line="360" w:lineRule="auto"/>
        <w:ind w:leftChars="327" w:left="719" w:firstLine="697"/>
        <w:jc w:val="both"/>
      </w:pPr>
      <w:r w:rsidRPr="000B2C99">
        <w:t xml:space="preserve">Following the general form of ordered logit model firstly introduced by </w:t>
      </w:r>
      <w:r w:rsidRPr="000B2C99">
        <w:fldChar w:fldCharType="begin"/>
      </w:r>
      <w:r w:rsidR="00D20F47">
        <w:instrText xml:space="preserve"> ADDIN ZOTERO_ITEM CSL_CITATION {"citationID":"N4NGfhPx","properties":{"formattedCitation":"(McKelvey and Zavoina 1975)","plainCitation":"(McKelvey and Zavoina 1975)","dontUpdate":true,"noteIndex":0},"citationItems":[{"id":186,"uris":["http://zotero.org/users/local/9Bu69DCL/items/8RL3W93Y"],"uri":["http://zotero.org/users/local/9Bu69DCL/items/8RL3W93Y"],"itemData":{"id":186,"type":"article-journal","container-title":"Journal of mathematical sociology","issue":"1","note":"Citation Key: mckelvey1975statistical\npublisher: Taylor &amp; Francis","page":"103–120","title":"A statistical model for the analysis of ordinal level dependent variables","volume":"4","author":[{"family":"McKelvey","given":"Richard D"},{"family":"Zavoina","given":"William"}],"issued":{"date-parts":[["1975"]]}}}],"schema":"https://github.com/citation-style-language/schema/raw/master/csl-citation.json"} </w:instrText>
      </w:r>
      <w:r w:rsidRPr="000B2C99">
        <w:fldChar w:fldCharType="separate"/>
      </w:r>
      <w:r w:rsidRPr="000B2C99">
        <w:t>McKelvey and Zavoina (1975)</w:t>
      </w:r>
      <w:r w:rsidRPr="000B2C99">
        <w:fldChar w:fldCharType="end"/>
      </w:r>
      <w:r w:rsidRPr="000B2C99">
        <w:t xml:space="preserve">, in this study each region is classified into one unique convergence club, denoted as </w:t>
      </w:r>
      <m:oMath>
        <m:r>
          <m:rPr>
            <m:sty m:val="bi"/>
          </m:rPr>
          <w:rPr>
            <w:rFonts w:ascii="Cambria Math" w:hAnsi="Cambria Math"/>
          </w:rPr>
          <m:t>c</m:t>
        </m:r>
      </m:oMath>
      <w:r w:rsidRPr="000B2C99">
        <w:t xml:space="preserve"> = 1, ..., </w:t>
      </w:r>
      <m:oMath>
        <m:r>
          <m:rPr>
            <m:sty m:val="bi"/>
          </m:rPr>
          <w:rPr>
            <w:rFonts w:ascii="Cambria Math" w:hAnsi="Cambria Math"/>
          </w:rPr>
          <m:t>c</m:t>
        </m:r>
      </m:oMath>
      <w:r w:rsidRPr="000B2C99">
        <w:t>, where</w:t>
      </w:r>
      <w:r w:rsidRPr="00B91CDA">
        <w:rPr>
          <w:i/>
          <w:iCs/>
        </w:rPr>
        <w:t xml:space="preserve"> </w:t>
      </w:r>
      <m:oMath>
        <m:r>
          <m:rPr>
            <m:sty m:val="bi"/>
          </m:rPr>
          <w:rPr>
            <w:rFonts w:ascii="Cambria Math" w:hAnsi="Cambria Math"/>
          </w:rPr>
          <m:t>c</m:t>
        </m:r>
      </m:oMath>
      <w:r w:rsidRPr="000B2C99">
        <w:t xml:space="preserve"> is the variable to be explained and a categorical form. In this study, </w:t>
      </w:r>
      <m:oMath>
        <m:r>
          <m:rPr>
            <m:sty m:val="bi"/>
          </m:rPr>
          <w:rPr>
            <w:rFonts w:ascii="Cambria Math" w:hAnsi="Cambria Math"/>
          </w:rPr>
          <m:t>c</m:t>
        </m:r>
      </m:oMath>
      <w:r w:rsidRPr="000B2C99">
        <w:t xml:space="preserve"> takes value from 1 to 4. Since the clubs identified by the method of </w:t>
      </w:r>
      <w:r w:rsidRPr="000B2C99">
        <w:fldChar w:fldCharType="begin"/>
      </w:r>
      <w:r w:rsidRPr="000B2C99">
        <w:instrText xml:space="preserve"> ADDIN ZOTERO_ITEM CSL_CITATION {"citationID":"sg0Wk90O","properties":{"formattedCitation":"(Phillips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0B2C99">
        <w:fldChar w:fldCharType="separate"/>
      </w:r>
      <w:r w:rsidRPr="000B2C99">
        <w:t>Phillips &amp; Sul (2007)</w:t>
      </w:r>
      <w:r w:rsidRPr="000B2C99">
        <w:fldChar w:fldCharType="end"/>
      </w:r>
      <w:r w:rsidRPr="000B2C99">
        <w:t xml:space="preserve"> can be ranked according to the long-run </w:t>
      </w:r>
      <w:r w:rsidR="00B91CDA">
        <w:t>wage</w:t>
      </w:r>
      <w:r w:rsidRPr="000B2C99">
        <w:t xml:space="preserve"> levels of regions in the respective club, this </w:t>
      </w:r>
      <w:r w:rsidRPr="00B91CDA">
        <w:rPr>
          <w:i/>
          <w:iCs/>
        </w:rPr>
        <w:t>c</w:t>
      </w:r>
      <w:r w:rsidRPr="000B2C99">
        <w:t xml:space="preserve"> variable can also be arranged as an ordinal variable. It is important to assume that the possibility of provinces clustered in a certain club is related to a latent continuous metric </w:t>
      </w:r>
      <m:oMath>
        <m:sSubSup>
          <m:sSubSupPr>
            <m:ctrlPr>
              <w:rPr>
                <w:rFonts w:ascii="Cambria Math" w:hAnsi="Cambria Math"/>
              </w:rPr>
            </m:ctrlPr>
          </m:sSubSupPr>
          <m:e>
            <m:r>
              <w:rPr>
                <w:rFonts w:ascii="Cambria Math" w:hAnsi="Cambria Math"/>
              </w:rPr>
              <m:t>y</m:t>
            </m:r>
          </m:e>
          <m:sub>
            <m:r>
              <w:rPr>
                <w:rFonts w:ascii="Cambria Math" w:hAnsi="Cambria Math"/>
              </w:rPr>
              <m:t>t</m:t>
            </m:r>
          </m:sub>
          <m:sup>
            <m:r>
              <m:rPr>
                <m:sty m:val="p"/>
              </m:rPr>
              <w:rPr>
                <w:rFonts w:ascii="Cambria Math" w:hAnsi="Cambria Math"/>
              </w:rPr>
              <m:t>*</m:t>
            </m:r>
          </m:sup>
        </m:sSubSup>
      </m:oMath>
      <w:r w:rsidRPr="000B2C99">
        <w:t xml:space="preserve"> that represents a province’s individual long-run inflation dynamics. Thus, the specification can be written as</w:t>
      </w:r>
    </w:p>
    <w:tbl>
      <w:tblPr>
        <w:tblStyle w:val="TableGrid"/>
        <w:tblW w:w="8653"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73"/>
      </w:tblGrid>
      <w:tr w:rsidR="00B91CDA" w:rsidRPr="0006325C" w14:paraId="4F1A0AE6" w14:textId="77777777" w:rsidTr="00B91CDA">
        <w:tc>
          <w:tcPr>
            <w:tcW w:w="8080" w:type="dxa"/>
          </w:tcPr>
          <w:p w14:paraId="2E690AB3" w14:textId="77777777" w:rsidR="00B91CDA" w:rsidRPr="0006325C" w:rsidRDefault="005E6069" w:rsidP="00224483">
            <w:pPr>
              <w:pStyle w:val="BodyText"/>
              <w:ind w:leftChars="915" w:left="2013" w:rightChars="959" w:right="2110"/>
              <w:rPr>
                <w:b w:val="0"/>
                <w:bCs/>
                <w:sz w:val="21"/>
                <w:szCs w:val="21"/>
              </w:rPr>
            </w:pPr>
            <m:oMathPara>
              <m:oMathParaPr>
                <m:jc m:val="center"/>
              </m:oMathParaPr>
              <m:oMath>
                <m:sSubSup>
                  <m:sSubSupPr>
                    <m:ctrlPr>
                      <w:rPr>
                        <w:rFonts w:ascii="Cambria Math" w:hAnsi="Cambria Math"/>
                        <w:b w:val="0"/>
                        <w:bCs/>
                        <w:sz w:val="21"/>
                        <w:szCs w:val="21"/>
                      </w:rPr>
                    </m:ctrlPr>
                  </m:sSubSupPr>
                  <m:e>
                    <m:r>
                      <m:rPr>
                        <m:sty m:val="bi"/>
                      </m:rPr>
                      <w:rPr>
                        <w:rFonts w:ascii="Cambria Math" w:hAnsi="Cambria Math"/>
                        <w:sz w:val="21"/>
                        <w:szCs w:val="21"/>
                      </w:rPr>
                      <m:t>y</m:t>
                    </m:r>
                  </m:e>
                  <m:sub>
                    <m:r>
                      <m:rPr>
                        <m:sty m:val="bi"/>
                      </m:rPr>
                      <w:rPr>
                        <w:rFonts w:ascii="Cambria Math" w:hAnsi="Cambria Math"/>
                        <w:sz w:val="21"/>
                        <w:szCs w:val="21"/>
                      </w:rPr>
                      <m:t>t</m:t>
                    </m:r>
                  </m:sub>
                  <m:sup>
                    <m:r>
                      <m:rPr>
                        <m:sty m:val="bi"/>
                      </m:rPr>
                      <w:rPr>
                        <w:rFonts w:ascii="Cambria Math" w:hAnsi="Cambria Math"/>
                        <w:sz w:val="21"/>
                        <w:szCs w:val="21"/>
                      </w:rPr>
                      <m:t>*</m:t>
                    </m:r>
                  </m:sup>
                </m:sSubSup>
                <m:r>
                  <m:rPr>
                    <m:sty m:val="bi"/>
                  </m:rPr>
                  <w:rPr>
                    <w:rFonts w:ascii="Cambria Math" w:hAnsi="Cambria Math"/>
                    <w:sz w:val="21"/>
                    <w:szCs w:val="21"/>
                  </w:rPr>
                  <m:t>=</m:t>
                </m:r>
                <m:sSub>
                  <m:sSubPr>
                    <m:ctrlPr>
                      <w:rPr>
                        <w:rFonts w:ascii="Cambria Math" w:hAnsi="Cambria Math"/>
                        <w:b w:val="0"/>
                        <w:bCs/>
                        <w:sz w:val="21"/>
                        <w:szCs w:val="21"/>
                      </w:rPr>
                    </m:ctrlPr>
                  </m:sSubPr>
                  <m:e>
                    <m:r>
                      <m:rPr>
                        <m:sty m:val="bi"/>
                      </m:rPr>
                      <w:rPr>
                        <w:rFonts w:ascii="Cambria Math" w:hAnsi="Cambria Math"/>
                        <w:sz w:val="21"/>
                        <w:szCs w:val="21"/>
                      </w:rPr>
                      <m:t>X</m:t>
                    </m:r>
                  </m:e>
                  <m:sub>
                    <m:r>
                      <m:rPr>
                        <m:sty m:val="bi"/>
                      </m:rPr>
                      <w:rPr>
                        <w:rFonts w:ascii="Cambria Math" w:hAnsi="Cambria Math"/>
                        <w:sz w:val="21"/>
                        <w:szCs w:val="21"/>
                      </w:rPr>
                      <m:t>i</m:t>
                    </m:r>
                  </m:sub>
                </m:sSub>
                <m:r>
                  <m:rPr>
                    <m:sty m:val="bi"/>
                  </m:rPr>
                  <w:rPr>
                    <w:rFonts w:ascii="Cambria Math" w:hAnsi="Cambria Math"/>
                    <w:sz w:val="21"/>
                    <w:szCs w:val="21"/>
                  </w:rPr>
                  <m:t>β+</m:t>
                </m:r>
                <m:sSub>
                  <m:sSubPr>
                    <m:ctrlPr>
                      <w:rPr>
                        <w:rFonts w:ascii="Cambria Math" w:hAnsi="Cambria Math"/>
                        <w:b w:val="0"/>
                        <w:bCs/>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oMath>
            </m:oMathPara>
          </w:p>
        </w:tc>
        <w:tc>
          <w:tcPr>
            <w:tcW w:w="573" w:type="dxa"/>
          </w:tcPr>
          <w:p w14:paraId="0ECC4FB2" w14:textId="77777777" w:rsidR="00B91CDA" w:rsidRPr="0006325C" w:rsidRDefault="00B91CDA" w:rsidP="00971B36">
            <w:pPr>
              <w:pStyle w:val="BodyText"/>
              <w:tabs>
                <w:tab w:val="left" w:pos="0"/>
              </w:tabs>
              <w:ind w:rightChars="12" w:right="26"/>
              <w:jc w:val="right"/>
              <w:rPr>
                <w:b w:val="0"/>
                <w:bCs/>
                <w:sz w:val="21"/>
                <w:szCs w:val="21"/>
              </w:rPr>
            </w:pPr>
            <w:r w:rsidRPr="0006325C">
              <w:rPr>
                <w:rFonts w:ascii="Cambria Math" w:hAnsi="Cambria Math"/>
                <w:b w:val="0"/>
                <w:bCs/>
                <w:sz w:val="21"/>
                <w:szCs w:val="21"/>
              </w:rPr>
              <w:t>(9)</w:t>
            </w:r>
          </w:p>
        </w:tc>
      </w:tr>
    </w:tbl>
    <w:p w14:paraId="63F55188" w14:textId="77777777" w:rsidR="00F04063" w:rsidRDefault="00F04063" w:rsidP="00F04063">
      <w:pPr>
        <w:pStyle w:val="BodyText"/>
        <w:ind w:leftChars="322" w:left="709" w:hanging="1"/>
        <w:jc w:val="both"/>
      </w:pPr>
    </w:p>
    <w:p w14:paraId="35D1264F" w14:textId="77777777" w:rsidR="00F04063" w:rsidRPr="00B91CDA" w:rsidRDefault="00F04063" w:rsidP="00B91CDA">
      <w:pPr>
        <w:pStyle w:val="BodyText"/>
        <w:spacing w:line="360" w:lineRule="auto"/>
        <w:ind w:leftChars="322" w:left="708"/>
        <w:jc w:val="both"/>
        <w:rPr>
          <w:rFonts w:asciiTheme="minorHAnsi" w:eastAsiaTheme="minorEastAsia" w:hAnsiTheme="minorHAnsi" w:cstheme="minorBidi"/>
          <w:b w:val="0"/>
          <w:sz w:val="22"/>
          <w:szCs w:val="22"/>
          <w:lang w:val="en-US"/>
        </w:rPr>
      </w:pPr>
      <w:r w:rsidRPr="00B91CDA">
        <w:rPr>
          <w:rFonts w:asciiTheme="minorHAnsi" w:eastAsiaTheme="minorEastAsia" w:hAnsiTheme="minorHAnsi" w:cstheme="minorBidi"/>
          <w:b w:val="0"/>
          <w:sz w:val="22"/>
          <w:szCs w:val="22"/>
          <w:lang w:val="en-US"/>
        </w:rPr>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X</m:t>
            </m:r>
          </m:e>
          <m:sub>
            <m:r>
              <m:rPr>
                <m:sty m:val="bi"/>
              </m:rPr>
              <w:rPr>
                <w:rFonts w:ascii="Cambria Math" w:eastAsiaTheme="minorEastAsia" w:hAnsi="Cambria Math" w:cstheme="minorBidi"/>
                <w:sz w:val="22"/>
                <w:szCs w:val="22"/>
                <w:lang w:val="en-US"/>
              </w:rPr>
              <m:t>i</m:t>
            </m:r>
          </m:sub>
        </m:sSub>
      </m:oMath>
      <w:r w:rsidRPr="00B91CDA">
        <w:rPr>
          <w:rFonts w:asciiTheme="minorHAnsi" w:eastAsiaTheme="minorEastAsia" w:hAnsiTheme="minorHAnsi" w:cstheme="minorBidi"/>
          <w:b w:val="0"/>
          <w:sz w:val="22"/>
          <w:szCs w:val="22"/>
          <w:lang w:val="en-US"/>
        </w:rPr>
        <w:t xml:space="preserve"> consist of explanatory variables and a constant term, with </w:t>
      </w:r>
      <m:oMath>
        <m:r>
          <m:rPr>
            <m:sty m:val="bi"/>
          </m:rPr>
          <w:rPr>
            <w:rFonts w:ascii="Cambria Math" w:eastAsiaTheme="minorEastAsia" w:hAnsi="Cambria Math" w:cstheme="minorBidi"/>
            <w:sz w:val="22"/>
            <w:szCs w:val="22"/>
            <w:lang w:val="en-US"/>
          </w:rPr>
          <m:t>i</m:t>
        </m:r>
        <m:r>
          <m:rPr>
            <m:sty m:val="b"/>
          </m:rPr>
          <w:rPr>
            <w:rFonts w:ascii="Cambria Math" w:eastAsiaTheme="minorEastAsia" w:hAnsi="Cambria Math" w:cstheme="minorBidi"/>
            <w:sz w:val="22"/>
            <w:szCs w:val="22"/>
            <w:lang w:val="en-US"/>
          </w:rPr>
          <m:t>=1,…,34,</m:t>
        </m:r>
      </m:oMath>
      <w:r w:rsidRPr="00B91CDA">
        <w:rPr>
          <w:rFonts w:asciiTheme="minorHAnsi" w:eastAsiaTheme="minorEastAsia" w:hAnsiTheme="minorHAnsi" w:cstheme="minorBidi"/>
          <w:b w:val="0"/>
          <w:sz w:val="22"/>
          <w:szCs w:val="22"/>
          <w:lang w:val="en-US"/>
        </w:rPr>
        <w:t xml:space="preserve"> indicating the province,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ϵ</m:t>
            </m:r>
          </m:e>
          <m:sub>
            <m:r>
              <m:rPr>
                <m:sty m:val="bi"/>
              </m:rPr>
              <w:rPr>
                <w:rFonts w:ascii="Cambria Math" w:eastAsiaTheme="minorEastAsia" w:hAnsi="Cambria Math" w:cstheme="minorBidi"/>
                <w:sz w:val="22"/>
                <w:szCs w:val="22"/>
                <w:lang w:val="en-US"/>
              </w:rPr>
              <m:t>t</m:t>
            </m:r>
          </m:sub>
        </m:sSub>
      </m:oMath>
      <w:r w:rsidRPr="00B91CDA">
        <w:rPr>
          <w:rFonts w:asciiTheme="minorHAnsi" w:eastAsiaTheme="minorEastAsia" w:hAnsiTheme="minorHAnsi" w:cstheme="minorBidi"/>
          <w:b w:val="0"/>
          <w:sz w:val="22"/>
          <w:szCs w:val="22"/>
          <w:lang w:val="en-US"/>
        </w:rPr>
        <w:t xml:space="preserve"> have a logistic distribution. To assess the unobserved dependent variable </w:t>
      </w:r>
      <m:oMath>
        <m:sSubSup>
          <m:sSubSupPr>
            <m:ctrlPr>
              <w:rPr>
                <w:rFonts w:ascii="Cambria Math" w:eastAsiaTheme="minorEastAsia" w:hAnsi="Cambria Math" w:cstheme="minorBidi"/>
                <w:b w:val="0"/>
                <w:sz w:val="22"/>
                <w:szCs w:val="22"/>
                <w:lang w:val="en-US"/>
              </w:rPr>
            </m:ctrlPr>
          </m:sSubSup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t</m:t>
            </m:r>
          </m:sub>
          <m:sup>
            <m:r>
              <m:rPr>
                <m:sty m:val="b"/>
              </m:rPr>
              <w:rPr>
                <w:rFonts w:ascii="Cambria Math" w:eastAsiaTheme="minorEastAsia" w:hAnsi="Cambria Math" w:cstheme="minorBidi"/>
                <w:sz w:val="22"/>
                <w:szCs w:val="22"/>
                <w:lang w:val="en-US"/>
              </w:rPr>
              <m:t>*</m:t>
            </m:r>
          </m:sup>
        </m:sSubSup>
      </m:oMath>
      <w:r w:rsidRPr="00B91CDA">
        <w:rPr>
          <w:rFonts w:asciiTheme="minorHAnsi" w:eastAsiaTheme="minorEastAsia" w:hAnsiTheme="minorHAnsi" w:cstheme="minorBidi"/>
          <w:b w:val="0"/>
          <w:sz w:val="22"/>
          <w:szCs w:val="22"/>
          <w:lang w:val="en-US"/>
        </w:rPr>
        <w:t xml:space="preserve">, the model is estimated with maximum likelihood (ML) techniques where the probabilities of observing values of </w:t>
      </w:r>
      <m:oMath>
        <m:r>
          <m:rPr>
            <m:sty m:val="bi"/>
          </m:rPr>
          <w:rPr>
            <w:rFonts w:ascii="Cambria Math" w:eastAsiaTheme="minorEastAsia" w:hAnsi="Cambria Math" w:cstheme="minorBidi"/>
            <w:sz w:val="22"/>
            <w:szCs w:val="22"/>
            <w:lang w:val="en-US"/>
          </w:rPr>
          <m:t>c</m:t>
        </m:r>
      </m:oMath>
      <w:r w:rsidRPr="00B91CDA">
        <w:rPr>
          <w:rFonts w:asciiTheme="minorHAnsi" w:eastAsiaTheme="minorEastAsia" w:hAnsiTheme="minorHAnsi" w:cstheme="minorBidi"/>
          <w:b w:val="0"/>
          <w:sz w:val="22"/>
          <w:szCs w:val="22"/>
          <w:lang w:val="en-US"/>
        </w:rPr>
        <w:t xml:space="preserve"> is computed.</w:t>
      </w:r>
    </w:p>
    <w:p w14:paraId="33B76E94" w14:textId="77777777" w:rsidR="00F04063" w:rsidRPr="00B91CDA" w:rsidRDefault="00F04063" w:rsidP="00B91CDA">
      <w:pPr>
        <w:pStyle w:val="BodyText"/>
        <w:spacing w:line="360" w:lineRule="auto"/>
        <w:ind w:leftChars="327" w:left="719" w:firstLine="699"/>
        <w:jc w:val="both"/>
        <w:rPr>
          <w:rFonts w:asciiTheme="minorHAnsi" w:eastAsiaTheme="minorEastAsia" w:hAnsiTheme="minorHAnsi" w:cstheme="minorBidi"/>
          <w:b w:val="0"/>
          <w:sz w:val="22"/>
          <w:szCs w:val="22"/>
          <w:lang w:val="en-US"/>
        </w:rPr>
      </w:pPr>
      <w:r w:rsidRPr="00B91CDA">
        <w:rPr>
          <w:rFonts w:asciiTheme="minorHAnsi" w:eastAsiaTheme="minorEastAsia" w:hAnsiTheme="minorHAnsi" w:cstheme="minorBidi"/>
          <w:b w:val="0"/>
          <w:sz w:val="22"/>
          <w:szCs w:val="22"/>
          <w:lang w:val="en-US"/>
        </w:rPr>
        <w:t xml:space="preserve">While the sign of </w:t>
      </w:r>
      <m:oMath>
        <m:r>
          <m:rPr>
            <m:sty m:val="bi"/>
          </m:rPr>
          <w:rPr>
            <w:rFonts w:ascii="Cambria Math" w:eastAsiaTheme="minorEastAsia" w:hAnsi="Cambria Math" w:cstheme="minorBidi"/>
            <w:sz w:val="22"/>
            <w:szCs w:val="22"/>
            <w:lang w:val="en-US"/>
          </w:rPr>
          <m:t>β</m:t>
        </m:r>
      </m:oMath>
      <w:r w:rsidRPr="00B91CDA">
        <w:rPr>
          <w:rFonts w:asciiTheme="minorHAnsi" w:eastAsiaTheme="minorEastAsia" w:hAnsiTheme="minorHAnsi" w:cstheme="minorBidi"/>
          <w:b w:val="0"/>
          <w:sz w:val="22"/>
          <w:szCs w:val="22"/>
          <w:lang w:val="en-US"/>
        </w:rPr>
        <w:t xml:space="preserve"> coefficients is useful for explaining the directional effect of determinants variables to club membership, the magnitude does not provide any economic rationals. Thus, to further quantify the directional information, as suggested in related literature, we record marginal effects of a unit change in the mean of a single explanatory variable on predicted probability, with the mean of other variables held fixed.</w:t>
      </w:r>
    </w:p>
    <w:p w14:paraId="5E024C8E" w14:textId="77777777" w:rsidR="00F04063" w:rsidRPr="00F04063" w:rsidRDefault="00F04063" w:rsidP="00F04063">
      <w:pPr>
        <w:ind w:left="720"/>
        <w:rPr>
          <w:rFonts w:ascii="Bookman Old Style" w:eastAsia="Adobe Myungjo Std M" w:hAnsi="Bookman Old Style"/>
          <w:b/>
          <w:szCs w:val="18"/>
          <w:lang w:val="en-GB"/>
        </w:rPr>
      </w:pPr>
    </w:p>
    <w:p w14:paraId="7E2803A4" w14:textId="0E2A49D3" w:rsidR="00F04063" w:rsidRPr="00F04063" w:rsidRDefault="00F04063" w:rsidP="00F04063">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hint="eastAsia"/>
          <w:b/>
          <w:szCs w:val="18"/>
        </w:rPr>
        <w:t>D</w:t>
      </w:r>
      <w:r>
        <w:rPr>
          <w:rFonts w:ascii="Bookman Old Style" w:eastAsia="Adobe Myungjo Std M" w:hAnsi="Bookman Old Style"/>
          <w:b/>
          <w:szCs w:val="18"/>
        </w:rPr>
        <w:t>ata</w:t>
      </w:r>
    </w:p>
    <w:p w14:paraId="491631AE" w14:textId="77777777" w:rsidR="00186716" w:rsidRDefault="00186716" w:rsidP="00186716">
      <w:pPr>
        <w:pStyle w:val="ListParagraph"/>
        <w:spacing w:line="360" w:lineRule="auto"/>
        <w:jc w:val="both"/>
      </w:pPr>
    </w:p>
    <w:p w14:paraId="3D196452" w14:textId="29A4C62B" w:rsidR="00511618" w:rsidRDefault="00186716" w:rsidP="00186716">
      <w:pPr>
        <w:pStyle w:val="ListParagraph"/>
        <w:spacing w:line="360" w:lineRule="auto"/>
        <w:jc w:val="both"/>
      </w:pPr>
      <w:r>
        <w:t>As a proxy of regional wage, w</w:t>
      </w:r>
      <w:r w:rsidRPr="00DC621B">
        <w:t>e use</w:t>
      </w:r>
      <w:r>
        <w:t xml:space="preserve"> provincial average of net nominal income per month (in thousand rupiahs) of employee and laborer data </w:t>
      </w:r>
      <w:r w:rsidRPr="00DC621B">
        <w:t>published by Indonesian Central Bureau of Statistics.</w:t>
      </w:r>
      <w:r>
        <w:t xml:space="preserve"> The range of our data is from January 200</w:t>
      </w:r>
      <w:r w:rsidR="00B575BE">
        <w:t>8</w:t>
      </w:r>
      <w:r>
        <w:t xml:space="preserve"> to December 2020. The original data is in nominal terms. We then deflated the data using provincial Consumer Price Index (CPI), 2005=100. </w:t>
      </w:r>
      <w:r w:rsidRPr="00186716">
        <w:t xml:space="preserve">The summary statistics of </w:t>
      </w:r>
      <w:r>
        <w:t xml:space="preserve">our data </w:t>
      </w:r>
      <w:r w:rsidRPr="00186716">
        <w:t>is provided in Appendix (Table A1).</w:t>
      </w:r>
    </w:p>
    <w:p w14:paraId="7EF4D2EB" w14:textId="02AB5938" w:rsidR="00511618" w:rsidRPr="00766F05" w:rsidRDefault="00F13372" w:rsidP="00766F05">
      <w:pPr>
        <w:pStyle w:val="ListParagraph"/>
        <w:spacing w:line="360" w:lineRule="auto"/>
        <w:jc w:val="both"/>
      </w:pPr>
      <w:r>
        <w:tab/>
        <w:t xml:space="preserve">  </w:t>
      </w:r>
    </w:p>
    <w:p w14:paraId="7A6E88CB" w14:textId="77777777" w:rsidR="00B62DAC" w:rsidRDefault="00B62DAC" w:rsidP="00EB13DE">
      <w:pPr>
        <w:pStyle w:val="ListParagraph"/>
        <w:numPr>
          <w:ilvl w:val="0"/>
          <w:numId w:val="2"/>
        </w:numPr>
        <w:rPr>
          <w:rFonts w:ascii="Bookman Old Style" w:eastAsia="Adobe Myungjo Std M" w:hAnsi="Bookman Old Style"/>
          <w:b/>
          <w:szCs w:val="18"/>
        </w:rPr>
        <w:sectPr w:rsidR="00B62DAC">
          <w:footerReference w:type="default" r:id="rId8"/>
          <w:pgSz w:w="12240" w:h="15840"/>
          <w:pgMar w:top="1440" w:right="1440" w:bottom="1440" w:left="1440" w:header="720" w:footer="720" w:gutter="0"/>
          <w:cols w:space="720"/>
          <w:docGrid w:linePitch="360"/>
        </w:sectPr>
      </w:pPr>
    </w:p>
    <w:p w14:paraId="46A1EDE7" w14:textId="067610C8" w:rsidR="00511618" w:rsidRDefault="00511618" w:rsidP="00EB13DE">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lastRenderedPageBreak/>
        <w:t>R</w:t>
      </w:r>
      <w:r>
        <w:rPr>
          <w:rFonts w:ascii="Bookman Old Style" w:eastAsia="Adobe Myungjo Std M" w:hAnsi="Bookman Old Style"/>
          <w:b/>
          <w:szCs w:val="18"/>
        </w:rPr>
        <w:t>esults and discussion</w:t>
      </w:r>
    </w:p>
    <w:p w14:paraId="5A1613BA" w14:textId="71513548"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Regional wage disparities across Indonesian provinces</w:t>
      </w:r>
    </w:p>
    <w:p w14:paraId="5375FEB2" w14:textId="70B8D019" w:rsidR="00766F05" w:rsidRDefault="00766F05" w:rsidP="00766F05">
      <w:pPr>
        <w:pStyle w:val="ListParagraph"/>
        <w:ind w:left="1440"/>
        <w:rPr>
          <w:rFonts w:ascii="Bookman Old Style" w:eastAsia="Adobe Myungjo Std M" w:hAnsi="Bookman Old Style"/>
          <w:b/>
          <w:szCs w:val="18"/>
        </w:rPr>
      </w:pPr>
    </w:p>
    <w:p w14:paraId="1988FF3D" w14:textId="37B47385" w:rsidR="00766F05" w:rsidRDefault="00766F05" w:rsidP="00766F05">
      <w:pPr>
        <w:pStyle w:val="ListParagraph"/>
        <w:spacing w:line="360" w:lineRule="auto"/>
        <w:jc w:val="both"/>
      </w:pPr>
      <w:r>
        <w:t>Before implementing the club convergence test, it is important to document the pattern of dispersion of wage across provinces over time. As reported in Fig 1, the regional wage dispersion decreased from 2008 to 2013 but increased significantly in 2014 and remained high thereafter. Overall, the regional wage dispersion ended up higher in the last period compared to the initial period.</w:t>
      </w:r>
    </w:p>
    <w:p w14:paraId="20C07D2D" w14:textId="24318650" w:rsidR="00766F05" w:rsidRDefault="00766F05" w:rsidP="00766F05">
      <w:pPr>
        <w:pStyle w:val="ListParagraph"/>
        <w:spacing w:line="360" w:lineRule="auto"/>
        <w:jc w:val="center"/>
      </w:pPr>
      <w:r>
        <w:rPr>
          <w:noProof/>
        </w:rPr>
        <w:drawing>
          <wp:inline distT="0" distB="0" distL="0" distR="0" wp14:anchorId="34B6F95B" wp14:editId="6A88F258">
            <wp:extent cx="3816350" cy="2171700"/>
            <wp:effectExtent l="0" t="0" r="12700" b="0"/>
            <wp:docPr id="3" name="Chart 3">
              <a:extLst xmlns:a="http://schemas.openxmlformats.org/drawingml/2006/main">
                <a:ext uri="{FF2B5EF4-FFF2-40B4-BE49-F238E27FC236}">
                  <a16:creationId xmlns:a16="http://schemas.microsoft.com/office/drawing/2014/main" id="{9C20463D-776A-427C-9177-A192D3973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6858DB" w14:textId="77777777" w:rsidR="00766F05" w:rsidRPr="00186716" w:rsidRDefault="00766F05" w:rsidP="00766F05">
      <w:pPr>
        <w:pStyle w:val="ListParagraph"/>
        <w:spacing w:line="360" w:lineRule="auto"/>
        <w:jc w:val="center"/>
      </w:pPr>
      <w:r>
        <w:t>Fig. 1. Dispersion of provincial real wage, 2008-2020</w:t>
      </w:r>
    </w:p>
    <w:p w14:paraId="387C5CBA" w14:textId="77777777" w:rsidR="00766F05" w:rsidRDefault="00766F05" w:rsidP="00766F05">
      <w:pPr>
        <w:pStyle w:val="ListParagraph"/>
        <w:spacing w:line="360" w:lineRule="auto"/>
        <w:ind w:firstLine="720"/>
        <w:jc w:val="both"/>
      </w:pPr>
    </w:p>
    <w:p w14:paraId="022FEA37" w14:textId="1B90E78F" w:rsidR="00766F05" w:rsidRDefault="00766F05" w:rsidP="00766F05">
      <w:pPr>
        <w:pStyle w:val="ListParagraph"/>
        <w:spacing w:line="360" w:lineRule="auto"/>
        <w:ind w:firstLine="720"/>
        <w:jc w:val="both"/>
      </w:pPr>
      <w:r>
        <w:t>We also illustrate how regional wage disparities across provinces in Indonesia have evolved over time. Fig 2 shows how the quantiles of the distribution have evolved over time. indicates It indicates that when we evaluate the regional dynamics of wage, regional disparities have been increasing over time, similar to what is shown on Fig 1. Increasing disparities are evident not only when we measure the gap between the quantile 95 and quantile 5, but also when we measure the gap between the quantile 75 and 25. It is also worth noting the stable and large different between the quantile 95 and the rest quantiles. This implies initial conclusion of lack of convergence in regional wage across Indonesian provinces. However, this conclusion will be tested within formal econometric framework.</w:t>
      </w:r>
    </w:p>
    <w:p w14:paraId="58B65890" w14:textId="77777777" w:rsidR="00766F05" w:rsidRDefault="00766F05" w:rsidP="00766F05">
      <w:pPr>
        <w:pStyle w:val="ListParagraph"/>
        <w:ind w:rightChars="1" w:right="2"/>
        <w:jc w:val="center"/>
        <w:rPr>
          <w:rFonts w:ascii="Bookman Old Style" w:eastAsia="Adobe Myungjo Std M" w:hAnsi="Bookman Old Style"/>
          <w:b/>
          <w:szCs w:val="18"/>
        </w:rPr>
      </w:pPr>
      <w:r>
        <w:rPr>
          <w:noProof/>
        </w:rPr>
        <w:lastRenderedPageBreak/>
        <w:drawing>
          <wp:inline distT="0" distB="0" distL="0" distR="0" wp14:anchorId="45A08A51" wp14:editId="3AE712CB">
            <wp:extent cx="4203700" cy="2335389"/>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0929" cy="2339405"/>
                    </a:xfrm>
                    <a:prstGeom prst="rect">
                      <a:avLst/>
                    </a:prstGeom>
                    <a:noFill/>
                    <a:ln>
                      <a:noFill/>
                    </a:ln>
                  </pic:spPr>
                </pic:pic>
              </a:graphicData>
            </a:graphic>
          </wp:inline>
        </w:drawing>
      </w:r>
    </w:p>
    <w:p w14:paraId="2235CBAC" w14:textId="7001BC3D" w:rsidR="00766F05" w:rsidRDefault="00766F05" w:rsidP="00E906E5">
      <w:pPr>
        <w:pStyle w:val="ListParagraph"/>
        <w:spacing w:line="360" w:lineRule="auto"/>
        <w:jc w:val="center"/>
      </w:pPr>
      <w:r>
        <w:t>Fig. 2. Dispersion of provincial real wage, 2008-2020</w:t>
      </w:r>
    </w:p>
    <w:p w14:paraId="0D9F5864" w14:textId="77777777" w:rsidR="00E906E5" w:rsidRPr="00E906E5" w:rsidRDefault="00E906E5" w:rsidP="00E906E5">
      <w:pPr>
        <w:pStyle w:val="ListParagraph"/>
        <w:spacing w:line="360" w:lineRule="auto"/>
        <w:jc w:val="center"/>
      </w:pPr>
    </w:p>
    <w:p w14:paraId="112D609C" w14:textId="125C9839"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Testing for c</w:t>
      </w:r>
      <w:r w:rsidRPr="00766F05">
        <w:rPr>
          <w:rFonts w:ascii="Bookman Old Style" w:eastAsia="Adobe Myungjo Std M" w:hAnsi="Bookman Old Style"/>
          <w:b/>
          <w:szCs w:val="18"/>
        </w:rPr>
        <w:t>onvergence clubs</w:t>
      </w:r>
      <w:r>
        <w:rPr>
          <w:rFonts w:ascii="Bookman Old Style" w:eastAsia="Adobe Myungjo Std M" w:hAnsi="Bookman Old Style"/>
          <w:b/>
          <w:szCs w:val="18"/>
        </w:rPr>
        <w:t xml:space="preserve"> </w:t>
      </w:r>
    </w:p>
    <w:p w14:paraId="0548785C" w14:textId="483E16FF" w:rsidR="00766F05" w:rsidRDefault="00766F05" w:rsidP="00766F05">
      <w:pPr>
        <w:pStyle w:val="ListParagraph"/>
        <w:ind w:left="1440"/>
        <w:rPr>
          <w:rFonts w:ascii="Bookman Old Style" w:eastAsia="Adobe Myungjo Std M" w:hAnsi="Bookman Old Style"/>
          <w:b/>
          <w:szCs w:val="18"/>
        </w:rPr>
      </w:pPr>
    </w:p>
    <w:p w14:paraId="5BEE446F" w14:textId="5D9DCECC" w:rsidR="00C05620" w:rsidRDefault="00B575BE" w:rsidP="00C05620">
      <w:pPr>
        <w:pStyle w:val="ListParagraph"/>
        <w:spacing w:line="360" w:lineRule="auto"/>
        <w:ind w:left="709"/>
        <w:jc w:val="both"/>
      </w:pPr>
      <w:r>
        <w:t>We first applied log t regression test on the wage of 34 Indonesian provinces over the period of 2008:01 to 2020:12. The results show the rejection of null hypothesis of overall convergence at the 5% significant level (</w:t>
      </w:r>
      <m:oMath>
        <m:acc>
          <m:accPr>
            <m:ctrlPr>
              <w:rPr>
                <w:rFonts w:ascii="Cambria Math" w:hAnsi="Cambria Math"/>
              </w:rPr>
            </m:ctrlPr>
          </m:accPr>
          <m:e>
            <m:r>
              <m:rPr>
                <m:sty m:val="bi"/>
              </m:rPr>
              <w:rPr>
                <w:rFonts w:ascii="Cambria Math" w:hAnsi="Cambria Math"/>
              </w:rPr>
              <m:t>b</m:t>
            </m:r>
          </m:e>
        </m:acc>
      </m:oMath>
      <w:r>
        <w:t xml:space="preserve"> is significantly &lt; 0 with </w:t>
      </w:r>
      <w:r w:rsidRPr="00B2106A">
        <w:rPr>
          <w:i/>
          <w:iCs/>
        </w:rPr>
        <w:t>t</w:t>
      </w:r>
      <w:r>
        <w:t>-statistic −</w:t>
      </w:r>
      <w:r w:rsidR="000D4F2D">
        <w:t>79</w:t>
      </w:r>
      <w:r>
        <w:t>.</w:t>
      </w:r>
      <w:r w:rsidR="000D4F2D">
        <w:t>721</w:t>
      </w:r>
      <w:r>
        <w:t xml:space="preserve">). This rejection means that the overall convergence for the entire provinces is not observed, indicating that the </w:t>
      </w:r>
      <w:r w:rsidR="000D4F2D">
        <w:t>wage</w:t>
      </w:r>
      <w:r>
        <w:t xml:space="preserve"> movements in 34 Indonesian provinces during the observation period do not move to a single equilibrium.</w:t>
      </w:r>
      <w:r w:rsidR="00731BE2">
        <w:t xml:space="preserve"> This result is consistent with the findings of </w:t>
      </w:r>
      <w:r w:rsidR="00F60C11">
        <w:fldChar w:fldCharType="begin"/>
      </w:r>
      <w:r w:rsidR="009B1E97">
        <w:instrText xml:space="preserve"> ADDIN ZOTERO_ITEM CSL_CITATION {"citationID":"iKpdXlAN","properties":{"formattedCitation":"(Aginta,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F60C11">
        <w:fldChar w:fldCharType="separate"/>
      </w:r>
      <w:r w:rsidR="00F60C11" w:rsidRPr="00F60C11">
        <w:rPr>
          <w:rFonts w:ascii="Calibri" w:hAnsi="Calibri" w:cs="Calibri"/>
        </w:rPr>
        <w:t xml:space="preserve">Aginta </w:t>
      </w:r>
      <w:r w:rsidR="00F60C11">
        <w:rPr>
          <w:rFonts w:ascii="Calibri" w:hAnsi="Calibri" w:cs="Calibri"/>
        </w:rPr>
        <w:t>(</w:t>
      </w:r>
      <w:r w:rsidR="00F60C11" w:rsidRPr="00F60C11">
        <w:rPr>
          <w:rFonts w:ascii="Calibri" w:hAnsi="Calibri" w:cs="Calibri"/>
        </w:rPr>
        <w:t>2021)</w:t>
      </w:r>
      <w:r w:rsidR="00F60C11">
        <w:fldChar w:fldCharType="end"/>
      </w:r>
      <w:r w:rsidR="00731BE2">
        <w:t xml:space="preserve"> where the overall convergence is not observed in regional price dynamics across Indonesia prices.</w:t>
      </w:r>
    </w:p>
    <w:p w14:paraId="07194A54" w14:textId="794DCBA3" w:rsidR="000D4F2D" w:rsidRDefault="000D4F2D" w:rsidP="000D4F2D">
      <w:pPr>
        <w:pStyle w:val="ListParagraph"/>
        <w:spacing w:line="360" w:lineRule="auto"/>
        <w:ind w:left="709"/>
        <w:jc w:val="center"/>
      </w:pPr>
      <w:r>
        <w:rPr>
          <w:rFonts w:hint="eastAsia"/>
        </w:rPr>
        <w:t>T</w:t>
      </w:r>
      <w:r>
        <w:t>able 1. Overall convergence test</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131"/>
        <w:gridCol w:w="2188"/>
        <w:gridCol w:w="2168"/>
        <w:gridCol w:w="2164"/>
      </w:tblGrid>
      <w:tr w:rsidR="000D4F2D" w14:paraId="7F4BA647" w14:textId="77777777" w:rsidTr="00731BE2">
        <w:tc>
          <w:tcPr>
            <w:tcW w:w="2337" w:type="dxa"/>
            <w:vAlign w:val="center"/>
          </w:tcPr>
          <w:p w14:paraId="2D8B3486" w14:textId="77777777" w:rsidR="000D4F2D" w:rsidRDefault="000D4F2D" w:rsidP="00C05620">
            <w:pPr>
              <w:pStyle w:val="ListParagraph"/>
              <w:adjustRightInd w:val="0"/>
              <w:snapToGrid w:val="0"/>
              <w:ind w:left="0"/>
              <w:contextualSpacing w:val="0"/>
              <w:jc w:val="center"/>
              <w:rPr>
                <w:rFonts w:ascii="Bookman Old Style" w:eastAsia="Adobe Myungjo Std M" w:hAnsi="Bookman Old Style"/>
                <w:b/>
                <w:szCs w:val="18"/>
              </w:rPr>
            </w:pPr>
          </w:p>
        </w:tc>
        <w:tc>
          <w:tcPr>
            <w:tcW w:w="2337" w:type="dxa"/>
            <w:vAlign w:val="center"/>
          </w:tcPr>
          <w:p w14:paraId="506AD4C4" w14:textId="47588649" w:rsidR="000D4F2D" w:rsidRPr="000D4F2D" w:rsidRDefault="000D4F2D" w:rsidP="00C05620">
            <w:pPr>
              <w:pStyle w:val="ListParagraph"/>
              <w:adjustRightInd w:val="0"/>
              <w:snapToGrid w:val="0"/>
              <w:ind w:left="0"/>
              <w:contextualSpacing w:val="0"/>
              <w:jc w:val="center"/>
              <w:rPr>
                <w:rFonts w:ascii="Bookman Old Style" w:eastAsia="Adobe Myungjo Std M" w:hAnsi="Bookman Old Style"/>
                <w:bCs/>
                <w:szCs w:val="18"/>
              </w:rPr>
            </w:pPr>
            <w:r w:rsidRPr="000D4F2D">
              <w:rPr>
                <w:rFonts w:hint="eastAsia"/>
                <w:sz w:val="22"/>
                <w:szCs w:val="22"/>
              </w:rPr>
              <w:t>C</w:t>
            </w:r>
            <w:r w:rsidRPr="000D4F2D">
              <w:rPr>
                <w:sz w:val="22"/>
                <w:szCs w:val="22"/>
              </w:rPr>
              <w:t>oeff</w:t>
            </w:r>
            <w:r>
              <w:rPr>
                <w:sz w:val="22"/>
                <w:szCs w:val="22"/>
              </w:rPr>
              <w:t>icient</w:t>
            </w:r>
          </w:p>
        </w:tc>
        <w:tc>
          <w:tcPr>
            <w:tcW w:w="2338" w:type="dxa"/>
            <w:vAlign w:val="center"/>
          </w:tcPr>
          <w:p w14:paraId="2D71461C" w14:textId="4035EE3E" w:rsidR="000D4F2D" w:rsidRPr="000D4F2D" w:rsidRDefault="000D4F2D" w:rsidP="00C05620">
            <w:pPr>
              <w:pStyle w:val="ListParagraph"/>
              <w:adjustRightInd w:val="0"/>
              <w:snapToGrid w:val="0"/>
              <w:ind w:left="0"/>
              <w:contextualSpacing w:val="0"/>
              <w:jc w:val="center"/>
              <w:rPr>
                <w:sz w:val="22"/>
                <w:szCs w:val="22"/>
              </w:rPr>
            </w:pPr>
            <w:r w:rsidRPr="000D4F2D">
              <w:rPr>
                <w:rFonts w:hint="eastAsia"/>
                <w:sz w:val="22"/>
                <w:szCs w:val="22"/>
              </w:rPr>
              <w:t>S</w:t>
            </w:r>
            <w:r w:rsidRPr="000D4F2D">
              <w:rPr>
                <w:sz w:val="22"/>
                <w:szCs w:val="22"/>
              </w:rPr>
              <w:t>tandard error</w:t>
            </w:r>
          </w:p>
        </w:tc>
        <w:tc>
          <w:tcPr>
            <w:tcW w:w="2338" w:type="dxa"/>
            <w:vAlign w:val="center"/>
          </w:tcPr>
          <w:p w14:paraId="6D9B7104" w14:textId="48BE48CD" w:rsidR="000D4F2D" w:rsidRPr="000D4F2D" w:rsidRDefault="000D4F2D" w:rsidP="00C05620">
            <w:pPr>
              <w:pStyle w:val="ListParagraph"/>
              <w:adjustRightInd w:val="0"/>
              <w:snapToGrid w:val="0"/>
              <w:ind w:left="0"/>
              <w:contextualSpacing w:val="0"/>
              <w:jc w:val="center"/>
              <w:rPr>
                <w:sz w:val="22"/>
                <w:szCs w:val="22"/>
              </w:rPr>
            </w:pPr>
            <w:r w:rsidRPr="00C05620">
              <w:rPr>
                <w:rFonts w:hint="eastAsia"/>
                <w:i/>
                <w:iCs/>
                <w:sz w:val="22"/>
                <w:szCs w:val="22"/>
              </w:rPr>
              <w:t>t</w:t>
            </w:r>
            <w:r w:rsidRPr="000D4F2D">
              <w:rPr>
                <w:sz w:val="22"/>
                <w:szCs w:val="22"/>
              </w:rPr>
              <w:t>-statistics</w:t>
            </w:r>
          </w:p>
        </w:tc>
      </w:tr>
      <w:tr w:rsidR="000D4F2D" w14:paraId="59874F05" w14:textId="77777777" w:rsidTr="00731BE2">
        <w:tc>
          <w:tcPr>
            <w:tcW w:w="2337" w:type="dxa"/>
            <w:vAlign w:val="center"/>
          </w:tcPr>
          <w:p w14:paraId="1436ED81" w14:textId="4A576754" w:rsidR="000D4F2D" w:rsidRDefault="000D4F2D" w:rsidP="00C05620">
            <w:pPr>
              <w:pStyle w:val="ListParagraph"/>
              <w:adjustRightInd w:val="0"/>
              <w:snapToGrid w:val="0"/>
              <w:ind w:left="0"/>
              <w:contextualSpacing w:val="0"/>
              <w:jc w:val="center"/>
              <w:rPr>
                <w:rFonts w:ascii="Bookman Old Style" w:eastAsia="Adobe Myungjo Std M" w:hAnsi="Bookman Old Style"/>
                <w:b/>
                <w:szCs w:val="18"/>
              </w:rPr>
            </w:pPr>
            <w:r w:rsidRPr="000D4F2D">
              <w:rPr>
                <w:sz w:val="22"/>
                <w:szCs w:val="22"/>
              </w:rPr>
              <w:t>Log(t)</w:t>
            </w:r>
          </w:p>
        </w:tc>
        <w:tc>
          <w:tcPr>
            <w:tcW w:w="2337" w:type="dxa"/>
            <w:vAlign w:val="center"/>
          </w:tcPr>
          <w:p w14:paraId="1A421D25" w14:textId="29A575F6" w:rsidR="000D4F2D" w:rsidRPr="000D4F2D" w:rsidRDefault="000D4F2D" w:rsidP="00C05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Lucida Console" w:eastAsia="MS Gothic" w:hAnsi="Lucida Console" w:cs="MS Gothic"/>
                <w:color w:val="000000"/>
                <w:sz w:val="20"/>
                <w:szCs w:val="20"/>
                <w:lang w:eastAsia="ja-JP"/>
              </w:rPr>
            </w:pPr>
            <w:r w:rsidRPr="000D4F2D">
              <w:rPr>
                <w:rFonts w:ascii="Lucida Console" w:eastAsia="MS Gothic" w:hAnsi="Lucida Console" w:cs="MS Gothic"/>
                <w:color w:val="000000"/>
                <w:sz w:val="20"/>
                <w:szCs w:val="20"/>
                <w:lang w:eastAsia="ja-JP"/>
              </w:rPr>
              <w:t>-1.130</w:t>
            </w:r>
          </w:p>
        </w:tc>
        <w:tc>
          <w:tcPr>
            <w:tcW w:w="2338" w:type="dxa"/>
            <w:vAlign w:val="center"/>
          </w:tcPr>
          <w:p w14:paraId="7564DF84" w14:textId="0D06253E" w:rsidR="000D4F2D" w:rsidRPr="000D4F2D" w:rsidRDefault="000D4F2D" w:rsidP="00C05620">
            <w:pPr>
              <w:pStyle w:val="HTMLPreformatted"/>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0.014</w:t>
            </w:r>
          </w:p>
        </w:tc>
        <w:tc>
          <w:tcPr>
            <w:tcW w:w="2338" w:type="dxa"/>
            <w:vAlign w:val="center"/>
          </w:tcPr>
          <w:p w14:paraId="39DFCB4E" w14:textId="413ACABD" w:rsidR="000D4F2D" w:rsidRPr="000D4F2D" w:rsidRDefault="000D4F2D" w:rsidP="00C05620">
            <w:pPr>
              <w:pStyle w:val="HTMLPreformatted"/>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-79.721</w:t>
            </w:r>
          </w:p>
        </w:tc>
      </w:tr>
    </w:tbl>
    <w:p w14:paraId="264E5C9F" w14:textId="722FF3E4" w:rsidR="000D4F2D" w:rsidRPr="000D4F2D" w:rsidRDefault="000D4F2D" w:rsidP="00B575BE">
      <w:pPr>
        <w:pStyle w:val="ListParagraph"/>
        <w:spacing w:line="360" w:lineRule="auto"/>
        <w:ind w:left="709"/>
        <w:jc w:val="both"/>
      </w:pPr>
      <w:r w:rsidRPr="000D4F2D">
        <w:rPr>
          <w:rFonts w:hint="eastAsia"/>
          <w:i/>
          <w:iCs/>
        </w:rPr>
        <w:t>N</w:t>
      </w:r>
      <w:r w:rsidRPr="000D4F2D">
        <w:rPr>
          <w:i/>
          <w:iCs/>
        </w:rPr>
        <w:t>ote:</w:t>
      </w:r>
      <w:r>
        <w:t xml:space="preserve"> The null hypothesis of convergence is rejected when the t-statistic is less than </w:t>
      </w:r>
      <w:r w:rsidR="00C05620">
        <w:t>-</w:t>
      </w:r>
      <w:r>
        <w:t>1.65.</w:t>
      </w:r>
    </w:p>
    <w:p w14:paraId="25EB4CA9" w14:textId="46239C87" w:rsidR="000D4F2D" w:rsidRDefault="000D4F2D" w:rsidP="00B575BE">
      <w:pPr>
        <w:pStyle w:val="ListParagraph"/>
        <w:spacing w:line="360" w:lineRule="auto"/>
        <w:ind w:left="709"/>
        <w:jc w:val="both"/>
        <w:rPr>
          <w:rFonts w:ascii="Bookman Old Style" w:eastAsia="Adobe Myungjo Std M" w:hAnsi="Bookman Old Style"/>
          <w:b/>
          <w:szCs w:val="18"/>
        </w:rPr>
      </w:pPr>
    </w:p>
    <w:p w14:paraId="45EEC2DB" w14:textId="0392368E" w:rsidR="00C05620" w:rsidRDefault="000D4F2D" w:rsidP="00C05620">
      <w:pPr>
        <w:pStyle w:val="ListParagraph"/>
        <w:spacing w:line="360" w:lineRule="auto"/>
        <w:ind w:left="709"/>
        <w:jc w:val="both"/>
      </w:pPr>
      <w:r>
        <w:rPr>
          <w:rFonts w:ascii="Bookman Old Style" w:eastAsia="Adobe Myungjo Std M" w:hAnsi="Bookman Old Style"/>
          <w:b/>
          <w:szCs w:val="18"/>
        </w:rPr>
        <w:tab/>
      </w:r>
      <w:r>
        <w:rPr>
          <w:rFonts w:ascii="Bookman Old Style" w:eastAsia="Adobe Myungjo Std M" w:hAnsi="Bookman Old Style"/>
          <w:b/>
          <w:szCs w:val="18"/>
        </w:rPr>
        <w:tab/>
      </w:r>
      <w:r w:rsidR="00731BE2">
        <w:t xml:space="preserve">However, as mentioned before, the test developed by </w:t>
      </w:r>
      <w:r w:rsidR="00E906E5">
        <w:fldChar w:fldCharType="begin"/>
      </w:r>
      <w:r w:rsidR="009B1E97">
        <w:instrText xml:space="preserve"> ADDIN ZOTERO_ITEM CSL_CITATION {"citationID":"0fCj74Ra","properties":{"formattedCitation":"(Phillips &amp; Sul, 2009)","plainCitation":"(Phillips &amp;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E906E5">
        <w:fldChar w:fldCharType="separate"/>
      </w:r>
      <w:r w:rsidR="00E906E5" w:rsidRPr="00E906E5">
        <w:rPr>
          <w:rFonts w:ascii="Calibri" w:hAnsi="Calibri" w:cs="Calibri"/>
        </w:rPr>
        <w:t xml:space="preserve">Phillips &amp; Sul </w:t>
      </w:r>
      <w:r w:rsidR="00E906E5">
        <w:rPr>
          <w:rFonts w:ascii="Calibri" w:hAnsi="Calibri" w:cs="Calibri"/>
        </w:rPr>
        <w:t>(</w:t>
      </w:r>
      <w:r w:rsidR="00E906E5" w:rsidRPr="00E906E5">
        <w:rPr>
          <w:rFonts w:ascii="Calibri" w:hAnsi="Calibri" w:cs="Calibri"/>
        </w:rPr>
        <w:t>2009)</w:t>
      </w:r>
      <w:r w:rsidR="00E906E5">
        <w:fldChar w:fldCharType="end"/>
      </w:r>
      <w:r w:rsidR="00731BE2">
        <w:t xml:space="preserve"> can observe the existence of several convergence clubs even when we do not observe overall convergence. Therefore, we apply the test to identify convergence clubs. Table 2 presents the results. </w:t>
      </w:r>
    </w:p>
    <w:p w14:paraId="2EB420FE" w14:textId="0ADE69A4" w:rsidR="00C05620" w:rsidRDefault="00C05620" w:rsidP="00C05620">
      <w:pPr>
        <w:pStyle w:val="ListParagraph"/>
        <w:spacing w:line="360" w:lineRule="auto"/>
        <w:ind w:left="709"/>
        <w:jc w:val="center"/>
      </w:pPr>
      <w:r>
        <w:rPr>
          <w:rFonts w:hint="eastAsia"/>
        </w:rPr>
        <w:t>T</w:t>
      </w:r>
      <w:r>
        <w:t>able 2. Club convergence test</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202"/>
        <w:gridCol w:w="2149"/>
        <w:gridCol w:w="2150"/>
        <w:gridCol w:w="2150"/>
      </w:tblGrid>
      <w:tr w:rsidR="00C05620" w14:paraId="7CB6525C" w14:textId="77777777" w:rsidTr="00C05620">
        <w:tc>
          <w:tcPr>
            <w:tcW w:w="2202" w:type="dxa"/>
          </w:tcPr>
          <w:p w14:paraId="15FDE381" w14:textId="77777777" w:rsidR="00C05620" w:rsidRPr="00C05620" w:rsidRDefault="00C05620" w:rsidP="00C05620">
            <w:pPr>
              <w:pStyle w:val="ListParagraph"/>
              <w:adjustRightInd w:val="0"/>
              <w:snapToGrid w:val="0"/>
              <w:ind w:left="0"/>
              <w:contextualSpacing w:val="0"/>
              <w:jc w:val="center"/>
              <w:rPr>
                <w:sz w:val="22"/>
                <w:szCs w:val="22"/>
              </w:rPr>
            </w:pPr>
          </w:p>
        </w:tc>
        <w:tc>
          <w:tcPr>
            <w:tcW w:w="2149" w:type="dxa"/>
          </w:tcPr>
          <w:p w14:paraId="480D8BED" w14:textId="7590E99E"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1</w:t>
            </w:r>
          </w:p>
        </w:tc>
        <w:tc>
          <w:tcPr>
            <w:tcW w:w="2150" w:type="dxa"/>
          </w:tcPr>
          <w:p w14:paraId="4ABDE88D" w14:textId="76B6DA97"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2</w:t>
            </w:r>
          </w:p>
        </w:tc>
        <w:tc>
          <w:tcPr>
            <w:tcW w:w="2150" w:type="dxa"/>
          </w:tcPr>
          <w:p w14:paraId="728F40D0" w14:textId="7A61C49B"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3</w:t>
            </w:r>
          </w:p>
        </w:tc>
      </w:tr>
      <w:tr w:rsidR="00C05620" w14:paraId="5EC1CA6B" w14:textId="77777777" w:rsidTr="00C05620">
        <w:tc>
          <w:tcPr>
            <w:tcW w:w="2202" w:type="dxa"/>
            <w:tcBorders>
              <w:bottom w:val="nil"/>
            </w:tcBorders>
          </w:tcPr>
          <w:p w14:paraId="79829BB7" w14:textId="4704D31E"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oefficient</w:t>
            </w:r>
          </w:p>
        </w:tc>
        <w:tc>
          <w:tcPr>
            <w:tcW w:w="2149" w:type="dxa"/>
            <w:tcBorders>
              <w:bottom w:val="nil"/>
            </w:tcBorders>
          </w:tcPr>
          <w:p w14:paraId="229CA4E8" w14:textId="278C8847"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0.113</w:t>
            </w:r>
          </w:p>
        </w:tc>
        <w:tc>
          <w:tcPr>
            <w:tcW w:w="2150" w:type="dxa"/>
            <w:tcBorders>
              <w:bottom w:val="nil"/>
            </w:tcBorders>
          </w:tcPr>
          <w:p w14:paraId="6E6F21A2" w14:textId="3544A384"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0.745</w:t>
            </w:r>
          </w:p>
        </w:tc>
        <w:tc>
          <w:tcPr>
            <w:tcW w:w="2150" w:type="dxa"/>
            <w:tcBorders>
              <w:bottom w:val="nil"/>
            </w:tcBorders>
          </w:tcPr>
          <w:p w14:paraId="386A3D63" w14:textId="03AD7262"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-0.014</w:t>
            </w:r>
          </w:p>
        </w:tc>
      </w:tr>
      <w:tr w:rsidR="00C05620" w14:paraId="4F5AC5AE" w14:textId="77777777" w:rsidTr="00C05620">
        <w:tc>
          <w:tcPr>
            <w:tcW w:w="2202" w:type="dxa"/>
            <w:tcBorders>
              <w:top w:val="nil"/>
              <w:bottom w:val="nil"/>
            </w:tcBorders>
          </w:tcPr>
          <w:p w14:paraId="4B7F4157" w14:textId="1AB6CA08" w:rsidR="00C05620" w:rsidRPr="00C05620" w:rsidRDefault="00C05620" w:rsidP="00C05620">
            <w:pPr>
              <w:pStyle w:val="ListParagraph"/>
              <w:adjustRightInd w:val="0"/>
              <w:snapToGrid w:val="0"/>
              <w:ind w:left="0"/>
              <w:contextualSpacing w:val="0"/>
              <w:jc w:val="center"/>
              <w:rPr>
                <w:sz w:val="22"/>
                <w:szCs w:val="22"/>
              </w:rPr>
            </w:pPr>
            <w:r w:rsidRPr="00B2106A">
              <w:rPr>
                <w:rFonts w:hint="eastAsia"/>
                <w:i/>
                <w:iCs/>
                <w:sz w:val="22"/>
                <w:szCs w:val="22"/>
              </w:rPr>
              <w:t>t</w:t>
            </w:r>
            <w:r w:rsidRPr="00C05620">
              <w:rPr>
                <w:sz w:val="22"/>
                <w:szCs w:val="22"/>
              </w:rPr>
              <w:t>-statistics</w:t>
            </w:r>
          </w:p>
        </w:tc>
        <w:tc>
          <w:tcPr>
            <w:tcW w:w="2149" w:type="dxa"/>
            <w:tcBorders>
              <w:top w:val="nil"/>
              <w:bottom w:val="nil"/>
            </w:tcBorders>
          </w:tcPr>
          <w:p w14:paraId="6BFA719B" w14:textId="75943317"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0.486</w:t>
            </w:r>
          </w:p>
        </w:tc>
        <w:tc>
          <w:tcPr>
            <w:tcW w:w="2150" w:type="dxa"/>
            <w:tcBorders>
              <w:top w:val="nil"/>
              <w:bottom w:val="nil"/>
            </w:tcBorders>
          </w:tcPr>
          <w:p w14:paraId="01E540B2" w14:textId="10141317"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3.081</w:t>
            </w:r>
          </w:p>
        </w:tc>
        <w:tc>
          <w:tcPr>
            <w:tcW w:w="2150" w:type="dxa"/>
            <w:tcBorders>
              <w:top w:val="nil"/>
              <w:bottom w:val="nil"/>
            </w:tcBorders>
          </w:tcPr>
          <w:p w14:paraId="52EFAA08" w14:textId="02642B66"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-0.126</w:t>
            </w:r>
          </w:p>
        </w:tc>
      </w:tr>
      <w:tr w:rsidR="00C05620" w14:paraId="43A0466E" w14:textId="77777777" w:rsidTr="00C05620">
        <w:tc>
          <w:tcPr>
            <w:tcW w:w="2202" w:type="dxa"/>
            <w:tcBorders>
              <w:top w:val="nil"/>
            </w:tcBorders>
          </w:tcPr>
          <w:p w14:paraId="685E8DB5" w14:textId="6924EE30"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N</w:t>
            </w:r>
            <w:r w:rsidRPr="00C05620">
              <w:rPr>
                <w:sz w:val="22"/>
                <w:szCs w:val="22"/>
              </w:rPr>
              <w:t>umber of regions</w:t>
            </w:r>
          </w:p>
        </w:tc>
        <w:tc>
          <w:tcPr>
            <w:tcW w:w="2149" w:type="dxa"/>
            <w:tcBorders>
              <w:top w:val="nil"/>
            </w:tcBorders>
          </w:tcPr>
          <w:p w14:paraId="0E6F4F5E" w14:textId="57E1A9C4"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3</w:t>
            </w:r>
          </w:p>
        </w:tc>
        <w:tc>
          <w:tcPr>
            <w:tcW w:w="2150" w:type="dxa"/>
            <w:tcBorders>
              <w:top w:val="nil"/>
            </w:tcBorders>
          </w:tcPr>
          <w:p w14:paraId="5F44913A" w14:textId="073AA983"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9</w:t>
            </w:r>
          </w:p>
        </w:tc>
        <w:tc>
          <w:tcPr>
            <w:tcW w:w="2150" w:type="dxa"/>
            <w:tcBorders>
              <w:top w:val="nil"/>
            </w:tcBorders>
          </w:tcPr>
          <w:p w14:paraId="6484543B" w14:textId="56458414"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2</w:t>
            </w:r>
            <w:r w:rsidRPr="00C05620">
              <w:rPr>
                <w:sz w:val="22"/>
                <w:szCs w:val="22"/>
              </w:rPr>
              <w:t>2</w:t>
            </w:r>
          </w:p>
        </w:tc>
      </w:tr>
    </w:tbl>
    <w:p w14:paraId="299FFC7A" w14:textId="043C0F86" w:rsidR="00731BE2" w:rsidRDefault="00C05620" w:rsidP="00B2106A">
      <w:pPr>
        <w:pStyle w:val="ListParagraph"/>
        <w:spacing w:line="360" w:lineRule="auto"/>
        <w:ind w:left="709"/>
        <w:jc w:val="both"/>
      </w:pPr>
      <w:r w:rsidRPr="000D4F2D">
        <w:rPr>
          <w:rFonts w:hint="eastAsia"/>
          <w:i/>
          <w:iCs/>
        </w:rPr>
        <w:t>N</w:t>
      </w:r>
      <w:r w:rsidRPr="000D4F2D">
        <w:rPr>
          <w:i/>
          <w:iCs/>
        </w:rPr>
        <w:t>ote:</w:t>
      </w:r>
      <w:r>
        <w:t xml:space="preserve"> The null hypothesis of convergence is rejected when the t-statistic is less than -1.65.</w:t>
      </w:r>
    </w:p>
    <w:p w14:paraId="7B23F312" w14:textId="34AA6248" w:rsidR="00947042" w:rsidRDefault="00731BE2" w:rsidP="00B2106A">
      <w:pPr>
        <w:pStyle w:val="ListParagraph"/>
        <w:spacing w:line="360" w:lineRule="auto"/>
        <w:ind w:left="709" w:firstLineChars="322" w:firstLine="708"/>
        <w:jc w:val="both"/>
      </w:pPr>
      <w:r>
        <w:lastRenderedPageBreak/>
        <w:t>We find three significant initial clubs</w:t>
      </w:r>
      <w:r w:rsidR="00B2106A">
        <w:t xml:space="preserve"> that represent the convergence dynamics of regional wage across Indonesian provinces.</w:t>
      </w:r>
      <w:r w:rsidR="00B2106A">
        <w:rPr>
          <w:rStyle w:val="FootnoteReference"/>
        </w:rPr>
        <w:footnoteReference w:id="1"/>
      </w:r>
      <w:r w:rsidR="0036179B">
        <w:t xml:space="preserve"> The first convergence club consists of 3 provinces; the second club consists of 9 provinces; and the third club consists of 22 provinces. The first two rows correspond to the fitted coefficients and t-statistic in each club. The order of the convergence clubs is sorted from the provinces with the highest to the lowest wage; club 1 refers to the highest wage and club 3 represents the lowest wage provinces. Overall, the result of this club convergence test implies that the development of wage in 34 Indonesian provinces can be grouped into three common trends during 2008–2020</w:t>
      </w:r>
      <w:r w:rsidR="00FB5375">
        <w:t xml:space="preserve"> period</w:t>
      </w:r>
      <w:r w:rsidR="00C14939">
        <w:t>.</w:t>
      </w:r>
    </w:p>
    <w:p w14:paraId="6B30302A" w14:textId="6ACB62A2" w:rsidR="00947042" w:rsidRDefault="00EB0AC1" w:rsidP="006934EF">
      <w:pPr>
        <w:pStyle w:val="ListParagraph"/>
        <w:spacing w:line="360" w:lineRule="auto"/>
        <w:ind w:left="709" w:firstLineChars="322" w:firstLine="708"/>
        <w:jc w:val="both"/>
      </w:pPr>
      <w:r>
        <w:t>I</w:t>
      </w:r>
      <w:r w:rsidR="00947042">
        <w:t>n Fig 3 we plot the transition paths of clubs over time. However, instead of using the absolute value of wage on Y axes</w:t>
      </w:r>
      <w:r>
        <w:t xml:space="preserve"> (like in Fig 2)</w:t>
      </w:r>
      <w:r w:rsidR="00947042">
        <w:t xml:space="preserve">, we compare the transition of clubs relative to the cross-sectional average of all three clubs. The parallel pattern of the clubs’ transition path indicates that the clubs do not converge over time. </w:t>
      </w:r>
      <w:r w:rsidR="00C458CC">
        <w:t>Instead of forming converging shape, that is smaller gaps between clubs over time, it</w:t>
      </w:r>
      <w:r w:rsidR="00947042">
        <w:t xml:space="preserve"> appears </w:t>
      </w:r>
      <w:r w:rsidR="00C458CC">
        <w:t xml:space="preserve">that </w:t>
      </w:r>
      <w:r w:rsidR="00947042">
        <w:t xml:space="preserve">the transition path of the clubs reflects prolonged and </w:t>
      </w:r>
      <w:r w:rsidR="00C458CC">
        <w:t>higher</w:t>
      </w:r>
      <w:r w:rsidR="00947042">
        <w:t xml:space="preserve"> dispersion between clubs, where </w:t>
      </w:r>
      <w:r w:rsidR="00C458CC">
        <w:t>c</w:t>
      </w:r>
      <w:r w:rsidR="00947042">
        <w:t xml:space="preserve">lub </w:t>
      </w:r>
      <w:r w:rsidR="00C458CC">
        <w:t>1</w:t>
      </w:r>
      <w:r w:rsidR="00947042">
        <w:t xml:space="preserve"> and </w:t>
      </w:r>
      <w:r w:rsidR="00C458CC">
        <w:t>2</w:t>
      </w:r>
      <w:r w:rsidR="00947042">
        <w:t xml:space="preserve"> are systematically </w:t>
      </w:r>
      <w:r w:rsidR="00C458CC">
        <w:t xml:space="preserve">above </w:t>
      </w:r>
      <w:r w:rsidR="00947042">
        <w:t xml:space="preserve">the average, while </w:t>
      </w:r>
      <w:r w:rsidR="00C458CC">
        <w:t>c</w:t>
      </w:r>
      <w:r w:rsidR="00947042">
        <w:t xml:space="preserve">lub </w:t>
      </w:r>
      <w:r w:rsidR="00C458CC">
        <w:t>3</w:t>
      </w:r>
      <w:r w:rsidR="00947042">
        <w:t xml:space="preserve"> </w:t>
      </w:r>
      <w:r w:rsidR="00C458CC">
        <w:t>is</w:t>
      </w:r>
      <w:r w:rsidR="00947042">
        <w:t xml:space="preserve"> consistently </w:t>
      </w:r>
      <w:r w:rsidR="00C458CC">
        <w:t>below</w:t>
      </w:r>
      <w:r w:rsidR="00947042">
        <w:t xml:space="preserve"> the average.</w:t>
      </w:r>
      <w:r w:rsidR="006934EF">
        <w:t xml:space="preserve"> We also plot the transition path of provinces in each club in Fig 4. Unlike the diverging pattern shown in Fig 3, the transition path in Fig 4 (a), (b), and (c) clearly demonstrate convergence pattern, although the gap between provinces remained.</w:t>
      </w:r>
    </w:p>
    <w:p w14:paraId="2AEDC7D8" w14:textId="7C3A65B2" w:rsidR="00947042" w:rsidRDefault="00947042" w:rsidP="00947042">
      <w:pPr>
        <w:pStyle w:val="ListParagraph"/>
        <w:spacing w:line="360" w:lineRule="auto"/>
        <w:ind w:left="709"/>
        <w:jc w:val="center"/>
        <w:rPr>
          <w:rFonts w:ascii="Bookman Old Style" w:eastAsia="Adobe Myungjo Std M" w:hAnsi="Bookman Old Style"/>
          <w:b/>
          <w:szCs w:val="18"/>
        </w:rPr>
      </w:pPr>
      <w:r>
        <w:rPr>
          <w:noProof/>
        </w:rPr>
        <w:drawing>
          <wp:inline distT="0" distB="0" distL="0" distR="0" wp14:anchorId="6BB87479" wp14:editId="367B7C6B">
            <wp:extent cx="3577589" cy="19875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6714" cy="1998175"/>
                    </a:xfrm>
                    <a:prstGeom prst="rect">
                      <a:avLst/>
                    </a:prstGeom>
                    <a:noFill/>
                    <a:ln>
                      <a:noFill/>
                    </a:ln>
                  </pic:spPr>
                </pic:pic>
              </a:graphicData>
            </a:graphic>
          </wp:inline>
        </w:drawing>
      </w:r>
    </w:p>
    <w:p w14:paraId="18D12705" w14:textId="2BFCFC97" w:rsidR="00947042" w:rsidRPr="00186716" w:rsidRDefault="00947042" w:rsidP="00947042">
      <w:pPr>
        <w:pStyle w:val="ListParagraph"/>
        <w:spacing w:line="360" w:lineRule="auto"/>
        <w:jc w:val="center"/>
      </w:pPr>
      <w:r>
        <w:t>Fig. 3. The transition path of convergence clubs, 2008-2020</w:t>
      </w:r>
    </w:p>
    <w:tbl>
      <w:tblPr>
        <w:tblStyle w:val="TableGrid"/>
        <w:tblpPr w:leftFromText="142" w:rightFromText="142" w:vertAnchor="text" w:horzAnchor="margin" w:tblpXSpec="center" w:tblpY="-20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6934EF" w14:paraId="362A2E4E" w14:textId="77777777" w:rsidTr="006934EF">
        <w:tc>
          <w:tcPr>
            <w:tcW w:w="8640" w:type="dxa"/>
          </w:tcPr>
          <w:p w14:paraId="7D79091A" w14:textId="77777777" w:rsidR="006934EF" w:rsidRDefault="006934EF" w:rsidP="006934EF">
            <w:pPr>
              <w:pStyle w:val="ListParagraph"/>
              <w:ind w:leftChars="272" w:left="598" w:rightChars="388" w:right="854"/>
              <w:jc w:val="center"/>
              <w:rPr>
                <w:rFonts w:ascii="Bookman Old Style" w:eastAsia="Adobe Myungjo Std M" w:hAnsi="Bookman Old Style"/>
                <w:b/>
                <w:szCs w:val="18"/>
              </w:rPr>
            </w:pPr>
            <w:r>
              <w:rPr>
                <w:noProof/>
              </w:rPr>
              <w:lastRenderedPageBreak/>
              <w:drawing>
                <wp:inline distT="0" distB="0" distL="0" distR="0" wp14:anchorId="00680FE5" wp14:editId="3336818F">
                  <wp:extent cx="3041650" cy="1689806"/>
                  <wp:effectExtent l="0" t="0" r="635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4896" cy="1691609"/>
                          </a:xfrm>
                          <a:prstGeom prst="rect">
                            <a:avLst/>
                          </a:prstGeom>
                          <a:noFill/>
                          <a:ln>
                            <a:noFill/>
                          </a:ln>
                        </pic:spPr>
                      </pic:pic>
                    </a:graphicData>
                  </a:graphic>
                </wp:inline>
              </w:drawing>
            </w:r>
          </w:p>
          <w:p w14:paraId="398ECBB8" w14:textId="62F8E592" w:rsidR="006934EF" w:rsidRPr="006934EF" w:rsidRDefault="00C00DA0" w:rsidP="00C00DA0">
            <w:pPr>
              <w:pStyle w:val="ListParagraph"/>
              <w:numPr>
                <w:ilvl w:val="0"/>
                <w:numId w:val="4"/>
              </w:numPr>
              <w:ind w:rightChars="388" w:right="854"/>
              <w:jc w:val="center"/>
              <w:rPr>
                <w:rFonts w:ascii="Bookman Old Style" w:eastAsia="Adobe Myungjo Std M" w:hAnsi="Bookman Old Style"/>
                <w:bCs/>
                <w:szCs w:val="18"/>
              </w:rPr>
            </w:pPr>
            <w:r w:rsidRPr="00C00DA0">
              <w:rPr>
                <w:rFonts w:hint="eastAsia"/>
                <w:sz w:val="22"/>
                <w:szCs w:val="22"/>
              </w:rPr>
              <w:t>C</w:t>
            </w:r>
            <w:r w:rsidRPr="00C00DA0">
              <w:rPr>
                <w:sz w:val="22"/>
                <w:szCs w:val="22"/>
              </w:rPr>
              <w:t>lub 1</w:t>
            </w:r>
          </w:p>
        </w:tc>
      </w:tr>
      <w:tr w:rsidR="006934EF" w14:paraId="15628674" w14:textId="77777777" w:rsidTr="006934EF">
        <w:tc>
          <w:tcPr>
            <w:tcW w:w="8640" w:type="dxa"/>
          </w:tcPr>
          <w:p w14:paraId="4178CC6A" w14:textId="77777777" w:rsidR="006934EF" w:rsidRDefault="006934EF" w:rsidP="006934EF">
            <w:pPr>
              <w:pStyle w:val="ListParagraph"/>
              <w:ind w:leftChars="401" w:left="882" w:rightChars="388" w:right="854"/>
              <w:jc w:val="center"/>
              <w:rPr>
                <w:rFonts w:ascii="Bookman Old Style" w:eastAsia="Adobe Myungjo Std M" w:hAnsi="Bookman Old Style"/>
                <w:b/>
                <w:szCs w:val="18"/>
              </w:rPr>
            </w:pPr>
            <w:r>
              <w:rPr>
                <w:noProof/>
              </w:rPr>
              <w:drawing>
                <wp:inline distT="0" distB="0" distL="0" distR="0" wp14:anchorId="4D151BB9" wp14:editId="19CA6B79">
                  <wp:extent cx="3244850" cy="1822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4850" cy="1822450"/>
                          </a:xfrm>
                          <a:prstGeom prst="rect">
                            <a:avLst/>
                          </a:prstGeom>
                          <a:noFill/>
                          <a:ln>
                            <a:noFill/>
                          </a:ln>
                        </pic:spPr>
                      </pic:pic>
                    </a:graphicData>
                  </a:graphic>
                </wp:inline>
              </w:drawing>
            </w:r>
          </w:p>
          <w:p w14:paraId="0B3F45B9" w14:textId="36A52EBA" w:rsidR="006934EF" w:rsidRDefault="00C00DA0" w:rsidP="00C00DA0">
            <w:pPr>
              <w:pStyle w:val="ListParagraph"/>
              <w:numPr>
                <w:ilvl w:val="0"/>
                <w:numId w:val="4"/>
              </w:numPr>
              <w:ind w:rightChars="388" w:right="854"/>
              <w:jc w:val="center"/>
              <w:rPr>
                <w:rFonts w:ascii="Bookman Old Style" w:eastAsia="Adobe Myungjo Std M" w:hAnsi="Bookman Old Style"/>
                <w:b/>
                <w:szCs w:val="18"/>
              </w:rPr>
            </w:pPr>
            <w:r w:rsidRPr="00C00DA0">
              <w:rPr>
                <w:rFonts w:hint="eastAsia"/>
                <w:sz w:val="22"/>
                <w:szCs w:val="22"/>
              </w:rPr>
              <w:t>C</w:t>
            </w:r>
            <w:r w:rsidRPr="00C00DA0">
              <w:rPr>
                <w:sz w:val="22"/>
                <w:szCs w:val="22"/>
              </w:rPr>
              <w:t xml:space="preserve">lub </w:t>
            </w:r>
            <w:r>
              <w:rPr>
                <w:sz w:val="22"/>
                <w:szCs w:val="22"/>
              </w:rPr>
              <w:t>2</w:t>
            </w:r>
          </w:p>
        </w:tc>
      </w:tr>
      <w:tr w:rsidR="006934EF" w14:paraId="6DB2D37B" w14:textId="77777777" w:rsidTr="006934EF">
        <w:tc>
          <w:tcPr>
            <w:tcW w:w="8640" w:type="dxa"/>
          </w:tcPr>
          <w:p w14:paraId="7BEB0637" w14:textId="77777777" w:rsidR="006934EF" w:rsidRDefault="006934EF" w:rsidP="006934EF">
            <w:pPr>
              <w:pStyle w:val="ListParagraph"/>
              <w:ind w:leftChars="465" w:left="1023" w:rightChars="388" w:right="854"/>
              <w:jc w:val="center"/>
              <w:rPr>
                <w:rFonts w:ascii="Bookman Old Style" w:eastAsia="Adobe Myungjo Std M" w:hAnsi="Bookman Old Style"/>
                <w:b/>
                <w:szCs w:val="18"/>
              </w:rPr>
            </w:pPr>
            <w:r>
              <w:rPr>
                <w:noProof/>
              </w:rPr>
              <w:drawing>
                <wp:inline distT="0" distB="0" distL="0" distR="0" wp14:anchorId="3F2D6BE0" wp14:editId="4C904605">
                  <wp:extent cx="3289300" cy="1827389"/>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01054" cy="1833919"/>
                          </a:xfrm>
                          <a:prstGeom prst="rect">
                            <a:avLst/>
                          </a:prstGeom>
                          <a:noFill/>
                          <a:ln>
                            <a:noFill/>
                          </a:ln>
                        </pic:spPr>
                      </pic:pic>
                    </a:graphicData>
                  </a:graphic>
                </wp:inline>
              </w:drawing>
            </w:r>
          </w:p>
          <w:p w14:paraId="7FCCC51D" w14:textId="17527B8B" w:rsidR="006934EF" w:rsidRDefault="00C00DA0" w:rsidP="00C00DA0">
            <w:pPr>
              <w:pStyle w:val="ListParagraph"/>
              <w:numPr>
                <w:ilvl w:val="0"/>
                <w:numId w:val="4"/>
              </w:numPr>
              <w:ind w:rightChars="388" w:right="854"/>
              <w:jc w:val="center"/>
              <w:rPr>
                <w:rFonts w:ascii="Bookman Old Style" w:eastAsia="Adobe Myungjo Std M" w:hAnsi="Bookman Old Style"/>
                <w:b/>
                <w:szCs w:val="18"/>
              </w:rPr>
            </w:pPr>
            <w:r w:rsidRPr="00C00DA0">
              <w:rPr>
                <w:rFonts w:hint="eastAsia"/>
                <w:sz w:val="22"/>
                <w:szCs w:val="22"/>
              </w:rPr>
              <w:t>C</w:t>
            </w:r>
            <w:r w:rsidRPr="00C00DA0">
              <w:rPr>
                <w:sz w:val="22"/>
                <w:szCs w:val="22"/>
              </w:rPr>
              <w:t xml:space="preserve">lub </w:t>
            </w:r>
            <w:r>
              <w:rPr>
                <w:sz w:val="22"/>
                <w:szCs w:val="22"/>
              </w:rPr>
              <w:t>3</w:t>
            </w:r>
          </w:p>
        </w:tc>
      </w:tr>
    </w:tbl>
    <w:p w14:paraId="675C67D4" w14:textId="00F4CA9E" w:rsidR="00947042" w:rsidRDefault="006934EF" w:rsidP="006934EF">
      <w:pPr>
        <w:pStyle w:val="ListParagraph"/>
        <w:spacing w:line="360" w:lineRule="auto"/>
        <w:jc w:val="center"/>
      </w:pPr>
      <w:r>
        <w:t>Fig. 4. The transition path of provinces within each convergence club, 2008-2020</w:t>
      </w:r>
    </w:p>
    <w:p w14:paraId="4A0DC798" w14:textId="0DAEF4E7" w:rsidR="00F53207" w:rsidRDefault="00F53207" w:rsidP="006934EF">
      <w:pPr>
        <w:pStyle w:val="ListParagraph"/>
        <w:spacing w:line="360" w:lineRule="auto"/>
        <w:jc w:val="center"/>
      </w:pPr>
    </w:p>
    <w:p w14:paraId="4187D0A8" w14:textId="67344FC9" w:rsidR="00766F05" w:rsidRDefault="00C14939" w:rsidP="00B40673">
      <w:pPr>
        <w:pStyle w:val="ListParagraph"/>
        <w:spacing w:line="360" w:lineRule="auto"/>
        <w:ind w:firstLine="720"/>
        <w:jc w:val="both"/>
      </w:pPr>
      <w:r>
        <w:t>The results of club convergence test suggest the existence of persistent gap in regional real wage across Indonesia provinces. This reflect</w:t>
      </w:r>
      <w:r w:rsidR="00B40673">
        <w:t xml:space="preserve">s wage </w:t>
      </w:r>
      <w:r>
        <w:t xml:space="preserve">rigidity in which </w:t>
      </w:r>
      <w:r w:rsidR="003C7556">
        <w:t xml:space="preserve">the law of one price does not apply. </w:t>
      </w:r>
      <w:r w:rsidR="00B40673">
        <w:t>I</w:t>
      </w:r>
      <w:r w:rsidR="003C7556">
        <w:t xml:space="preserve">t also reflects heterogeneity in </w:t>
      </w:r>
      <w:r w:rsidR="00B40673">
        <w:t xml:space="preserve">macroeconomic condition and labor market across provinces. However, by this far we do not know which components of macroeconomic and labor market condition explain regional wage disparity across Indonesian provinces. Therefore, in the next section, we will investigate the important factors that contribute to the persistent regional </w:t>
      </w:r>
      <w:r w:rsidR="00B40673">
        <w:lastRenderedPageBreak/>
        <w:t>wage disparity</w:t>
      </w:r>
      <w:r w:rsidR="00AE0B24">
        <w:t>.</w:t>
      </w:r>
      <w:r w:rsidR="00B40673">
        <w:t xml:space="preserve"> More specifically, we want to answer the following question: what regional factors influence the formation of club convergence? </w:t>
      </w:r>
      <w:r>
        <w:t xml:space="preserve">   </w:t>
      </w:r>
    </w:p>
    <w:p w14:paraId="5CE5B479" w14:textId="77777777" w:rsidR="007056F9" w:rsidRPr="00B40673" w:rsidRDefault="007056F9" w:rsidP="00B40673">
      <w:pPr>
        <w:pStyle w:val="ListParagraph"/>
        <w:spacing w:line="360" w:lineRule="auto"/>
        <w:ind w:firstLine="720"/>
        <w:jc w:val="both"/>
      </w:pPr>
    </w:p>
    <w:p w14:paraId="5092B417" w14:textId="3CA1ACD6"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Factors influencing the convergence clubs</w:t>
      </w:r>
    </w:p>
    <w:p w14:paraId="217068DB" w14:textId="77777777" w:rsidR="00766F05" w:rsidRDefault="00766F05" w:rsidP="00766F05">
      <w:pPr>
        <w:pStyle w:val="ListParagraph"/>
        <w:ind w:left="1440"/>
        <w:rPr>
          <w:rFonts w:ascii="Bookman Old Style" w:eastAsia="Adobe Myungjo Std M" w:hAnsi="Bookman Old Style"/>
          <w:b/>
          <w:szCs w:val="18"/>
        </w:rPr>
      </w:pPr>
    </w:p>
    <w:p w14:paraId="79B36F2F" w14:textId="2367674C" w:rsidR="00FA6ED2" w:rsidRDefault="00AE0B24" w:rsidP="00AE0B24">
      <w:pPr>
        <w:spacing w:line="360" w:lineRule="auto"/>
        <w:ind w:left="720" w:rightChars="1" w:right="2"/>
        <w:jc w:val="both"/>
      </w:pPr>
      <w:r>
        <w:t>This section examines important conditioning factors that contribute to the convergence club formation</w:t>
      </w:r>
      <w:r w:rsidR="002B2B9E">
        <w:t xml:space="preserve"> by applying ordered logit model as explained in sub section 3.1.3.  Before implementing ordered logit regression, we re-classified the clubs as the outcomes based on the value of wage in each club as mentioned before; high (Club 1), middle (Club 2), and low (Club 3). Then, following the literature, these ordered outcomes are regressed as the dependent variable against a set of independent variables </w:t>
      </w:r>
      <w:r w:rsidR="003C4CE2">
        <w:t xml:space="preserve">as the influencing factors of convergence clubs </w:t>
      </w:r>
      <w:r w:rsidR="002B2B9E">
        <w:t>described in Table 3.</w:t>
      </w:r>
    </w:p>
    <w:p w14:paraId="1A502691" w14:textId="765DA958" w:rsidR="006E79B9" w:rsidRDefault="006E79B9" w:rsidP="006E79B9">
      <w:pPr>
        <w:spacing w:line="360" w:lineRule="auto"/>
        <w:ind w:left="720" w:rightChars="1" w:right="2"/>
        <w:jc w:val="center"/>
      </w:pPr>
      <w:r>
        <w:rPr>
          <w:rFonts w:hint="eastAsia"/>
        </w:rPr>
        <w:t>T</w:t>
      </w:r>
      <w:r>
        <w:t>able 3. Variables used</w:t>
      </w:r>
      <w:r w:rsidR="003C4CE2">
        <w:t xml:space="preserve"> in ordered logit model</w:t>
      </w:r>
    </w:p>
    <w:tbl>
      <w:tblPr>
        <w:tblStyle w:val="TableGrid"/>
        <w:tblW w:w="8631" w:type="dxa"/>
        <w:tblInd w:w="720" w:type="dxa"/>
        <w:tblBorders>
          <w:left w:val="none" w:sz="0" w:space="0" w:color="auto"/>
          <w:right w:val="none" w:sz="0" w:space="0" w:color="auto"/>
        </w:tblBorders>
        <w:tblLook w:val="04A0" w:firstRow="1" w:lastRow="0" w:firstColumn="1" w:lastColumn="0" w:noHBand="0" w:noVBand="1"/>
      </w:tblPr>
      <w:tblGrid>
        <w:gridCol w:w="2002"/>
        <w:gridCol w:w="5179"/>
        <w:gridCol w:w="1450"/>
      </w:tblGrid>
      <w:tr w:rsidR="002B2B9E" w14:paraId="401B7FBC" w14:textId="77777777" w:rsidTr="003C4CE2">
        <w:tc>
          <w:tcPr>
            <w:tcW w:w="2002" w:type="dxa"/>
            <w:tcBorders>
              <w:right w:val="nil"/>
            </w:tcBorders>
          </w:tcPr>
          <w:p w14:paraId="2692CD64" w14:textId="524CEA64" w:rsidR="002B2B9E" w:rsidRDefault="002B2B9E" w:rsidP="002B2B9E">
            <w:pPr>
              <w:ind w:rightChars="1" w:right="2"/>
              <w:jc w:val="center"/>
              <w:rPr>
                <w:rFonts w:ascii="Bookman Old Style" w:eastAsia="Adobe Myungjo Std M" w:hAnsi="Bookman Old Style"/>
                <w:b/>
                <w:szCs w:val="18"/>
              </w:rPr>
            </w:pPr>
            <w:r w:rsidRPr="002B2B9E">
              <w:rPr>
                <w:rFonts w:hint="eastAsia"/>
                <w:sz w:val="22"/>
                <w:szCs w:val="22"/>
              </w:rPr>
              <w:t>V</w:t>
            </w:r>
            <w:r w:rsidRPr="002B2B9E">
              <w:rPr>
                <w:sz w:val="22"/>
                <w:szCs w:val="22"/>
              </w:rPr>
              <w:t>ariable</w:t>
            </w:r>
          </w:p>
        </w:tc>
        <w:tc>
          <w:tcPr>
            <w:tcW w:w="5179" w:type="dxa"/>
            <w:tcBorders>
              <w:left w:val="nil"/>
              <w:right w:val="nil"/>
            </w:tcBorders>
          </w:tcPr>
          <w:p w14:paraId="68DE2BCD" w14:textId="2DEC7FAC" w:rsidR="002B2B9E" w:rsidRDefault="002B2B9E" w:rsidP="002B2B9E">
            <w:pPr>
              <w:ind w:rightChars="1" w:right="2"/>
              <w:jc w:val="center"/>
              <w:rPr>
                <w:rFonts w:ascii="Bookman Old Style" w:eastAsia="Adobe Myungjo Std M" w:hAnsi="Bookman Old Style"/>
                <w:b/>
                <w:szCs w:val="18"/>
              </w:rPr>
            </w:pPr>
            <w:r>
              <w:rPr>
                <w:sz w:val="22"/>
                <w:szCs w:val="22"/>
              </w:rPr>
              <w:t>Definition</w:t>
            </w:r>
          </w:p>
        </w:tc>
        <w:tc>
          <w:tcPr>
            <w:tcW w:w="1450" w:type="dxa"/>
            <w:tcBorders>
              <w:left w:val="nil"/>
            </w:tcBorders>
          </w:tcPr>
          <w:p w14:paraId="2E433356" w14:textId="1F08916B" w:rsidR="002B2B9E" w:rsidRDefault="002B2B9E" w:rsidP="002B2B9E">
            <w:pPr>
              <w:ind w:rightChars="1" w:right="2"/>
              <w:jc w:val="center"/>
              <w:rPr>
                <w:rFonts w:ascii="Bookman Old Style" w:eastAsia="Adobe Myungjo Std M" w:hAnsi="Bookman Old Style"/>
                <w:b/>
                <w:szCs w:val="18"/>
              </w:rPr>
            </w:pPr>
            <w:r>
              <w:rPr>
                <w:sz w:val="22"/>
                <w:szCs w:val="22"/>
              </w:rPr>
              <w:t>Source</w:t>
            </w:r>
          </w:p>
        </w:tc>
      </w:tr>
      <w:tr w:rsidR="002B2B9E" w14:paraId="20E1D98C" w14:textId="77777777" w:rsidTr="003C4CE2">
        <w:tc>
          <w:tcPr>
            <w:tcW w:w="2002" w:type="dxa"/>
            <w:tcBorders>
              <w:bottom w:val="nil"/>
              <w:right w:val="nil"/>
            </w:tcBorders>
          </w:tcPr>
          <w:p w14:paraId="7A0027A2" w14:textId="7883CB33" w:rsidR="002B2B9E" w:rsidRPr="002B2B9E" w:rsidRDefault="002B2B9E" w:rsidP="003C4CE2">
            <w:pPr>
              <w:spacing w:afterLines="50" w:after="120"/>
              <w:ind w:rightChars="1" w:right="2"/>
              <w:rPr>
                <w:sz w:val="22"/>
                <w:szCs w:val="22"/>
              </w:rPr>
            </w:pPr>
            <w:r w:rsidRPr="002B2B9E">
              <w:rPr>
                <w:rFonts w:hint="eastAsia"/>
                <w:sz w:val="22"/>
                <w:szCs w:val="22"/>
              </w:rPr>
              <w:t>I</w:t>
            </w:r>
            <w:r w:rsidRPr="002B2B9E">
              <w:rPr>
                <w:sz w:val="22"/>
                <w:szCs w:val="22"/>
              </w:rPr>
              <w:t>nitial value of wage</w:t>
            </w:r>
            <w:r w:rsidR="00504073">
              <w:rPr>
                <w:sz w:val="22"/>
                <w:szCs w:val="22"/>
              </w:rPr>
              <w:t xml:space="preserve"> (2008)</w:t>
            </w:r>
          </w:p>
        </w:tc>
        <w:tc>
          <w:tcPr>
            <w:tcW w:w="5179" w:type="dxa"/>
            <w:tcBorders>
              <w:left w:val="nil"/>
              <w:bottom w:val="nil"/>
              <w:right w:val="nil"/>
            </w:tcBorders>
          </w:tcPr>
          <w:p w14:paraId="72FD77F8" w14:textId="36163C64" w:rsidR="002B2B9E" w:rsidRPr="002B2B9E" w:rsidRDefault="002B2B9E" w:rsidP="006E79B9">
            <w:pPr>
              <w:ind w:rightChars="1" w:right="2"/>
              <w:jc w:val="center"/>
              <w:rPr>
                <w:sz w:val="22"/>
                <w:szCs w:val="22"/>
              </w:rPr>
            </w:pPr>
            <w:r w:rsidRPr="002B2B9E">
              <w:rPr>
                <w:rFonts w:hint="eastAsia"/>
                <w:sz w:val="22"/>
                <w:szCs w:val="22"/>
              </w:rPr>
              <w:t>R</w:t>
            </w:r>
            <w:r w:rsidRPr="002B2B9E">
              <w:rPr>
                <w:sz w:val="22"/>
                <w:szCs w:val="22"/>
              </w:rPr>
              <w:t>eal wage in 2008 (in 000 IDR)</w:t>
            </w:r>
          </w:p>
        </w:tc>
        <w:tc>
          <w:tcPr>
            <w:tcW w:w="1450" w:type="dxa"/>
            <w:tcBorders>
              <w:left w:val="nil"/>
              <w:bottom w:val="nil"/>
            </w:tcBorders>
          </w:tcPr>
          <w:p w14:paraId="00F06AB2" w14:textId="5CF084BA" w:rsidR="002B2B9E" w:rsidRPr="002B2B9E" w:rsidRDefault="003C4CE2" w:rsidP="003C4CE2">
            <w:pPr>
              <w:ind w:rightChars="1" w:right="2"/>
              <w:jc w:val="center"/>
              <w:rPr>
                <w:sz w:val="22"/>
                <w:szCs w:val="22"/>
              </w:rPr>
            </w:pPr>
            <w:r>
              <w:rPr>
                <w:sz w:val="22"/>
                <w:szCs w:val="22"/>
              </w:rPr>
              <w:t>BPS</w:t>
            </w:r>
          </w:p>
        </w:tc>
      </w:tr>
      <w:tr w:rsidR="002B2B9E" w14:paraId="7FDDC647" w14:textId="77777777" w:rsidTr="003C4CE2">
        <w:tc>
          <w:tcPr>
            <w:tcW w:w="2002" w:type="dxa"/>
            <w:tcBorders>
              <w:top w:val="nil"/>
              <w:bottom w:val="nil"/>
              <w:right w:val="nil"/>
            </w:tcBorders>
          </w:tcPr>
          <w:p w14:paraId="13639A14" w14:textId="152361BC" w:rsidR="002B2B9E" w:rsidRPr="002B2B9E" w:rsidRDefault="002B2B9E" w:rsidP="003C4CE2">
            <w:pPr>
              <w:spacing w:afterLines="50" w:after="120"/>
              <w:ind w:rightChars="1" w:right="2"/>
              <w:rPr>
                <w:sz w:val="22"/>
                <w:szCs w:val="22"/>
              </w:rPr>
            </w:pPr>
            <w:r>
              <w:rPr>
                <w:rFonts w:hint="eastAsia"/>
                <w:sz w:val="22"/>
                <w:szCs w:val="22"/>
              </w:rPr>
              <w:t>M</w:t>
            </w:r>
            <w:r>
              <w:rPr>
                <w:sz w:val="22"/>
                <w:szCs w:val="22"/>
              </w:rPr>
              <w:t>anufacture employment share</w:t>
            </w:r>
          </w:p>
        </w:tc>
        <w:tc>
          <w:tcPr>
            <w:tcW w:w="5179" w:type="dxa"/>
            <w:tcBorders>
              <w:top w:val="nil"/>
              <w:left w:val="nil"/>
              <w:bottom w:val="nil"/>
              <w:right w:val="nil"/>
            </w:tcBorders>
          </w:tcPr>
          <w:p w14:paraId="6F1AB4A9" w14:textId="731394E6" w:rsidR="002B2B9E" w:rsidRPr="006E79B9" w:rsidRDefault="005E6069" w:rsidP="002B2B9E">
            <w:pPr>
              <w:ind w:rightChars="1" w:right="2"/>
              <w:rPr>
                <w:sz w:val="22"/>
                <w:szCs w:val="22"/>
              </w:rPr>
            </w:pPr>
            <m:oMathPara>
              <m:oMath>
                <m:f>
                  <m:fPr>
                    <m:ctrlPr>
                      <w:rPr>
                        <w:rFonts w:ascii="Cambria Math" w:hAnsi="Cambria Math"/>
                        <w:sz w:val="22"/>
                        <w:szCs w:val="22"/>
                      </w:rPr>
                    </m:ctrlPr>
                  </m:fPr>
                  <m:num>
                    <m:r>
                      <m:rPr>
                        <m:sty m:val="p"/>
                      </m:rPr>
                      <w:rPr>
                        <w:rFonts w:ascii="Cambria Math" w:hAnsi="Cambria Math"/>
                        <w:sz w:val="22"/>
                        <w:szCs w:val="22"/>
                      </w:rPr>
                      <m:t>Number of people employed in manufacturing sector</m:t>
                    </m:r>
                  </m:num>
                  <m:den>
                    <m:r>
                      <m:rPr>
                        <m:sty m:val="p"/>
                      </m:rPr>
                      <w:rPr>
                        <w:rFonts w:ascii="Cambria Math" w:hAnsi="Cambria Math"/>
                        <w:sz w:val="22"/>
                        <w:szCs w:val="22"/>
                      </w:rPr>
                      <m:t>Total number of people employed</m:t>
                    </m:r>
                  </m:den>
                </m:f>
              </m:oMath>
            </m:oMathPara>
          </w:p>
        </w:tc>
        <w:tc>
          <w:tcPr>
            <w:tcW w:w="1450" w:type="dxa"/>
            <w:tcBorders>
              <w:top w:val="nil"/>
              <w:left w:val="nil"/>
              <w:bottom w:val="nil"/>
            </w:tcBorders>
          </w:tcPr>
          <w:p w14:paraId="6E91B336" w14:textId="3425BA26" w:rsidR="002B2B9E" w:rsidRPr="002B2B9E" w:rsidRDefault="003C4CE2" w:rsidP="003C4CE2">
            <w:pPr>
              <w:ind w:rightChars="1" w:right="2"/>
              <w:jc w:val="center"/>
              <w:rPr>
                <w:sz w:val="22"/>
                <w:szCs w:val="22"/>
              </w:rPr>
            </w:pPr>
            <w:r>
              <w:rPr>
                <w:sz w:val="22"/>
                <w:szCs w:val="22"/>
              </w:rPr>
              <w:t>BPS</w:t>
            </w:r>
          </w:p>
        </w:tc>
      </w:tr>
      <w:tr w:rsidR="002B2B9E" w14:paraId="3FDBDD64" w14:textId="77777777" w:rsidTr="003C4CE2">
        <w:tc>
          <w:tcPr>
            <w:tcW w:w="2002" w:type="dxa"/>
            <w:tcBorders>
              <w:top w:val="nil"/>
              <w:bottom w:val="nil"/>
              <w:right w:val="nil"/>
            </w:tcBorders>
          </w:tcPr>
          <w:p w14:paraId="7A0C846E" w14:textId="0E4D616C" w:rsidR="002B2B9E" w:rsidRPr="002B2B9E" w:rsidRDefault="002B2B9E" w:rsidP="003C4CE2">
            <w:pPr>
              <w:spacing w:afterLines="50" w:after="120"/>
              <w:ind w:rightChars="1" w:right="2"/>
              <w:rPr>
                <w:sz w:val="22"/>
                <w:szCs w:val="22"/>
              </w:rPr>
            </w:pPr>
            <w:r>
              <w:rPr>
                <w:rFonts w:hint="eastAsia"/>
                <w:sz w:val="22"/>
                <w:szCs w:val="22"/>
              </w:rPr>
              <w:t>I</w:t>
            </w:r>
            <w:r>
              <w:rPr>
                <w:sz w:val="22"/>
                <w:szCs w:val="22"/>
              </w:rPr>
              <w:t>nvestment share to GDP</w:t>
            </w:r>
          </w:p>
        </w:tc>
        <w:tc>
          <w:tcPr>
            <w:tcW w:w="5179" w:type="dxa"/>
            <w:tcBorders>
              <w:top w:val="nil"/>
              <w:left w:val="nil"/>
              <w:bottom w:val="nil"/>
              <w:right w:val="nil"/>
            </w:tcBorders>
          </w:tcPr>
          <w:p w14:paraId="4D416CDE" w14:textId="16053B8F" w:rsidR="006E79B9" w:rsidRPr="002B2B9E" w:rsidRDefault="005E6069" w:rsidP="002B2B9E">
            <w:pPr>
              <w:ind w:rightChars="1" w:right="2"/>
              <w:rPr>
                <w:sz w:val="22"/>
                <w:szCs w:val="22"/>
              </w:rPr>
            </w:pPr>
            <m:oMathPara>
              <m:oMath>
                <m:f>
                  <m:fPr>
                    <m:ctrlPr>
                      <w:rPr>
                        <w:rFonts w:ascii="Cambria Math" w:eastAsia="Arial Unicode MS" w:hAnsi="Cambria Math" w:cs="Arial Unicode MS"/>
                        <w:i/>
                        <w:sz w:val="22"/>
                        <w:szCs w:val="22"/>
                      </w:rPr>
                    </m:ctrlPr>
                  </m:fPr>
                  <m:num>
                    <m:r>
                      <m:rPr>
                        <m:sty m:val="p"/>
                      </m:rPr>
                      <w:rPr>
                        <w:rFonts w:ascii="Cambria Math" w:eastAsia="Arial Unicode MS" w:hAnsi="Cambria Math" w:cs="Arial Unicode MS"/>
                        <w:sz w:val="22"/>
                        <w:szCs w:val="22"/>
                      </w:rPr>
                      <m:t>Total investment</m:t>
                    </m:r>
                  </m:num>
                  <m:den>
                    <m:r>
                      <m:rPr>
                        <m:sty m:val="p"/>
                      </m:rPr>
                      <w:rPr>
                        <w:rFonts w:ascii="Cambria Math" w:eastAsia="Arial Unicode MS" w:hAnsi="Cambria Math" w:cs="Arial Unicode MS"/>
                        <w:sz w:val="22"/>
                        <w:szCs w:val="22"/>
                      </w:rPr>
                      <m:t>Total GDP</m:t>
                    </m:r>
                  </m:den>
                </m:f>
              </m:oMath>
            </m:oMathPara>
          </w:p>
        </w:tc>
        <w:tc>
          <w:tcPr>
            <w:tcW w:w="1450" w:type="dxa"/>
            <w:tcBorders>
              <w:top w:val="nil"/>
              <w:left w:val="nil"/>
              <w:bottom w:val="nil"/>
            </w:tcBorders>
          </w:tcPr>
          <w:p w14:paraId="61FA52B1" w14:textId="3FC91EE7" w:rsidR="002B2B9E" w:rsidRPr="002B2B9E" w:rsidRDefault="003C4CE2" w:rsidP="003C4CE2">
            <w:pPr>
              <w:ind w:rightChars="1" w:right="2"/>
              <w:jc w:val="center"/>
              <w:rPr>
                <w:sz w:val="22"/>
                <w:szCs w:val="22"/>
              </w:rPr>
            </w:pPr>
            <w:r>
              <w:rPr>
                <w:sz w:val="22"/>
                <w:szCs w:val="22"/>
              </w:rPr>
              <w:t>BPS</w:t>
            </w:r>
          </w:p>
        </w:tc>
      </w:tr>
      <w:tr w:rsidR="002B2B9E" w14:paraId="58D1366B" w14:textId="77777777" w:rsidTr="003C4CE2">
        <w:tc>
          <w:tcPr>
            <w:tcW w:w="2002" w:type="dxa"/>
            <w:tcBorders>
              <w:top w:val="nil"/>
              <w:bottom w:val="nil"/>
              <w:right w:val="nil"/>
            </w:tcBorders>
          </w:tcPr>
          <w:p w14:paraId="70C912F4" w14:textId="1E3B2D6C" w:rsidR="002B2B9E" w:rsidRPr="002B2B9E" w:rsidRDefault="006E79B9" w:rsidP="003C4CE2">
            <w:pPr>
              <w:spacing w:afterLines="50" w:after="120"/>
              <w:ind w:rightChars="1" w:right="2"/>
              <w:rPr>
                <w:sz w:val="22"/>
                <w:szCs w:val="22"/>
              </w:rPr>
            </w:pPr>
            <w:r>
              <w:rPr>
                <w:rFonts w:hint="eastAsia"/>
                <w:sz w:val="22"/>
                <w:szCs w:val="22"/>
              </w:rPr>
              <w:t>L</w:t>
            </w:r>
            <w:r>
              <w:rPr>
                <w:sz w:val="22"/>
                <w:szCs w:val="22"/>
              </w:rPr>
              <w:t>abor force participation rate</w:t>
            </w:r>
          </w:p>
        </w:tc>
        <w:tc>
          <w:tcPr>
            <w:tcW w:w="5179" w:type="dxa"/>
            <w:tcBorders>
              <w:top w:val="nil"/>
              <w:left w:val="nil"/>
              <w:bottom w:val="nil"/>
              <w:right w:val="nil"/>
            </w:tcBorders>
          </w:tcPr>
          <w:p w14:paraId="6CE8FB5F" w14:textId="4F6AA0A4" w:rsidR="006E79B9" w:rsidRPr="002B2B9E" w:rsidRDefault="005E6069" w:rsidP="002B2B9E">
            <w:pPr>
              <w:ind w:rightChars="1" w:right="2"/>
              <w:rPr>
                <w:sz w:val="22"/>
                <w:szCs w:val="22"/>
              </w:rPr>
            </w:pPr>
            <m:oMathPara>
              <m:oMath>
                <m:f>
                  <m:fPr>
                    <m:ctrlPr>
                      <w:rPr>
                        <w:rFonts w:ascii="Cambria Math" w:eastAsia="Arial Unicode MS" w:hAnsi="Cambria Math" w:cs="Arial Unicode MS"/>
                        <w:i/>
                        <w:sz w:val="22"/>
                        <w:szCs w:val="22"/>
                      </w:rPr>
                    </m:ctrlPr>
                  </m:fPr>
                  <m:num>
                    <m:r>
                      <m:rPr>
                        <m:sty m:val="p"/>
                      </m:rPr>
                      <w:rPr>
                        <w:rFonts w:ascii="Cambria Math" w:eastAsia="Arial Unicode MS" w:hAnsi="Cambria Math" w:cs="Arial Unicode MS"/>
                        <w:sz w:val="22"/>
                        <w:szCs w:val="22"/>
                      </w:rPr>
                      <m:t>Number of persons in the labor force</m:t>
                    </m:r>
                  </m:num>
                  <m:den>
                    <m:r>
                      <m:rPr>
                        <m:sty m:val="p"/>
                      </m:rPr>
                      <w:rPr>
                        <w:rFonts w:ascii="Cambria Math" w:eastAsia="Arial Unicode MS" w:hAnsi="Cambria Math" w:cs="Arial Unicode MS"/>
                        <w:sz w:val="22"/>
                        <w:szCs w:val="22"/>
                      </w:rPr>
                      <m:t>Population aged ten (10) years and over</m:t>
                    </m:r>
                  </m:den>
                </m:f>
              </m:oMath>
            </m:oMathPara>
          </w:p>
        </w:tc>
        <w:tc>
          <w:tcPr>
            <w:tcW w:w="1450" w:type="dxa"/>
            <w:tcBorders>
              <w:top w:val="nil"/>
              <w:left w:val="nil"/>
              <w:bottom w:val="nil"/>
            </w:tcBorders>
          </w:tcPr>
          <w:p w14:paraId="41005888" w14:textId="79CA4584" w:rsidR="002B2B9E" w:rsidRPr="002B2B9E" w:rsidRDefault="003C4CE2" w:rsidP="003C4CE2">
            <w:pPr>
              <w:ind w:rightChars="1" w:right="2"/>
              <w:jc w:val="center"/>
              <w:rPr>
                <w:sz w:val="22"/>
                <w:szCs w:val="22"/>
              </w:rPr>
            </w:pPr>
            <w:r>
              <w:rPr>
                <w:sz w:val="22"/>
                <w:szCs w:val="22"/>
              </w:rPr>
              <w:t>BPS</w:t>
            </w:r>
          </w:p>
        </w:tc>
      </w:tr>
      <w:tr w:rsidR="002B2B9E" w14:paraId="661E5041" w14:textId="77777777" w:rsidTr="003C4CE2">
        <w:tc>
          <w:tcPr>
            <w:tcW w:w="2002" w:type="dxa"/>
            <w:tcBorders>
              <w:top w:val="nil"/>
              <w:right w:val="nil"/>
            </w:tcBorders>
          </w:tcPr>
          <w:p w14:paraId="6D218428" w14:textId="1B7E12B3" w:rsidR="002B2B9E" w:rsidRPr="002B2B9E" w:rsidRDefault="006E79B9" w:rsidP="002B2B9E">
            <w:pPr>
              <w:ind w:rightChars="1" w:right="2"/>
              <w:rPr>
                <w:sz w:val="22"/>
                <w:szCs w:val="22"/>
              </w:rPr>
            </w:pPr>
            <w:r>
              <w:rPr>
                <w:rFonts w:hint="eastAsia"/>
                <w:sz w:val="22"/>
                <w:szCs w:val="22"/>
              </w:rPr>
              <w:t>G</w:t>
            </w:r>
            <w:r>
              <w:rPr>
                <w:sz w:val="22"/>
                <w:szCs w:val="22"/>
              </w:rPr>
              <w:t>DP</w:t>
            </w:r>
          </w:p>
        </w:tc>
        <w:tc>
          <w:tcPr>
            <w:tcW w:w="5179" w:type="dxa"/>
            <w:tcBorders>
              <w:top w:val="nil"/>
              <w:left w:val="nil"/>
              <w:right w:val="nil"/>
            </w:tcBorders>
          </w:tcPr>
          <w:p w14:paraId="39D7D1D7" w14:textId="29707768" w:rsidR="002B2B9E" w:rsidRPr="002B2B9E" w:rsidRDefault="006E79B9" w:rsidP="006E79B9">
            <w:pPr>
              <w:ind w:rightChars="1" w:right="2"/>
              <w:jc w:val="center"/>
              <w:rPr>
                <w:sz w:val="22"/>
                <w:szCs w:val="22"/>
              </w:rPr>
            </w:pPr>
            <w:r>
              <w:rPr>
                <w:rFonts w:hint="eastAsia"/>
                <w:sz w:val="22"/>
                <w:szCs w:val="22"/>
              </w:rPr>
              <w:t>R</w:t>
            </w:r>
            <w:r>
              <w:rPr>
                <w:sz w:val="22"/>
                <w:szCs w:val="22"/>
              </w:rPr>
              <w:t>eal GDP (2010 = 100) in log form</w:t>
            </w:r>
          </w:p>
        </w:tc>
        <w:tc>
          <w:tcPr>
            <w:tcW w:w="1450" w:type="dxa"/>
            <w:tcBorders>
              <w:top w:val="nil"/>
              <w:left w:val="nil"/>
            </w:tcBorders>
          </w:tcPr>
          <w:p w14:paraId="279A00BF" w14:textId="5E17194D" w:rsidR="002B2B9E" w:rsidRPr="002B2B9E" w:rsidRDefault="003C4CE2" w:rsidP="003C4CE2">
            <w:pPr>
              <w:ind w:rightChars="1" w:right="2"/>
              <w:jc w:val="center"/>
              <w:rPr>
                <w:sz w:val="22"/>
                <w:szCs w:val="22"/>
              </w:rPr>
            </w:pPr>
            <w:r>
              <w:rPr>
                <w:sz w:val="22"/>
                <w:szCs w:val="22"/>
              </w:rPr>
              <w:t>BPS</w:t>
            </w:r>
          </w:p>
        </w:tc>
      </w:tr>
    </w:tbl>
    <w:p w14:paraId="1079A44A" w14:textId="3B3C631D" w:rsidR="003C4CE2" w:rsidRDefault="003C4CE2" w:rsidP="003C4CE2">
      <w:pPr>
        <w:pStyle w:val="ListParagraph"/>
        <w:spacing w:line="360" w:lineRule="auto"/>
        <w:ind w:left="709"/>
        <w:jc w:val="both"/>
      </w:pPr>
      <w:r w:rsidRPr="000D4F2D">
        <w:rPr>
          <w:rFonts w:hint="eastAsia"/>
          <w:i/>
          <w:iCs/>
        </w:rPr>
        <w:t>N</w:t>
      </w:r>
      <w:r w:rsidRPr="000D4F2D">
        <w:rPr>
          <w:i/>
          <w:iCs/>
        </w:rPr>
        <w:t>ote:</w:t>
      </w:r>
      <w:r>
        <w:t xml:space="preserve"> BPS (Badan Pusat </w:t>
      </w:r>
      <w:proofErr w:type="spellStart"/>
      <w:r>
        <w:t>Statistik</w:t>
      </w:r>
      <w:proofErr w:type="spellEnd"/>
      <w:r>
        <w:t>) is Indonesian Central Bureau of Statistics.</w:t>
      </w:r>
    </w:p>
    <w:p w14:paraId="41176FAD" w14:textId="77777777" w:rsidR="00F307C6" w:rsidRDefault="003C4CE2" w:rsidP="00F307C6">
      <w:pPr>
        <w:spacing w:line="360" w:lineRule="auto"/>
        <w:ind w:left="720" w:rightChars="1" w:right="2" w:firstLine="720"/>
        <w:jc w:val="both"/>
        <w:sectPr w:rsidR="00F307C6">
          <w:pgSz w:w="12240" w:h="15840"/>
          <w:pgMar w:top="1440" w:right="1440" w:bottom="1440" w:left="1440" w:header="720" w:footer="720" w:gutter="0"/>
          <w:cols w:space="720"/>
          <w:docGrid w:linePitch="360"/>
        </w:sectPr>
      </w:pPr>
      <w:r>
        <w:t xml:space="preserve">Table 4 presents the results from the ordered logit model. The second column shows the ordered logit coefficients, while the last column exhibits the marginal effects of probability that represent the individual effect of explanatory variable on the probability of a province converging to a particular club. Regarding our club convergence identification results, the selected explanatory variables largely explain the probability of membership in club 2 (middle) and club 3 (low), while the probability of membership in </w:t>
      </w:r>
      <w:r w:rsidR="00244E0E">
        <w:t>club 1 (high)</w:t>
      </w:r>
      <w:r>
        <w:t xml:space="preserve"> remain unexplained. This might be because the sample size in </w:t>
      </w:r>
      <w:r w:rsidR="00244E0E">
        <w:t>c</w:t>
      </w:r>
      <w:r>
        <w:t xml:space="preserve">lub 1 (high) </w:t>
      </w:r>
      <w:r w:rsidR="00244E0E">
        <w:t>very s</w:t>
      </w:r>
      <w:r>
        <w:t>mal</w:t>
      </w:r>
      <w:r w:rsidR="00244E0E">
        <w:t>l</w:t>
      </w:r>
      <w:r>
        <w:t>. Nonetheless, the model helps to explain how those inf</w:t>
      </w:r>
      <w:r w:rsidR="00244E0E">
        <w:t>l</w:t>
      </w:r>
      <w:r>
        <w:t>uencing factors af</w:t>
      </w:r>
      <w:r w:rsidR="00244E0E">
        <w:t>f</w:t>
      </w:r>
      <w:r>
        <w:t>ect the formation of convergence clubs</w:t>
      </w:r>
      <w:r w:rsidR="00244E0E">
        <w:t xml:space="preserve">. </w:t>
      </w:r>
    </w:p>
    <w:p w14:paraId="25ABEC17" w14:textId="76B8A3FB" w:rsidR="00F307C6" w:rsidRDefault="00F307C6" w:rsidP="00F307C6">
      <w:pPr>
        <w:spacing w:line="360" w:lineRule="auto"/>
        <w:ind w:left="720" w:rightChars="1" w:right="2" w:hanging="11"/>
        <w:jc w:val="center"/>
      </w:pPr>
      <w:r>
        <w:rPr>
          <w:rFonts w:hint="eastAsia"/>
        </w:rPr>
        <w:lastRenderedPageBreak/>
        <w:t>T</w:t>
      </w:r>
      <w:r>
        <w:t>able 4</w:t>
      </w:r>
      <w:r w:rsidR="008F5B04">
        <w:t>.</w:t>
      </w:r>
      <w:r>
        <w:t xml:space="preserve"> Results of ordered logit and marginal ef</w:t>
      </w:r>
      <w:r w:rsidR="00E965AF">
        <w:t>f</w:t>
      </w:r>
      <w:r>
        <w:t>ects on probabilities</w:t>
      </w:r>
    </w:p>
    <w:tbl>
      <w:tblPr>
        <w:tblStyle w:val="TableGrid"/>
        <w:tblW w:w="0" w:type="auto"/>
        <w:tblInd w:w="720" w:type="dxa"/>
        <w:tblBorders>
          <w:left w:val="none" w:sz="0" w:space="0" w:color="auto"/>
          <w:right w:val="none" w:sz="0" w:space="0" w:color="auto"/>
          <w:insideV w:val="none" w:sz="0" w:space="0" w:color="auto"/>
        </w:tblBorders>
        <w:tblLook w:val="04A0" w:firstRow="1" w:lastRow="0" w:firstColumn="1" w:lastColumn="0" w:noHBand="0" w:noVBand="1"/>
      </w:tblPr>
      <w:tblGrid>
        <w:gridCol w:w="2394"/>
        <w:gridCol w:w="1559"/>
        <w:gridCol w:w="1559"/>
        <w:gridCol w:w="1701"/>
        <w:gridCol w:w="1417"/>
      </w:tblGrid>
      <w:tr w:rsidR="00F307C6" w14:paraId="50EC3B30" w14:textId="77777777" w:rsidTr="00D613A8">
        <w:tc>
          <w:tcPr>
            <w:tcW w:w="2394" w:type="dxa"/>
            <w:vMerge w:val="restart"/>
          </w:tcPr>
          <w:p w14:paraId="7EF00351" w14:textId="5F11CB62" w:rsidR="00F307C6" w:rsidRPr="00F307C6" w:rsidRDefault="00F307C6" w:rsidP="00F307C6">
            <w:pPr>
              <w:ind w:rightChars="1" w:right="2"/>
              <w:jc w:val="center"/>
              <w:rPr>
                <w:sz w:val="22"/>
                <w:szCs w:val="22"/>
              </w:rPr>
            </w:pPr>
            <w:r w:rsidRPr="00F307C6">
              <w:rPr>
                <w:rFonts w:hint="eastAsia"/>
                <w:sz w:val="22"/>
                <w:szCs w:val="22"/>
              </w:rPr>
              <w:t>V</w:t>
            </w:r>
            <w:r w:rsidRPr="00F307C6">
              <w:rPr>
                <w:sz w:val="22"/>
                <w:szCs w:val="22"/>
              </w:rPr>
              <w:t>ariables</w:t>
            </w:r>
          </w:p>
        </w:tc>
        <w:tc>
          <w:tcPr>
            <w:tcW w:w="1559" w:type="dxa"/>
            <w:vMerge w:val="restart"/>
          </w:tcPr>
          <w:p w14:paraId="58BC25B9" w14:textId="3E33D0F0" w:rsidR="00F307C6" w:rsidRPr="00F307C6" w:rsidRDefault="00F307C6" w:rsidP="00F307C6">
            <w:pPr>
              <w:ind w:rightChars="1" w:right="2"/>
              <w:jc w:val="center"/>
              <w:rPr>
                <w:sz w:val="22"/>
                <w:szCs w:val="22"/>
              </w:rPr>
            </w:pPr>
            <w:r w:rsidRPr="00F307C6">
              <w:rPr>
                <w:rFonts w:hint="eastAsia"/>
                <w:sz w:val="22"/>
                <w:szCs w:val="22"/>
              </w:rPr>
              <w:t>O</w:t>
            </w:r>
            <w:r w:rsidRPr="00F307C6">
              <w:rPr>
                <w:sz w:val="22"/>
                <w:szCs w:val="22"/>
              </w:rPr>
              <w:t>rdered logit</w:t>
            </w:r>
            <w:r>
              <w:rPr>
                <w:sz w:val="22"/>
                <w:szCs w:val="22"/>
              </w:rPr>
              <w:t xml:space="preserve"> coefficient</w:t>
            </w:r>
          </w:p>
        </w:tc>
        <w:tc>
          <w:tcPr>
            <w:tcW w:w="4677" w:type="dxa"/>
            <w:gridSpan w:val="3"/>
          </w:tcPr>
          <w:p w14:paraId="662FC02C" w14:textId="6182CB91" w:rsidR="00F307C6" w:rsidRPr="00F307C6" w:rsidRDefault="00F307C6" w:rsidP="00F307C6">
            <w:pPr>
              <w:ind w:rightChars="1" w:right="2"/>
              <w:jc w:val="center"/>
              <w:rPr>
                <w:sz w:val="22"/>
                <w:szCs w:val="22"/>
              </w:rPr>
            </w:pPr>
            <w:r>
              <w:rPr>
                <w:rFonts w:hint="eastAsia"/>
                <w:sz w:val="22"/>
                <w:szCs w:val="22"/>
              </w:rPr>
              <w:t>M</w:t>
            </w:r>
            <w:r>
              <w:rPr>
                <w:sz w:val="22"/>
                <w:szCs w:val="22"/>
              </w:rPr>
              <w:t>arginal effects on probabilities</w:t>
            </w:r>
          </w:p>
        </w:tc>
      </w:tr>
      <w:tr w:rsidR="00F307C6" w14:paraId="0476A511" w14:textId="77777777" w:rsidTr="00D613A8">
        <w:tc>
          <w:tcPr>
            <w:tcW w:w="2394" w:type="dxa"/>
            <w:vMerge/>
            <w:tcBorders>
              <w:bottom w:val="single" w:sz="4" w:space="0" w:color="auto"/>
            </w:tcBorders>
          </w:tcPr>
          <w:p w14:paraId="179709D6" w14:textId="77777777" w:rsidR="00F307C6" w:rsidRPr="002B2B9E" w:rsidRDefault="00F307C6" w:rsidP="00F307C6">
            <w:pPr>
              <w:ind w:rightChars="1" w:right="2"/>
            </w:pPr>
          </w:p>
        </w:tc>
        <w:tc>
          <w:tcPr>
            <w:tcW w:w="1559" w:type="dxa"/>
            <w:vMerge/>
            <w:tcBorders>
              <w:bottom w:val="single" w:sz="4" w:space="0" w:color="auto"/>
            </w:tcBorders>
          </w:tcPr>
          <w:p w14:paraId="18611995" w14:textId="77777777" w:rsidR="00F307C6" w:rsidRPr="00F307C6" w:rsidRDefault="00F307C6" w:rsidP="00F307C6">
            <w:pPr>
              <w:ind w:rightChars="1" w:right="2"/>
              <w:jc w:val="center"/>
            </w:pPr>
          </w:p>
        </w:tc>
        <w:tc>
          <w:tcPr>
            <w:tcW w:w="1559" w:type="dxa"/>
            <w:tcBorders>
              <w:bottom w:val="single" w:sz="4" w:space="0" w:color="auto"/>
            </w:tcBorders>
          </w:tcPr>
          <w:p w14:paraId="601F1D81" w14:textId="4EB33536" w:rsidR="00F307C6" w:rsidRPr="00F307C6" w:rsidRDefault="00F307C6" w:rsidP="00F307C6">
            <w:pPr>
              <w:ind w:rightChars="1" w:right="2"/>
              <w:jc w:val="center"/>
              <w:rPr>
                <w:sz w:val="22"/>
                <w:szCs w:val="22"/>
              </w:rPr>
            </w:pPr>
            <w:r w:rsidRPr="00F307C6">
              <w:rPr>
                <w:rFonts w:hint="eastAsia"/>
                <w:sz w:val="22"/>
                <w:szCs w:val="22"/>
              </w:rPr>
              <w:t>C</w:t>
            </w:r>
            <w:r w:rsidRPr="00F307C6">
              <w:rPr>
                <w:sz w:val="22"/>
                <w:szCs w:val="22"/>
              </w:rPr>
              <w:t>lub 1 (High)</w:t>
            </w:r>
          </w:p>
        </w:tc>
        <w:tc>
          <w:tcPr>
            <w:tcW w:w="1701" w:type="dxa"/>
            <w:tcBorders>
              <w:bottom w:val="single" w:sz="4" w:space="0" w:color="auto"/>
            </w:tcBorders>
          </w:tcPr>
          <w:p w14:paraId="24BBB66E" w14:textId="00B468AF" w:rsidR="00F307C6" w:rsidRPr="00F307C6" w:rsidRDefault="00F307C6" w:rsidP="00F307C6">
            <w:pPr>
              <w:ind w:rightChars="1" w:right="2"/>
              <w:jc w:val="center"/>
              <w:rPr>
                <w:sz w:val="22"/>
                <w:szCs w:val="22"/>
              </w:rPr>
            </w:pPr>
            <w:r w:rsidRPr="00F307C6">
              <w:rPr>
                <w:rFonts w:hint="eastAsia"/>
                <w:sz w:val="22"/>
                <w:szCs w:val="22"/>
              </w:rPr>
              <w:t>C</w:t>
            </w:r>
            <w:r w:rsidRPr="00F307C6">
              <w:rPr>
                <w:sz w:val="22"/>
                <w:szCs w:val="22"/>
              </w:rPr>
              <w:t xml:space="preserve">lub </w:t>
            </w:r>
            <w:r w:rsidR="006B6DC9">
              <w:rPr>
                <w:sz w:val="22"/>
                <w:szCs w:val="22"/>
              </w:rPr>
              <w:t>2</w:t>
            </w:r>
            <w:r w:rsidRPr="00F307C6">
              <w:rPr>
                <w:sz w:val="22"/>
                <w:szCs w:val="22"/>
              </w:rPr>
              <w:t xml:space="preserve"> (</w:t>
            </w:r>
            <w:r>
              <w:rPr>
                <w:sz w:val="22"/>
                <w:szCs w:val="22"/>
              </w:rPr>
              <w:t>Middle</w:t>
            </w:r>
            <w:r w:rsidRPr="00F307C6">
              <w:rPr>
                <w:sz w:val="22"/>
                <w:szCs w:val="22"/>
              </w:rPr>
              <w:t>)</w:t>
            </w:r>
          </w:p>
        </w:tc>
        <w:tc>
          <w:tcPr>
            <w:tcW w:w="1417" w:type="dxa"/>
            <w:tcBorders>
              <w:bottom w:val="single" w:sz="4" w:space="0" w:color="auto"/>
            </w:tcBorders>
          </w:tcPr>
          <w:p w14:paraId="50526843" w14:textId="311B6054" w:rsidR="00F307C6" w:rsidRPr="00F307C6" w:rsidRDefault="00F307C6" w:rsidP="00F307C6">
            <w:pPr>
              <w:ind w:rightChars="1" w:right="2"/>
              <w:jc w:val="center"/>
              <w:rPr>
                <w:sz w:val="22"/>
                <w:szCs w:val="22"/>
              </w:rPr>
            </w:pPr>
            <w:r w:rsidRPr="00F307C6">
              <w:rPr>
                <w:rFonts w:hint="eastAsia"/>
                <w:sz w:val="22"/>
                <w:szCs w:val="22"/>
              </w:rPr>
              <w:t>C</w:t>
            </w:r>
            <w:r w:rsidRPr="00F307C6">
              <w:rPr>
                <w:sz w:val="22"/>
                <w:szCs w:val="22"/>
              </w:rPr>
              <w:t xml:space="preserve">lub </w:t>
            </w:r>
            <w:r>
              <w:rPr>
                <w:sz w:val="22"/>
                <w:szCs w:val="22"/>
              </w:rPr>
              <w:t>3</w:t>
            </w:r>
            <w:r w:rsidRPr="00F307C6">
              <w:rPr>
                <w:sz w:val="22"/>
                <w:szCs w:val="22"/>
              </w:rPr>
              <w:t xml:space="preserve"> (</w:t>
            </w:r>
            <w:r>
              <w:rPr>
                <w:sz w:val="22"/>
                <w:szCs w:val="22"/>
              </w:rPr>
              <w:t>Low</w:t>
            </w:r>
            <w:r w:rsidRPr="00F307C6">
              <w:rPr>
                <w:sz w:val="22"/>
                <w:szCs w:val="22"/>
              </w:rPr>
              <w:t>)</w:t>
            </w:r>
          </w:p>
        </w:tc>
      </w:tr>
      <w:tr w:rsidR="00D613A8" w14:paraId="1B20402A" w14:textId="77777777" w:rsidTr="00D613A8">
        <w:tc>
          <w:tcPr>
            <w:tcW w:w="2394" w:type="dxa"/>
            <w:tcBorders>
              <w:top w:val="single" w:sz="4" w:space="0" w:color="auto"/>
              <w:bottom w:val="nil"/>
            </w:tcBorders>
          </w:tcPr>
          <w:p w14:paraId="11A78D29" w14:textId="55C9E854" w:rsidR="00D613A8" w:rsidRPr="00F307C6" w:rsidRDefault="00D613A8" w:rsidP="00D613A8">
            <w:pPr>
              <w:spacing w:afterLines="50" w:after="120"/>
              <w:ind w:rightChars="1" w:right="2"/>
              <w:rPr>
                <w:sz w:val="22"/>
                <w:szCs w:val="22"/>
              </w:rPr>
            </w:pPr>
            <w:r w:rsidRPr="002B2B9E">
              <w:rPr>
                <w:rFonts w:hint="eastAsia"/>
                <w:sz w:val="22"/>
                <w:szCs w:val="22"/>
              </w:rPr>
              <w:t>I</w:t>
            </w:r>
            <w:r w:rsidRPr="002B2B9E">
              <w:rPr>
                <w:sz w:val="22"/>
                <w:szCs w:val="22"/>
              </w:rPr>
              <w:t>nitial value of wage</w:t>
            </w:r>
            <w:r>
              <w:rPr>
                <w:sz w:val="22"/>
                <w:szCs w:val="22"/>
              </w:rPr>
              <w:t xml:space="preserve"> (2008)</w:t>
            </w:r>
          </w:p>
        </w:tc>
        <w:tc>
          <w:tcPr>
            <w:tcW w:w="1559" w:type="dxa"/>
            <w:tcBorders>
              <w:top w:val="single" w:sz="4" w:space="0" w:color="auto"/>
              <w:bottom w:val="nil"/>
            </w:tcBorders>
          </w:tcPr>
          <w:p w14:paraId="24EC8E2B" w14:textId="6AA9C275" w:rsidR="00D613A8" w:rsidRDefault="00D613A8" w:rsidP="00D613A8">
            <w:pPr>
              <w:ind w:rightChars="1" w:right="2"/>
              <w:jc w:val="center"/>
              <w:rPr>
                <w:sz w:val="22"/>
                <w:szCs w:val="22"/>
              </w:rPr>
            </w:pPr>
            <w:r>
              <w:rPr>
                <w:rFonts w:hint="eastAsia"/>
                <w:sz w:val="22"/>
                <w:szCs w:val="22"/>
              </w:rPr>
              <w:t>0</w:t>
            </w:r>
            <w:r>
              <w:rPr>
                <w:sz w:val="22"/>
                <w:szCs w:val="22"/>
              </w:rPr>
              <w:t>.040**</w:t>
            </w:r>
          </w:p>
          <w:p w14:paraId="63DF26DF" w14:textId="5528A87E" w:rsidR="00D613A8" w:rsidRPr="00F307C6" w:rsidRDefault="00D613A8" w:rsidP="00D613A8">
            <w:pPr>
              <w:ind w:rightChars="1" w:right="2"/>
              <w:jc w:val="center"/>
              <w:rPr>
                <w:sz w:val="22"/>
                <w:szCs w:val="22"/>
              </w:rPr>
            </w:pPr>
            <w:r>
              <w:rPr>
                <w:rFonts w:hint="eastAsia"/>
                <w:sz w:val="22"/>
                <w:szCs w:val="22"/>
              </w:rPr>
              <w:t>(</w:t>
            </w:r>
            <w:r>
              <w:rPr>
                <w:sz w:val="22"/>
                <w:szCs w:val="22"/>
              </w:rPr>
              <w:t>0.017)</w:t>
            </w:r>
          </w:p>
        </w:tc>
        <w:tc>
          <w:tcPr>
            <w:tcW w:w="1559" w:type="dxa"/>
            <w:tcBorders>
              <w:top w:val="single" w:sz="4" w:space="0" w:color="auto"/>
              <w:bottom w:val="nil"/>
            </w:tcBorders>
          </w:tcPr>
          <w:p w14:paraId="7D596B86"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02E33612" w14:textId="7DA09E90"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single" w:sz="4" w:space="0" w:color="auto"/>
              <w:bottom w:val="nil"/>
            </w:tcBorders>
          </w:tcPr>
          <w:p w14:paraId="16FDE7AB" w14:textId="38464D3A" w:rsidR="00D613A8" w:rsidRDefault="00D613A8" w:rsidP="00D613A8">
            <w:pPr>
              <w:ind w:rightChars="1" w:right="2"/>
              <w:jc w:val="center"/>
              <w:rPr>
                <w:sz w:val="22"/>
                <w:szCs w:val="22"/>
              </w:rPr>
            </w:pPr>
            <w:r>
              <w:rPr>
                <w:rFonts w:hint="eastAsia"/>
                <w:sz w:val="22"/>
                <w:szCs w:val="22"/>
              </w:rPr>
              <w:t>0</w:t>
            </w:r>
            <w:r>
              <w:rPr>
                <w:sz w:val="22"/>
                <w:szCs w:val="22"/>
              </w:rPr>
              <w:t>.009**</w:t>
            </w:r>
          </w:p>
          <w:p w14:paraId="619E0A15" w14:textId="771B1B65" w:rsidR="00D613A8" w:rsidRPr="00F307C6" w:rsidRDefault="00D613A8" w:rsidP="00D613A8">
            <w:pPr>
              <w:ind w:rightChars="1" w:right="2"/>
              <w:jc w:val="center"/>
              <w:rPr>
                <w:sz w:val="22"/>
                <w:szCs w:val="22"/>
              </w:rPr>
            </w:pPr>
            <w:r>
              <w:rPr>
                <w:rFonts w:hint="eastAsia"/>
                <w:sz w:val="22"/>
                <w:szCs w:val="22"/>
              </w:rPr>
              <w:t>(</w:t>
            </w:r>
            <w:r>
              <w:rPr>
                <w:sz w:val="22"/>
                <w:szCs w:val="22"/>
              </w:rPr>
              <w:t>0.004)</w:t>
            </w:r>
          </w:p>
        </w:tc>
        <w:tc>
          <w:tcPr>
            <w:tcW w:w="1417" w:type="dxa"/>
            <w:tcBorders>
              <w:top w:val="single" w:sz="4" w:space="0" w:color="auto"/>
              <w:bottom w:val="nil"/>
            </w:tcBorders>
          </w:tcPr>
          <w:p w14:paraId="1429211E" w14:textId="46B70C2D"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.009**</w:t>
            </w:r>
          </w:p>
          <w:p w14:paraId="06F5B4A8" w14:textId="08E834B3" w:rsidR="00D613A8" w:rsidRPr="00F307C6" w:rsidRDefault="00D613A8" w:rsidP="00D613A8">
            <w:pPr>
              <w:ind w:rightChars="1" w:right="2"/>
              <w:jc w:val="center"/>
              <w:rPr>
                <w:sz w:val="22"/>
                <w:szCs w:val="22"/>
              </w:rPr>
            </w:pPr>
            <w:r>
              <w:rPr>
                <w:rFonts w:hint="eastAsia"/>
                <w:sz w:val="22"/>
                <w:szCs w:val="22"/>
              </w:rPr>
              <w:t>(</w:t>
            </w:r>
            <w:r>
              <w:rPr>
                <w:sz w:val="22"/>
                <w:szCs w:val="22"/>
              </w:rPr>
              <w:t>0.004)</w:t>
            </w:r>
          </w:p>
        </w:tc>
      </w:tr>
      <w:tr w:rsidR="00D613A8" w14:paraId="5679CFFB" w14:textId="77777777" w:rsidTr="00D613A8">
        <w:tc>
          <w:tcPr>
            <w:tcW w:w="2394" w:type="dxa"/>
            <w:tcBorders>
              <w:top w:val="nil"/>
              <w:bottom w:val="nil"/>
            </w:tcBorders>
          </w:tcPr>
          <w:p w14:paraId="3F4A4866" w14:textId="21EE36B7" w:rsidR="00D613A8" w:rsidRPr="00F307C6" w:rsidRDefault="00D613A8" w:rsidP="00D613A8">
            <w:pPr>
              <w:spacing w:afterLines="50" w:after="120"/>
              <w:ind w:rightChars="1" w:right="2"/>
              <w:rPr>
                <w:sz w:val="22"/>
                <w:szCs w:val="22"/>
              </w:rPr>
            </w:pPr>
            <w:r>
              <w:rPr>
                <w:rFonts w:hint="eastAsia"/>
                <w:sz w:val="22"/>
                <w:szCs w:val="22"/>
              </w:rPr>
              <w:t>M</w:t>
            </w:r>
            <w:r>
              <w:rPr>
                <w:sz w:val="22"/>
                <w:szCs w:val="22"/>
              </w:rPr>
              <w:t>anufacture employment share</w:t>
            </w:r>
          </w:p>
        </w:tc>
        <w:tc>
          <w:tcPr>
            <w:tcW w:w="1559" w:type="dxa"/>
            <w:tcBorders>
              <w:top w:val="nil"/>
              <w:bottom w:val="nil"/>
            </w:tcBorders>
          </w:tcPr>
          <w:p w14:paraId="17447508" w14:textId="4A1043AF" w:rsidR="00D613A8" w:rsidRDefault="00D613A8" w:rsidP="00D613A8">
            <w:pPr>
              <w:ind w:rightChars="1" w:right="2"/>
              <w:jc w:val="center"/>
              <w:rPr>
                <w:sz w:val="22"/>
                <w:szCs w:val="22"/>
              </w:rPr>
            </w:pPr>
            <w:r>
              <w:rPr>
                <w:rFonts w:hint="eastAsia"/>
                <w:sz w:val="22"/>
                <w:szCs w:val="22"/>
              </w:rPr>
              <w:t>0</w:t>
            </w:r>
            <w:r>
              <w:rPr>
                <w:sz w:val="22"/>
                <w:szCs w:val="22"/>
              </w:rPr>
              <w:t>.888**</w:t>
            </w:r>
          </w:p>
          <w:p w14:paraId="1FC8534A" w14:textId="7B8B7851" w:rsidR="00D613A8" w:rsidRPr="00F307C6" w:rsidRDefault="00D613A8" w:rsidP="00D613A8">
            <w:pPr>
              <w:ind w:rightChars="1" w:right="2"/>
              <w:jc w:val="center"/>
              <w:rPr>
                <w:sz w:val="22"/>
                <w:szCs w:val="22"/>
              </w:rPr>
            </w:pPr>
            <w:r>
              <w:rPr>
                <w:rFonts w:hint="eastAsia"/>
                <w:sz w:val="22"/>
                <w:szCs w:val="22"/>
              </w:rPr>
              <w:t>(</w:t>
            </w:r>
            <w:r>
              <w:rPr>
                <w:sz w:val="22"/>
                <w:szCs w:val="22"/>
              </w:rPr>
              <w:t>0.409)</w:t>
            </w:r>
          </w:p>
        </w:tc>
        <w:tc>
          <w:tcPr>
            <w:tcW w:w="1559" w:type="dxa"/>
            <w:tcBorders>
              <w:top w:val="nil"/>
              <w:bottom w:val="nil"/>
            </w:tcBorders>
          </w:tcPr>
          <w:p w14:paraId="14044DB9"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632FF660" w14:textId="04266563"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2BBA82E2" w14:textId="77777777" w:rsidR="00D613A8" w:rsidRDefault="00D613A8" w:rsidP="00D613A8">
            <w:pPr>
              <w:ind w:rightChars="1" w:right="2"/>
              <w:jc w:val="center"/>
              <w:rPr>
                <w:sz w:val="22"/>
                <w:szCs w:val="22"/>
              </w:rPr>
            </w:pPr>
            <w:r>
              <w:rPr>
                <w:rFonts w:hint="eastAsia"/>
                <w:sz w:val="22"/>
                <w:szCs w:val="22"/>
              </w:rPr>
              <w:t>0</w:t>
            </w:r>
            <w:r>
              <w:rPr>
                <w:sz w:val="22"/>
                <w:szCs w:val="22"/>
              </w:rPr>
              <w:t>.189**</w:t>
            </w:r>
          </w:p>
          <w:p w14:paraId="420BBF6E" w14:textId="5AD1AE6A" w:rsidR="00D613A8" w:rsidRPr="00F307C6" w:rsidRDefault="00D613A8" w:rsidP="00D613A8">
            <w:pPr>
              <w:ind w:rightChars="1" w:right="2"/>
              <w:jc w:val="center"/>
              <w:rPr>
                <w:sz w:val="22"/>
                <w:szCs w:val="22"/>
              </w:rPr>
            </w:pPr>
            <w:r>
              <w:rPr>
                <w:rFonts w:hint="eastAsia"/>
                <w:sz w:val="22"/>
                <w:szCs w:val="22"/>
              </w:rPr>
              <w:t>(</w:t>
            </w:r>
            <w:r>
              <w:rPr>
                <w:sz w:val="22"/>
                <w:szCs w:val="22"/>
              </w:rPr>
              <w:t>0.106)</w:t>
            </w:r>
          </w:p>
        </w:tc>
        <w:tc>
          <w:tcPr>
            <w:tcW w:w="1417" w:type="dxa"/>
            <w:tcBorders>
              <w:top w:val="nil"/>
              <w:bottom w:val="nil"/>
            </w:tcBorders>
          </w:tcPr>
          <w:p w14:paraId="4F3A5E5D" w14:textId="775AF289"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.189**</w:t>
            </w:r>
          </w:p>
          <w:p w14:paraId="57BBB0C8" w14:textId="0D42FD7D" w:rsidR="00D613A8" w:rsidRPr="00F307C6" w:rsidRDefault="00D613A8" w:rsidP="00D613A8">
            <w:pPr>
              <w:ind w:rightChars="1" w:right="2"/>
              <w:jc w:val="center"/>
              <w:rPr>
                <w:sz w:val="22"/>
                <w:szCs w:val="22"/>
              </w:rPr>
            </w:pPr>
            <w:r>
              <w:rPr>
                <w:rFonts w:hint="eastAsia"/>
                <w:sz w:val="22"/>
                <w:szCs w:val="22"/>
              </w:rPr>
              <w:t>(</w:t>
            </w:r>
            <w:r>
              <w:rPr>
                <w:sz w:val="22"/>
                <w:szCs w:val="22"/>
              </w:rPr>
              <w:t>0.106)</w:t>
            </w:r>
          </w:p>
        </w:tc>
      </w:tr>
      <w:tr w:rsidR="00D613A8" w14:paraId="56505273" w14:textId="77777777" w:rsidTr="00D613A8">
        <w:tc>
          <w:tcPr>
            <w:tcW w:w="2394" w:type="dxa"/>
            <w:tcBorders>
              <w:top w:val="nil"/>
              <w:bottom w:val="nil"/>
            </w:tcBorders>
          </w:tcPr>
          <w:p w14:paraId="1A2CBC88" w14:textId="6951E4A6" w:rsidR="00D613A8" w:rsidRPr="00F307C6" w:rsidRDefault="00D613A8" w:rsidP="00D613A8">
            <w:pPr>
              <w:spacing w:afterLines="50" w:after="120"/>
              <w:ind w:rightChars="1" w:right="2"/>
              <w:rPr>
                <w:sz w:val="22"/>
                <w:szCs w:val="22"/>
              </w:rPr>
            </w:pPr>
            <w:r>
              <w:rPr>
                <w:rFonts w:hint="eastAsia"/>
                <w:sz w:val="22"/>
                <w:szCs w:val="22"/>
              </w:rPr>
              <w:t>I</w:t>
            </w:r>
            <w:r>
              <w:rPr>
                <w:sz w:val="22"/>
                <w:szCs w:val="22"/>
              </w:rPr>
              <w:t>nvestment share to GDP</w:t>
            </w:r>
          </w:p>
        </w:tc>
        <w:tc>
          <w:tcPr>
            <w:tcW w:w="1559" w:type="dxa"/>
            <w:tcBorders>
              <w:top w:val="nil"/>
              <w:bottom w:val="nil"/>
            </w:tcBorders>
          </w:tcPr>
          <w:p w14:paraId="66656041" w14:textId="68BB68EE" w:rsidR="00D613A8" w:rsidRDefault="00D613A8" w:rsidP="00D613A8">
            <w:pPr>
              <w:ind w:rightChars="1" w:right="2"/>
              <w:jc w:val="center"/>
              <w:rPr>
                <w:sz w:val="22"/>
                <w:szCs w:val="22"/>
              </w:rPr>
            </w:pPr>
            <w:r>
              <w:rPr>
                <w:rFonts w:hint="eastAsia"/>
                <w:sz w:val="22"/>
                <w:szCs w:val="22"/>
              </w:rPr>
              <w:t>0</w:t>
            </w:r>
            <w:r>
              <w:rPr>
                <w:sz w:val="22"/>
                <w:szCs w:val="22"/>
              </w:rPr>
              <w:t>.760**</w:t>
            </w:r>
          </w:p>
          <w:p w14:paraId="414979E9" w14:textId="13FC19C8" w:rsidR="00D613A8" w:rsidRPr="00F307C6" w:rsidRDefault="00D613A8" w:rsidP="00D613A8">
            <w:pPr>
              <w:ind w:rightChars="1" w:right="2"/>
              <w:jc w:val="center"/>
              <w:rPr>
                <w:sz w:val="22"/>
                <w:szCs w:val="22"/>
              </w:rPr>
            </w:pPr>
            <w:r>
              <w:rPr>
                <w:rFonts w:hint="eastAsia"/>
                <w:sz w:val="22"/>
                <w:szCs w:val="22"/>
              </w:rPr>
              <w:t>(</w:t>
            </w:r>
            <w:r>
              <w:rPr>
                <w:sz w:val="22"/>
                <w:szCs w:val="22"/>
              </w:rPr>
              <w:t>0.363)</w:t>
            </w:r>
          </w:p>
        </w:tc>
        <w:tc>
          <w:tcPr>
            <w:tcW w:w="1559" w:type="dxa"/>
            <w:tcBorders>
              <w:top w:val="nil"/>
              <w:bottom w:val="nil"/>
            </w:tcBorders>
          </w:tcPr>
          <w:p w14:paraId="500C3CC3"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3AD6A494" w14:textId="0083EEB8"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227BD068" w14:textId="52CE6C96" w:rsidR="00D613A8" w:rsidRDefault="00D613A8" w:rsidP="00D613A8">
            <w:pPr>
              <w:ind w:rightChars="1" w:right="2"/>
              <w:jc w:val="center"/>
              <w:rPr>
                <w:sz w:val="22"/>
                <w:szCs w:val="22"/>
              </w:rPr>
            </w:pPr>
            <w:r>
              <w:rPr>
                <w:rFonts w:hint="eastAsia"/>
                <w:sz w:val="22"/>
                <w:szCs w:val="22"/>
              </w:rPr>
              <w:t>0</w:t>
            </w:r>
            <w:r>
              <w:rPr>
                <w:sz w:val="22"/>
                <w:szCs w:val="22"/>
              </w:rPr>
              <w:t>.162**</w:t>
            </w:r>
          </w:p>
          <w:p w14:paraId="57749FCD" w14:textId="5A48B006" w:rsidR="00D613A8" w:rsidRPr="00F307C6" w:rsidRDefault="00D613A8" w:rsidP="00D613A8">
            <w:pPr>
              <w:ind w:rightChars="1" w:right="2"/>
              <w:jc w:val="center"/>
              <w:rPr>
                <w:sz w:val="22"/>
                <w:szCs w:val="22"/>
              </w:rPr>
            </w:pPr>
            <w:r>
              <w:rPr>
                <w:rFonts w:hint="eastAsia"/>
                <w:sz w:val="22"/>
                <w:szCs w:val="22"/>
              </w:rPr>
              <w:t>(</w:t>
            </w:r>
            <w:r>
              <w:rPr>
                <w:sz w:val="22"/>
                <w:szCs w:val="22"/>
              </w:rPr>
              <w:t>0.078)</w:t>
            </w:r>
          </w:p>
        </w:tc>
        <w:tc>
          <w:tcPr>
            <w:tcW w:w="1417" w:type="dxa"/>
            <w:tcBorders>
              <w:top w:val="nil"/>
              <w:bottom w:val="nil"/>
            </w:tcBorders>
          </w:tcPr>
          <w:p w14:paraId="5E0366DF" w14:textId="771769F4"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.162**</w:t>
            </w:r>
          </w:p>
          <w:p w14:paraId="302353BD" w14:textId="438E5746" w:rsidR="00D613A8" w:rsidRPr="00F307C6" w:rsidRDefault="00D613A8" w:rsidP="00D613A8">
            <w:pPr>
              <w:ind w:rightChars="1" w:right="2"/>
              <w:jc w:val="center"/>
              <w:rPr>
                <w:sz w:val="22"/>
                <w:szCs w:val="22"/>
              </w:rPr>
            </w:pPr>
            <w:r>
              <w:rPr>
                <w:rFonts w:hint="eastAsia"/>
                <w:sz w:val="22"/>
                <w:szCs w:val="22"/>
              </w:rPr>
              <w:t>(</w:t>
            </w:r>
            <w:r>
              <w:rPr>
                <w:sz w:val="22"/>
                <w:szCs w:val="22"/>
              </w:rPr>
              <w:t>0.078)</w:t>
            </w:r>
          </w:p>
        </w:tc>
      </w:tr>
      <w:tr w:rsidR="00D613A8" w14:paraId="03E38D75" w14:textId="77777777" w:rsidTr="00D613A8">
        <w:tc>
          <w:tcPr>
            <w:tcW w:w="2394" w:type="dxa"/>
            <w:tcBorders>
              <w:top w:val="nil"/>
              <w:bottom w:val="nil"/>
            </w:tcBorders>
          </w:tcPr>
          <w:p w14:paraId="6277E8FB" w14:textId="648B2AEA" w:rsidR="00D613A8" w:rsidRPr="00F307C6" w:rsidRDefault="00D613A8" w:rsidP="00D613A8">
            <w:pPr>
              <w:spacing w:afterLines="50" w:after="120"/>
              <w:ind w:rightChars="1" w:right="2"/>
              <w:rPr>
                <w:sz w:val="22"/>
                <w:szCs w:val="22"/>
              </w:rPr>
            </w:pPr>
            <w:r>
              <w:rPr>
                <w:rFonts w:hint="eastAsia"/>
                <w:sz w:val="22"/>
                <w:szCs w:val="22"/>
              </w:rPr>
              <w:t>L</w:t>
            </w:r>
            <w:r>
              <w:rPr>
                <w:sz w:val="22"/>
                <w:szCs w:val="22"/>
              </w:rPr>
              <w:t>abor force participation rate</w:t>
            </w:r>
          </w:p>
        </w:tc>
        <w:tc>
          <w:tcPr>
            <w:tcW w:w="1559" w:type="dxa"/>
            <w:tcBorders>
              <w:top w:val="nil"/>
              <w:bottom w:val="nil"/>
            </w:tcBorders>
          </w:tcPr>
          <w:p w14:paraId="035BC3EE" w14:textId="77777777" w:rsidR="00D613A8" w:rsidRDefault="00D613A8" w:rsidP="00D613A8">
            <w:pPr>
              <w:ind w:rightChars="1" w:right="2"/>
              <w:jc w:val="center"/>
              <w:rPr>
                <w:sz w:val="22"/>
                <w:szCs w:val="22"/>
              </w:rPr>
            </w:pPr>
            <w:r>
              <w:rPr>
                <w:rFonts w:hint="eastAsia"/>
                <w:sz w:val="22"/>
                <w:szCs w:val="22"/>
              </w:rPr>
              <w:t>-</w:t>
            </w:r>
            <w:r>
              <w:rPr>
                <w:sz w:val="22"/>
                <w:szCs w:val="22"/>
              </w:rPr>
              <w:t>0.214**</w:t>
            </w:r>
          </w:p>
          <w:p w14:paraId="2D31D1E8" w14:textId="0ED1DEC6" w:rsidR="00D613A8" w:rsidRPr="00F307C6" w:rsidRDefault="00D613A8" w:rsidP="00D613A8">
            <w:pPr>
              <w:ind w:rightChars="1" w:right="2"/>
              <w:jc w:val="center"/>
              <w:rPr>
                <w:sz w:val="22"/>
                <w:szCs w:val="22"/>
              </w:rPr>
            </w:pPr>
            <w:r>
              <w:rPr>
                <w:rFonts w:hint="eastAsia"/>
                <w:sz w:val="22"/>
                <w:szCs w:val="22"/>
              </w:rPr>
              <w:t>(</w:t>
            </w:r>
            <w:r>
              <w:rPr>
                <w:sz w:val="22"/>
                <w:szCs w:val="22"/>
              </w:rPr>
              <w:t>0.107)</w:t>
            </w:r>
          </w:p>
        </w:tc>
        <w:tc>
          <w:tcPr>
            <w:tcW w:w="1559" w:type="dxa"/>
            <w:tcBorders>
              <w:top w:val="nil"/>
              <w:bottom w:val="nil"/>
            </w:tcBorders>
          </w:tcPr>
          <w:p w14:paraId="6069AF35" w14:textId="51ED9BDB"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.000</w:t>
            </w:r>
          </w:p>
          <w:p w14:paraId="6B4E7A42" w14:textId="51735E18"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30F25CFD" w14:textId="77777777" w:rsidR="00D613A8" w:rsidRDefault="00D613A8" w:rsidP="00D613A8">
            <w:pPr>
              <w:ind w:rightChars="1" w:right="2"/>
              <w:jc w:val="center"/>
              <w:rPr>
                <w:sz w:val="22"/>
                <w:szCs w:val="22"/>
              </w:rPr>
            </w:pPr>
            <w:r>
              <w:rPr>
                <w:rFonts w:hint="eastAsia"/>
                <w:sz w:val="22"/>
                <w:szCs w:val="22"/>
              </w:rPr>
              <w:t>-</w:t>
            </w:r>
            <w:r>
              <w:rPr>
                <w:sz w:val="22"/>
                <w:szCs w:val="22"/>
              </w:rPr>
              <w:t>0.046**</w:t>
            </w:r>
          </w:p>
          <w:p w14:paraId="3CB53308" w14:textId="10B8E538" w:rsidR="00D613A8" w:rsidRPr="00F307C6" w:rsidRDefault="00D613A8" w:rsidP="00D613A8">
            <w:pPr>
              <w:ind w:rightChars="1" w:right="2"/>
              <w:jc w:val="center"/>
              <w:rPr>
                <w:sz w:val="22"/>
                <w:szCs w:val="22"/>
              </w:rPr>
            </w:pPr>
            <w:r>
              <w:rPr>
                <w:rFonts w:hint="eastAsia"/>
                <w:sz w:val="22"/>
                <w:szCs w:val="22"/>
              </w:rPr>
              <w:t>(</w:t>
            </w:r>
            <w:r>
              <w:rPr>
                <w:sz w:val="22"/>
                <w:szCs w:val="22"/>
              </w:rPr>
              <w:t>0.022)</w:t>
            </w:r>
          </w:p>
        </w:tc>
        <w:tc>
          <w:tcPr>
            <w:tcW w:w="1417" w:type="dxa"/>
            <w:tcBorders>
              <w:top w:val="nil"/>
              <w:bottom w:val="nil"/>
            </w:tcBorders>
          </w:tcPr>
          <w:p w14:paraId="46B6DF3D" w14:textId="58489CF7" w:rsidR="00D613A8" w:rsidRDefault="00D613A8" w:rsidP="00D613A8">
            <w:pPr>
              <w:ind w:rightChars="1" w:right="2"/>
              <w:jc w:val="center"/>
              <w:rPr>
                <w:sz w:val="22"/>
                <w:szCs w:val="22"/>
              </w:rPr>
            </w:pPr>
            <w:r>
              <w:rPr>
                <w:sz w:val="22"/>
                <w:szCs w:val="22"/>
              </w:rPr>
              <w:t>0.046**</w:t>
            </w:r>
          </w:p>
          <w:p w14:paraId="0E7399E5" w14:textId="709EF396" w:rsidR="00D613A8" w:rsidRPr="00F307C6" w:rsidRDefault="00D613A8" w:rsidP="00D613A8">
            <w:pPr>
              <w:ind w:rightChars="1" w:right="2"/>
              <w:jc w:val="center"/>
              <w:rPr>
                <w:sz w:val="22"/>
                <w:szCs w:val="22"/>
              </w:rPr>
            </w:pPr>
            <w:r>
              <w:rPr>
                <w:rFonts w:hint="eastAsia"/>
                <w:sz w:val="22"/>
                <w:szCs w:val="22"/>
              </w:rPr>
              <w:t>(</w:t>
            </w:r>
            <w:r>
              <w:rPr>
                <w:sz w:val="22"/>
                <w:szCs w:val="22"/>
              </w:rPr>
              <w:t>0.022)</w:t>
            </w:r>
          </w:p>
        </w:tc>
      </w:tr>
      <w:tr w:rsidR="00D613A8" w14:paraId="3588A0C5" w14:textId="77777777" w:rsidTr="00D613A8">
        <w:tc>
          <w:tcPr>
            <w:tcW w:w="2394" w:type="dxa"/>
            <w:tcBorders>
              <w:top w:val="nil"/>
              <w:bottom w:val="nil"/>
            </w:tcBorders>
          </w:tcPr>
          <w:p w14:paraId="3DA27ADD" w14:textId="77777777" w:rsidR="00D613A8" w:rsidRDefault="00D613A8" w:rsidP="00D613A8">
            <w:pPr>
              <w:spacing w:afterLines="100" w:after="240"/>
              <w:ind w:rightChars="1" w:right="2"/>
              <w:rPr>
                <w:sz w:val="22"/>
                <w:szCs w:val="22"/>
              </w:rPr>
            </w:pPr>
            <w:r>
              <w:rPr>
                <w:rFonts w:hint="eastAsia"/>
                <w:sz w:val="22"/>
                <w:szCs w:val="22"/>
              </w:rPr>
              <w:t>G</w:t>
            </w:r>
            <w:r>
              <w:rPr>
                <w:sz w:val="22"/>
                <w:szCs w:val="22"/>
              </w:rPr>
              <w:t>DP</w:t>
            </w:r>
          </w:p>
          <w:p w14:paraId="4BB67BDF" w14:textId="14CDFE53" w:rsidR="00D613A8" w:rsidRPr="00F307C6" w:rsidRDefault="00D613A8" w:rsidP="00D613A8">
            <w:pPr>
              <w:spacing w:afterLines="50" w:after="120"/>
              <w:ind w:rightChars="1" w:right="2"/>
              <w:rPr>
                <w:sz w:val="22"/>
                <w:szCs w:val="22"/>
              </w:rPr>
            </w:pPr>
          </w:p>
        </w:tc>
        <w:tc>
          <w:tcPr>
            <w:tcW w:w="1559" w:type="dxa"/>
            <w:tcBorders>
              <w:top w:val="nil"/>
              <w:bottom w:val="nil"/>
            </w:tcBorders>
          </w:tcPr>
          <w:p w14:paraId="44D44EA1" w14:textId="77777777" w:rsidR="00D613A8" w:rsidRDefault="00D613A8" w:rsidP="00D613A8">
            <w:pPr>
              <w:ind w:rightChars="1" w:right="2"/>
              <w:jc w:val="center"/>
              <w:rPr>
                <w:sz w:val="22"/>
                <w:szCs w:val="22"/>
              </w:rPr>
            </w:pPr>
            <w:r>
              <w:rPr>
                <w:rFonts w:hint="eastAsia"/>
                <w:sz w:val="22"/>
                <w:szCs w:val="22"/>
              </w:rPr>
              <w:t>1</w:t>
            </w:r>
            <w:r>
              <w:rPr>
                <w:sz w:val="22"/>
                <w:szCs w:val="22"/>
              </w:rPr>
              <w:t>.137</w:t>
            </w:r>
          </w:p>
          <w:p w14:paraId="32BB06F5" w14:textId="5024FBCD" w:rsidR="00D613A8" w:rsidRPr="00F307C6" w:rsidRDefault="00D613A8" w:rsidP="00D613A8">
            <w:pPr>
              <w:ind w:rightChars="1" w:right="2"/>
              <w:jc w:val="center"/>
              <w:rPr>
                <w:sz w:val="22"/>
                <w:szCs w:val="22"/>
              </w:rPr>
            </w:pPr>
            <w:r>
              <w:rPr>
                <w:rFonts w:hint="eastAsia"/>
                <w:sz w:val="22"/>
                <w:szCs w:val="22"/>
              </w:rPr>
              <w:t>(</w:t>
            </w:r>
            <w:r>
              <w:rPr>
                <w:sz w:val="22"/>
                <w:szCs w:val="22"/>
              </w:rPr>
              <w:t>1.002)</w:t>
            </w:r>
          </w:p>
        </w:tc>
        <w:tc>
          <w:tcPr>
            <w:tcW w:w="1559" w:type="dxa"/>
            <w:tcBorders>
              <w:top w:val="nil"/>
              <w:bottom w:val="nil"/>
            </w:tcBorders>
          </w:tcPr>
          <w:p w14:paraId="2380F1EF" w14:textId="77777777" w:rsidR="00D613A8" w:rsidRDefault="00D613A8" w:rsidP="00D613A8">
            <w:pPr>
              <w:ind w:rightChars="1" w:right="2"/>
              <w:jc w:val="center"/>
              <w:rPr>
                <w:sz w:val="22"/>
                <w:szCs w:val="22"/>
              </w:rPr>
            </w:pPr>
            <w:r>
              <w:rPr>
                <w:rFonts w:hint="eastAsia"/>
                <w:sz w:val="22"/>
                <w:szCs w:val="22"/>
              </w:rPr>
              <w:t>0</w:t>
            </w:r>
            <w:r>
              <w:rPr>
                <w:sz w:val="22"/>
                <w:szCs w:val="22"/>
              </w:rPr>
              <w:t>.000</w:t>
            </w:r>
          </w:p>
          <w:p w14:paraId="4C06C2E3" w14:textId="24CE1B58" w:rsidR="00D613A8" w:rsidRPr="00F307C6" w:rsidRDefault="00D613A8"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6985DA60" w14:textId="77777777" w:rsidR="00D613A8" w:rsidRDefault="00D613A8" w:rsidP="00D613A8">
            <w:pPr>
              <w:ind w:rightChars="1" w:right="2"/>
              <w:jc w:val="center"/>
              <w:rPr>
                <w:sz w:val="22"/>
                <w:szCs w:val="22"/>
              </w:rPr>
            </w:pPr>
            <w:r>
              <w:rPr>
                <w:rFonts w:hint="eastAsia"/>
                <w:sz w:val="22"/>
                <w:szCs w:val="22"/>
              </w:rPr>
              <w:t>0</w:t>
            </w:r>
            <w:r>
              <w:rPr>
                <w:sz w:val="22"/>
                <w:szCs w:val="22"/>
              </w:rPr>
              <w:t>.242</w:t>
            </w:r>
          </w:p>
          <w:p w14:paraId="3A6F6F28" w14:textId="5830858E" w:rsidR="00D613A8" w:rsidRPr="00F307C6" w:rsidRDefault="00D613A8" w:rsidP="00D613A8">
            <w:pPr>
              <w:ind w:rightChars="1" w:right="2"/>
              <w:jc w:val="center"/>
              <w:rPr>
                <w:sz w:val="22"/>
                <w:szCs w:val="22"/>
              </w:rPr>
            </w:pPr>
            <w:r>
              <w:rPr>
                <w:rFonts w:hint="eastAsia"/>
                <w:sz w:val="22"/>
                <w:szCs w:val="22"/>
              </w:rPr>
              <w:t>(</w:t>
            </w:r>
            <w:r>
              <w:rPr>
                <w:sz w:val="22"/>
                <w:szCs w:val="22"/>
              </w:rPr>
              <w:t>0.211)</w:t>
            </w:r>
          </w:p>
        </w:tc>
        <w:tc>
          <w:tcPr>
            <w:tcW w:w="1417" w:type="dxa"/>
            <w:tcBorders>
              <w:top w:val="nil"/>
              <w:bottom w:val="nil"/>
            </w:tcBorders>
          </w:tcPr>
          <w:p w14:paraId="1CF3A5D3" w14:textId="74BA9C26" w:rsidR="00D613A8" w:rsidRDefault="00D613A8" w:rsidP="00D613A8">
            <w:pPr>
              <w:ind w:rightChars="1" w:right="2"/>
              <w:jc w:val="center"/>
              <w:rPr>
                <w:sz w:val="22"/>
                <w:szCs w:val="22"/>
              </w:rPr>
            </w:pPr>
            <w:r>
              <w:rPr>
                <w:sz w:val="22"/>
                <w:szCs w:val="22"/>
              </w:rPr>
              <w:t>-</w:t>
            </w:r>
            <w:r>
              <w:rPr>
                <w:rFonts w:hint="eastAsia"/>
                <w:sz w:val="22"/>
                <w:szCs w:val="22"/>
              </w:rPr>
              <w:t>0</w:t>
            </w:r>
            <w:r>
              <w:rPr>
                <w:sz w:val="22"/>
                <w:szCs w:val="22"/>
              </w:rPr>
              <w:t>.242</w:t>
            </w:r>
          </w:p>
          <w:p w14:paraId="60083290" w14:textId="4A2D4B85" w:rsidR="00D613A8" w:rsidRPr="00F307C6" w:rsidRDefault="00D613A8" w:rsidP="00D613A8">
            <w:pPr>
              <w:ind w:rightChars="1" w:right="2"/>
              <w:jc w:val="center"/>
              <w:rPr>
                <w:sz w:val="22"/>
                <w:szCs w:val="22"/>
              </w:rPr>
            </w:pPr>
            <w:r>
              <w:rPr>
                <w:rFonts w:hint="eastAsia"/>
                <w:sz w:val="22"/>
                <w:szCs w:val="22"/>
              </w:rPr>
              <w:t>(</w:t>
            </w:r>
            <w:r>
              <w:rPr>
                <w:sz w:val="22"/>
                <w:szCs w:val="22"/>
              </w:rPr>
              <w:t>0.211)</w:t>
            </w:r>
          </w:p>
        </w:tc>
      </w:tr>
      <w:tr w:rsidR="00D613A8" w14:paraId="4C5EE5D1" w14:textId="77777777" w:rsidTr="00D613A8">
        <w:tc>
          <w:tcPr>
            <w:tcW w:w="2394" w:type="dxa"/>
            <w:tcBorders>
              <w:top w:val="nil"/>
              <w:bottom w:val="nil"/>
            </w:tcBorders>
          </w:tcPr>
          <w:p w14:paraId="558C72F7" w14:textId="7B810BF9" w:rsidR="00D613A8" w:rsidRPr="00F307C6" w:rsidRDefault="00D613A8" w:rsidP="00D613A8">
            <w:pPr>
              <w:ind w:rightChars="1" w:right="2"/>
              <w:rPr>
                <w:sz w:val="22"/>
                <w:szCs w:val="22"/>
              </w:rPr>
            </w:pPr>
            <w:r>
              <w:rPr>
                <w:rFonts w:hint="eastAsia"/>
                <w:sz w:val="22"/>
                <w:szCs w:val="22"/>
              </w:rPr>
              <w:t>L</w:t>
            </w:r>
            <w:r>
              <w:rPr>
                <w:sz w:val="22"/>
                <w:szCs w:val="22"/>
              </w:rPr>
              <w:t>R chi</w:t>
            </w:r>
            <w:r w:rsidRPr="00F307C6">
              <w:rPr>
                <w:sz w:val="22"/>
                <w:szCs w:val="22"/>
                <w:vertAlign w:val="superscript"/>
              </w:rPr>
              <w:t>2</w:t>
            </w:r>
          </w:p>
        </w:tc>
        <w:tc>
          <w:tcPr>
            <w:tcW w:w="1559" w:type="dxa"/>
            <w:tcBorders>
              <w:top w:val="nil"/>
              <w:bottom w:val="nil"/>
            </w:tcBorders>
          </w:tcPr>
          <w:p w14:paraId="08235FED" w14:textId="637B24A3" w:rsidR="00D613A8" w:rsidRPr="00F307C6" w:rsidRDefault="00D613A8" w:rsidP="00D613A8">
            <w:pPr>
              <w:ind w:rightChars="1" w:right="2"/>
              <w:jc w:val="center"/>
              <w:rPr>
                <w:sz w:val="22"/>
                <w:szCs w:val="22"/>
              </w:rPr>
            </w:pPr>
            <w:r>
              <w:rPr>
                <w:rFonts w:hint="eastAsia"/>
                <w:sz w:val="22"/>
                <w:szCs w:val="22"/>
              </w:rPr>
              <w:t>4</w:t>
            </w:r>
            <w:r>
              <w:rPr>
                <w:sz w:val="22"/>
                <w:szCs w:val="22"/>
              </w:rPr>
              <w:t>2.29</w:t>
            </w:r>
          </w:p>
        </w:tc>
        <w:tc>
          <w:tcPr>
            <w:tcW w:w="1559" w:type="dxa"/>
            <w:tcBorders>
              <w:top w:val="nil"/>
              <w:bottom w:val="nil"/>
            </w:tcBorders>
          </w:tcPr>
          <w:p w14:paraId="5023B3AE" w14:textId="77777777" w:rsidR="00D613A8" w:rsidRPr="00F307C6" w:rsidRDefault="00D613A8" w:rsidP="00D613A8">
            <w:pPr>
              <w:ind w:rightChars="1" w:right="2"/>
              <w:jc w:val="center"/>
              <w:rPr>
                <w:sz w:val="22"/>
                <w:szCs w:val="22"/>
              </w:rPr>
            </w:pPr>
          </w:p>
        </w:tc>
        <w:tc>
          <w:tcPr>
            <w:tcW w:w="1701" w:type="dxa"/>
            <w:tcBorders>
              <w:top w:val="nil"/>
              <w:bottom w:val="nil"/>
            </w:tcBorders>
          </w:tcPr>
          <w:p w14:paraId="04B0F6FA" w14:textId="77777777" w:rsidR="00D613A8" w:rsidRPr="00F307C6" w:rsidRDefault="00D613A8" w:rsidP="00D613A8">
            <w:pPr>
              <w:ind w:rightChars="1" w:right="2"/>
              <w:jc w:val="center"/>
              <w:rPr>
                <w:sz w:val="22"/>
                <w:szCs w:val="22"/>
              </w:rPr>
            </w:pPr>
          </w:p>
        </w:tc>
        <w:tc>
          <w:tcPr>
            <w:tcW w:w="1417" w:type="dxa"/>
            <w:tcBorders>
              <w:top w:val="nil"/>
              <w:bottom w:val="nil"/>
            </w:tcBorders>
          </w:tcPr>
          <w:p w14:paraId="13FF835B" w14:textId="77777777" w:rsidR="00D613A8" w:rsidRPr="00F307C6" w:rsidRDefault="00D613A8" w:rsidP="00D613A8">
            <w:pPr>
              <w:ind w:rightChars="1" w:right="2"/>
              <w:jc w:val="center"/>
              <w:rPr>
                <w:sz w:val="22"/>
                <w:szCs w:val="22"/>
              </w:rPr>
            </w:pPr>
          </w:p>
        </w:tc>
      </w:tr>
      <w:tr w:rsidR="00D613A8" w14:paraId="5783DB1F" w14:textId="77777777" w:rsidTr="00D613A8">
        <w:tc>
          <w:tcPr>
            <w:tcW w:w="2394" w:type="dxa"/>
            <w:tcBorders>
              <w:top w:val="nil"/>
              <w:bottom w:val="nil"/>
            </w:tcBorders>
          </w:tcPr>
          <w:p w14:paraId="6FA35FC2" w14:textId="5E8E888F" w:rsidR="00D613A8" w:rsidRPr="00F307C6" w:rsidRDefault="00D613A8" w:rsidP="00D613A8">
            <w:pPr>
              <w:ind w:rightChars="1" w:right="2"/>
              <w:rPr>
                <w:sz w:val="22"/>
                <w:szCs w:val="22"/>
              </w:rPr>
            </w:pPr>
            <w:r w:rsidRPr="00F307C6">
              <w:rPr>
                <w:sz w:val="22"/>
                <w:szCs w:val="22"/>
              </w:rPr>
              <w:t>Prob (LR Stat)</w:t>
            </w:r>
          </w:p>
        </w:tc>
        <w:tc>
          <w:tcPr>
            <w:tcW w:w="1559" w:type="dxa"/>
            <w:tcBorders>
              <w:top w:val="nil"/>
              <w:bottom w:val="nil"/>
            </w:tcBorders>
          </w:tcPr>
          <w:p w14:paraId="699D97B3" w14:textId="2A593298" w:rsidR="00D613A8" w:rsidRPr="00F307C6" w:rsidRDefault="00D613A8" w:rsidP="00D613A8">
            <w:pPr>
              <w:ind w:rightChars="1" w:right="2"/>
              <w:jc w:val="center"/>
              <w:rPr>
                <w:sz w:val="22"/>
                <w:szCs w:val="22"/>
              </w:rPr>
            </w:pPr>
            <w:r>
              <w:rPr>
                <w:rFonts w:hint="eastAsia"/>
                <w:sz w:val="22"/>
                <w:szCs w:val="22"/>
              </w:rPr>
              <w:t>0</w:t>
            </w:r>
            <w:r>
              <w:rPr>
                <w:sz w:val="22"/>
                <w:szCs w:val="22"/>
              </w:rPr>
              <w:t>.00</w:t>
            </w:r>
          </w:p>
        </w:tc>
        <w:tc>
          <w:tcPr>
            <w:tcW w:w="1559" w:type="dxa"/>
            <w:tcBorders>
              <w:top w:val="nil"/>
              <w:bottom w:val="nil"/>
            </w:tcBorders>
          </w:tcPr>
          <w:p w14:paraId="5DD1A28A" w14:textId="77777777" w:rsidR="00D613A8" w:rsidRPr="00F307C6" w:rsidRDefault="00D613A8" w:rsidP="00D613A8">
            <w:pPr>
              <w:ind w:rightChars="1" w:right="2"/>
              <w:jc w:val="center"/>
              <w:rPr>
                <w:sz w:val="22"/>
                <w:szCs w:val="22"/>
              </w:rPr>
            </w:pPr>
          </w:p>
        </w:tc>
        <w:tc>
          <w:tcPr>
            <w:tcW w:w="1701" w:type="dxa"/>
            <w:tcBorders>
              <w:top w:val="nil"/>
              <w:bottom w:val="nil"/>
            </w:tcBorders>
          </w:tcPr>
          <w:p w14:paraId="4E557348" w14:textId="77777777" w:rsidR="00D613A8" w:rsidRPr="00F307C6" w:rsidRDefault="00D613A8" w:rsidP="00D613A8">
            <w:pPr>
              <w:ind w:rightChars="1" w:right="2"/>
              <w:jc w:val="center"/>
              <w:rPr>
                <w:sz w:val="22"/>
                <w:szCs w:val="22"/>
              </w:rPr>
            </w:pPr>
          </w:p>
        </w:tc>
        <w:tc>
          <w:tcPr>
            <w:tcW w:w="1417" w:type="dxa"/>
            <w:tcBorders>
              <w:top w:val="nil"/>
              <w:bottom w:val="nil"/>
            </w:tcBorders>
          </w:tcPr>
          <w:p w14:paraId="3F346141" w14:textId="77777777" w:rsidR="00D613A8" w:rsidRPr="00F307C6" w:rsidRDefault="00D613A8" w:rsidP="00D613A8">
            <w:pPr>
              <w:ind w:rightChars="1" w:right="2"/>
              <w:jc w:val="center"/>
              <w:rPr>
                <w:sz w:val="22"/>
                <w:szCs w:val="22"/>
              </w:rPr>
            </w:pPr>
          </w:p>
        </w:tc>
      </w:tr>
      <w:tr w:rsidR="00D613A8" w14:paraId="7DD5610F" w14:textId="77777777" w:rsidTr="00D613A8">
        <w:tc>
          <w:tcPr>
            <w:tcW w:w="2394" w:type="dxa"/>
            <w:tcBorders>
              <w:top w:val="nil"/>
              <w:bottom w:val="nil"/>
            </w:tcBorders>
          </w:tcPr>
          <w:p w14:paraId="5F34828A" w14:textId="67510291" w:rsidR="00D613A8" w:rsidRPr="00F307C6" w:rsidRDefault="00D613A8" w:rsidP="00D613A8">
            <w:pPr>
              <w:ind w:rightChars="1" w:right="2"/>
            </w:pPr>
            <w:r w:rsidRPr="00F307C6">
              <w:rPr>
                <w:sz w:val="22"/>
                <w:szCs w:val="22"/>
              </w:rPr>
              <w:t>Pseudo R</w:t>
            </w:r>
            <w:r w:rsidRPr="00F307C6">
              <w:rPr>
                <w:sz w:val="22"/>
                <w:szCs w:val="22"/>
                <w:vertAlign w:val="superscript"/>
              </w:rPr>
              <w:t>2</w:t>
            </w:r>
          </w:p>
        </w:tc>
        <w:tc>
          <w:tcPr>
            <w:tcW w:w="1559" w:type="dxa"/>
            <w:tcBorders>
              <w:top w:val="nil"/>
              <w:bottom w:val="nil"/>
            </w:tcBorders>
          </w:tcPr>
          <w:p w14:paraId="7C80C8F0" w14:textId="3AF6AEE3" w:rsidR="00D613A8" w:rsidRPr="00F307C6" w:rsidRDefault="00D613A8" w:rsidP="00D613A8">
            <w:pPr>
              <w:ind w:rightChars="1" w:right="2"/>
              <w:jc w:val="center"/>
            </w:pPr>
            <w:r>
              <w:rPr>
                <w:rFonts w:hint="eastAsia"/>
              </w:rPr>
              <w:t>0</w:t>
            </w:r>
            <w:r>
              <w:t>.73</w:t>
            </w:r>
          </w:p>
        </w:tc>
        <w:tc>
          <w:tcPr>
            <w:tcW w:w="1559" w:type="dxa"/>
            <w:tcBorders>
              <w:top w:val="nil"/>
              <w:bottom w:val="nil"/>
            </w:tcBorders>
          </w:tcPr>
          <w:p w14:paraId="73A99319" w14:textId="77777777" w:rsidR="00D613A8" w:rsidRPr="00F307C6" w:rsidRDefault="00D613A8" w:rsidP="00D613A8">
            <w:pPr>
              <w:ind w:rightChars="1" w:right="2"/>
              <w:jc w:val="center"/>
            </w:pPr>
          </w:p>
        </w:tc>
        <w:tc>
          <w:tcPr>
            <w:tcW w:w="1701" w:type="dxa"/>
            <w:tcBorders>
              <w:top w:val="nil"/>
              <w:bottom w:val="nil"/>
            </w:tcBorders>
          </w:tcPr>
          <w:p w14:paraId="4B7D2649" w14:textId="77777777" w:rsidR="00D613A8" w:rsidRPr="00F307C6" w:rsidRDefault="00D613A8" w:rsidP="00D613A8">
            <w:pPr>
              <w:ind w:rightChars="1" w:right="2"/>
              <w:jc w:val="center"/>
            </w:pPr>
          </w:p>
        </w:tc>
        <w:tc>
          <w:tcPr>
            <w:tcW w:w="1417" w:type="dxa"/>
            <w:tcBorders>
              <w:top w:val="nil"/>
              <w:bottom w:val="nil"/>
            </w:tcBorders>
          </w:tcPr>
          <w:p w14:paraId="1B329045" w14:textId="77777777" w:rsidR="00D613A8" w:rsidRPr="00F307C6" w:rsidRDefault="00D613A8" w:rsidP="00D613A8">
            <w:pPr>
              <w:ind w:rightChars="1" w:right="2"/>
              <w:jc w:val="center"/>
            </w:pPr>
          </w:p>
        </w:tc>
      </w:tr>
      <w:tr w:rsidR="00D613A8" w14:paraId="519F3E16" w14:textId="77777777" w:rsidTr="00D613A8">
        <w:tc>
          <w:tcPr>
            <w:tcW w:w="2394" w:type="dxa"/>
            <w:tcBorders>
              <w:top w:val="nil"/>
            </w:tcBorders>
          </w:tcPr>
          <w:p w14:paraId="7B6B44D4" w14:textId="4EBF54AB" w:rsidR="00D613A8" w:rsidRPr="00F307C6" w:rsidRDefault="00D613A8" w:rsidP="00D613A8">
            <w:pPr>
              <w:ind w:rightChars="1" w:right="2"/>
            </w:pPr>
            <w:r w:rsidRPr="00F307C6">
              <w:rPr>
                <w:sz w:val="22"/>
                <w:szCs w:val="22"/>
              </w:rPr>
              <w:t>Number of provinces</w:t>
            </w:r>
          </w:p>
        </w:tc>
        <w:tc>
          <w:tcPr>
            <w:tcW w:w="1559" w:type="dxa"/>
            <w:tcBorders>
              <w:top w:val="nil"/>
            </w:tcBorders>
          </w:tcPr>
          <w:p w14:paraId="5D3C69EE" w14:textId="45395FD5" w:rsidR="00D613A8" w:rsidRPr="00F307C6" w:rsidRDefault="00D613A8" w:rsidP="00D613A8">
            <w:pPr>
              <w:ind w:rightChars="1" w:right="2"/>
              <w:jc w:val="center"/>
            </w:pPr>
            <w:r>
              <w:rPr>
                <w:rFonts w:hint="eastAsia"/>
              </w:rPr>
              <w:t>3</w:t>
            </w:r>
            <w:r>
              <w:t>4</w:t>
            </w:r>
          </w:p>
        </w:tc>
        <w:tc>
          <w:tcPr>
            <w:tcW w:w="1559" w:type="dxa"/>
            <w:tcBorders>
              <w:top w:val="nil"/>
            </w:tcBorders>
          </w:tcPr>
          <w:p w14:paraId="71B8C578" w14:textId="451E466B" w:rsidR="00D613A8" w:rsidRPr="00F307C6" w:rsidRDefault="00D613A8" w:rsidP="00D613A8">
            <w:pPr>
              <w:ind w:rightChars="1" w:right="2"/>
              <w:jc w:val="center"/>
            </w:pPr>
            <w:r>
              <w:rPr>
                <w:rFonts w:hint="eastAsia"/>
              </w:rPr>
              <w:t>3</w:t>
            </w:r>
          </w:p>
        </w:tc>
        <w:tc>
          <w:tcPr>
            <w:tcW w:w="1701" w:type="dxa"/>
            <w:tcBorders>
              <w:top w:val="nil"/>
            </w:tcBorders>
          </w:tcPr>
          <w:p w14:paraId="587C9004" w14:textId="3580611F" w:rsidR="00D613A8" w:rsidRPr="00F307C6" w:rsidRDefault="00D613A8" w:rsidP="00D613A8">
            <w:pPr>
              <w:ind w:rightChars="1" w:right="2"/>
              <w:jc w:val="center"/>
            </w:pPr>
            <w:r>
              <w:rPr>
                <w:rFonts w:hint="eastAsia"/>
              </w:rPr>
              <w:t>9</w:t>
            </w:r>
          </w:p>
        </w:tc>
        <w:tc>
          <w:tcPr>
            <w:tcW w:w="1417" w:type="dxa"/>
            <w:tcBorders>
              <w:top w:val="nil"/>
            </w:tcBorders>
          </w:tcPr>
          <w:p w14:paraId="3DADDA5F" w14:textId="2F30DFD4" w:rsidR="00D613A8" w:rsidRPr="00F307C6" w:rsidRDefault="00D613A8" w:rsidP="00D613A8">
            <w:pPr>
              <w:ind w:rightChars="1" w:right="2"/>
              <w:jc w:val="center"/>
            </w:pPr>
            <w:r>
              <w:rPr>
                <w:rFonts w:hint="eastAsia"/>
              </w:rPr>
              <w:t>2</w:t>
            </w:r>
            <w:r>
              <w:t>2</w:t>
            </w:r>
          </w:p>
        </w:tc>
      </w:tr>
    </w:tbl>
    <w:p w14:paraId="3247775D" w14:textId="41115956" w:rsidR="00F307C6" w:rsidRDefault="00E965AF" w:rsidP="00E965AF">
      <w:pPr>
        <w:spacing w:after="0" w:line="240" w:lineRule="auto"/>
        <w:ind w:left="720" w:rightChars="1" w:right="2" w:hanging="11"/>
      </w:pPr>
      <w:r>
        <w:rPr>
          <w:rFonts w:hint="eastAsia"/>
        </w:rPr>
        <w:t>N</w:t>
      </w:r>
      <w:r>
        <w:t>ote: Standard errors are reported in parentheses.</w:t>
      </w:r>
      <w:r w:rsidR="00157F1E">
        <w:t xml:space="preserve"> ***</w:t>
      </w:r>
      <w:r w:rsidR="00157F1E" w:rsidRPr="00157F1E">
        <w:rPr>
          <w:i/>
          <w:iCs/>
        </w:rPr>
        <w:t>p</w:t>
      </w:r>
      <w:r w:rsidR="00157F1E">
        <w:t>&lt;0.1, **</w:t>
      </w:r>
      <w:r w:rsidR="00157F1E" w:rsidRPr="00157F1E">
        <w:rPr>
          <w:i/>
          <w:iCs/>
        </w:rPr>
        <w:t>p</w:t>
      </w:r>
      <w:r w:rsidR="00157F1E">
        <w:t>&lt;0.05, *</w:t>
      </w:r>
      <w:r w:rsidR="00157F1E" w:rsidRPr="00157F1E">
        <w:rPr>
          <w:i/>
          <w:iCs/>
        </w:rPr>
        <w:t>p</w:t>
      </w:r>
      <w:r w:rsidR="00157F1E">
        <w:t>&lt;0.1</w:t>
      </w:r>
    </w:p>
    <w:p w14:paraId="0F67D46A" w14:textId="4A756982" w:rsidR="00E965AF" w:rsidRDefault="00157F1E" w:rsidP="002833DE">
      <w:pPr>
        <w:spacing w:after="0" w:line="240" w:lineRule="auto"/>
        <w:ind w:left="720" w:rightChars="1" w:right="2" w:hanging="11"/>
      </w:pPr>
      <w:r>
        <w:rPr>
          <w:rFonts w:hint="eastAsia"/>
        </w:rPr>
        <w:t>S</w:t>
      </w:r>
      <w:r>
        <w:t>ource: Authors’ computation</w:t>
      </w:r>
    </w:p>
    <w:p w14:paraId="155D8469" w14:textId="77777777" w:rsidR="002833DE" w:rsidRDefault="002833DE" w:rsidP="002833DE">
      <w:pPr>
        <w:spacing w:after="0" w:line="240" w:lineRule="auto"/>
        <w:ind w:left="720" w:rightChars="1" w:right="2" w:hanging="11"/>
      </w:pPr>
    </w:p>
    <w:p w14:paraId="24F7CDEF" w14:textId="5037A9CD" w:rsidR="006701C7" w:rsidRDefault="006701C7" w:rsidP="006E73C3">
      <w:pPr>
        <w:spacing w:after="0" w:line="360" w:lineRule="auto"/>
        <w:ind w:left="720" w:rightChars="1" w:right="2" w:firstLine="720"/>
        <w:jc w:val="both"/>
      </w:pPr>
      <w:r>
        <w:t xml:space="preserve">The direction of ordered logit coefficients clearly shows that </w:t>
      </w:r>
      <w:r w:rsidR="002833DE">
        <w:t xml:space="preserve">almost </w:t>
      </w:r>
      <w:r>
        <w:t xml:space="preserve">explanatory variables exhibit expected positive sign. The first variable is </w:t>
      </w:r>
      <w:r w:rsidR="00C04296">
        <w:t>the i</w:t>
      </w:r>
      <w:r>
        <w:t xml:space="preserve">nitial value of wage </w:t>
      </w:r>
      <w:r w:rsidR="00C04296">
        <w:t>that shows</w:t>
      </w:r>
      <w:r>
        <w:t xml:space="preserve"> a positive </w:t>
      </w:r>
      <w:r w:rsidR="00C04296">
        <w:t>effect</w:t>
      </w:r>
      <w:r>
        <w:t xml:space="preserve"> </w:t>
      </w:r>
      <w:r w:rsidR="00C04296">
        <w:t>for</w:t>
      </w:r>
      <w:r>
        <w:t xml:space="preserve"> club 1 and club </w:t>
      </w:r>
      <w:proofErr w:type="gramStart"/>
      <w:r>
        <w:t>2 ,</w:t>
      </w:r>
      <w:proofErr w:type="gramEnd"/>
      <w:r>
        <w:t xml:space="preserve"> which means the probability of province with higher initial value of wage </w:t>
      </w:r>
      <w:r w:rsidR="002833DE">
        <w:t>belong</w:t>
      </w:r>
      <w:r>
        <w:t xml:space="preserve"> in club 1 and club 2 is higher than the other provinces with lower initial value of wage. It </w:t>
      </w:r>
      <w:r w:rsidR="00C04296">
        <w:t xml:space="preserve">is </w:t>
      </w:r>
      <w:r>
        <w:t xml:space="preserve">also confirmed by the negative </w:t>
      </w:r>
      <w:r w:rsidR="00C04296">
        <w:t>effect</w:t>
      </w:r>
      <w:r>
        <w:t xml:space="preserve"> </w:t>
      </w:r>
      <w:r w:rsidR="00C04296">
        <w:t>for</w:t>
      </w:r>
      <w:r>
        <w:t xml:space="preserve"> club 3, which means the province with higher initial value of wage has a little probability to be</w:t>
      </w:r>
      <w:r w:rsidR="002833DE">
        <w:t xml:space="preserve">long </w:t>
      </w:r>
      <w:r>
        <w:t>in club 3. That also in line with the finding</w:t>
      </w:r>
      <w:r w:rsidR="00C04296">
        <w:t xml:space="preserve"> of </w:t>
      </w:r>
      <w:r w:rsidR="00C04296">
        <w:fldChar w:fldCharType="begin"/>
      </w:r>
      <w:r w:rsidR="00C04296">
        <w:instrText xml:space="preserve"> ADDIN ZOTERO_ITEM CSL_CITATION {"citationID":"l1Wixbpw","properties":{"formattedCitation":"(Bartkowska &amp; Riedl, 2012)","plainCitation":"(Bartkowska &amp; Riedl, 2012)","noteIndex":0},"citationItems":[{"id":33,"uris":["http://zotero.org/users/local/9Bu69DCL/items/94HQNCYQ"],"uri":["http://zotero.org/users/local/9Bu69DCL/items/94HQNCYQ"],"itemData":{"id":33,"type":"article-journal","container-title":"Economic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C04296">
        <w:fldChar w:fldCharType="separate"/>
      </w:r>
      <w:r w:rsidR="00C04296" w:rsidRPr="00C04296">
        <w:rPr>
          <w:rFonts w:ascii="Calibri" w:hAnsi="Calibri" w:cs="Calibri"/>
        </w:rPr>
        <w:t>Bartkowska &amp; Riedl</w:t>
      </w:r>
      <w:r w:rsidR="00C04296">
        <w:rPr>
          <w:rFonts w:ascii="Calibri" w:hAnsi="Calibri" w:cs="Calibri"/>
        </w:rPr>
        <w:t xml:space="preserve"> (</w:t>
      </w:r>
      <w:r w:rsidR="00C04296" w:rsidRPr="00C04296">
        <w:rPr>
          <w:rFonts w:ascii="Calibri" w:hAnsi="Calibri" w:cs="Calibri"/>
        </w:rPr>
        <w:t>2012)</w:t>
      </w:r>
      <w:r w:rsidR="00C04296">
        <w:fldChar w:fldCharType="end"/>
      </w:r>
      <w:r>
        <w:t>, which shows that region’s initial condition play a crucial role in Europe regions to determine which club their will belong.</w:t>
      </w:r>
    </w:p>
    <w:p w14:paraId="33202EF6" w14:textId="77777777" w:rsidR="00861F56" w:rsidRDefault="006701C7" w:rsidP="00861F56">
      <w:pPr>
        <w:spacing w:after="0" w:line="360" w:lineRule="auto"/>
        <w:ind w:left="720" w:rightChars="1" w:right="2" w:firstLine="720"/>
        <w:jc w:val="both"/>
      </w:pPr>
      <w:r>
        <w:t xml:space="preserve">Similar </w:t>
      </w:r>
      <w:r w:rsidR="006B0190">
        <w:t>influence is</w:t>
      </w:r>
      <w:r>
        <w:t xml:space="preserve"> also </w:t>
      </w:r>
      <w:r w:rsidR="006B0190">
        <w:t>observed</w:t>
      </w:r>
      <w:r>
        <w:t xml:space="preserve"> </w:t>
      </w:r>
      <w:r w:rsidR="006B0190">
        <w:t>for</w:t>
      </w:r>
      <w:r>
        <w:t xml:space="preserve"> manufacture employment share variable. That variable has a positive </w:t>
      </w:r>
      <w:r w:rsidR="006B0190">
        <w:t>effect</w:t>
      </w:r>
      <w:r>
        <w:t xml:space="preserve"> </w:t>
      </w:r>
      <w:r w:rsidR="006B0190">
        <w:t>for</w:t>
      </w:r>
      <w:r>
        <w:t xml:space="preserve"> club 1 and club 2, while it shows</w:t>
      </w:r>
      <w:r w:rsidR="006B0190">
        <w:t xml:space="preserve"> negative effect</w:t>
      </w:r>
      <w:r w:rsidR="002833DE">
        <w:t xml:space="preserve"> </w:t>
      </w:r>
      <w:r w:rsidR="006B0190">
        <w:t>for</w:t>
      </w:r>
      <w:r w:rsidR="002833DE">
        <w:t xml:space="preserve"> club 3</w:t>
      </w:r>
      <w:r>
        <w:t xml:space="preserve"> which means the province with higher manufacture employment share has a higher wage that the rest. </w:t>
      </w:r>
      <w:r w:rsidR="00DD45F9">
        <w:t>This</w:t>
      </w:r>
      <w:r>
        <w:t xml:space="preserve"> result is also </w:t>
      </w:r>
      <w:r w:rsidR="002833DE">
        <w:t>con</w:t>
      </w:r>
      <w:r w:rsidR="00DD45F9">
        <w:t>sistent</w:t>
      </w:r>
      <w:r w:rsidR="002833DE">
        <w:t xml:space="preserve"> </w:t>
      </w:r>
      <w:r w:rsidR="00DD45F9">
        <w:t xml:space="preserve">with </w:t>
      </w:r>
      <w:r w:rsidR="00DD45F9">
        <w:rPr>
          <w:rFonts w:hint="eastAsia"/>
        </w:rPr>
        <w:t>t</w:t>
      </w:r>
      <w:r w:rsidR="00DD45F9">
        <w:t xml:space="preserve">he finding of </w:t>
      </w:r>
      <w:r w:rsidR="00DD45F9">
        <w:fldChar w:fldCharType="begin"/>
      </w:r>
      <w:r w:rsidR="00DD45F9">
        <w:instrText xml:space="preserve"> ADDIN ZOTERO_ITEM CSL_CITATION {"citationID":"JAy36T22","properties":{"formattedCitation":"(Felipe et al., 2019)","plainCitation":"(Felipe et al., 2019)","noteIndex":0},"citationItems":[{"id":300,"uris":["http://zotero.org/users/local/9Bu69DCL/items/J94T8362"],"uri":["http://zotero.org/users/local/9Bu69DCL/items/J94T8362"],"itemData":{"id":300,"type":"book","ISBN":"92-9261-489-4","publisher":"Asian Development Bank","title":"Policies to Support the Development of Indonesia’s Manufacturing Sector during 2020–2024: A Joint ADB–BAPPENAS Report","author":[{"family":"Felipe","given":"Jesus"},{"family":"Widyasanti","given":"Amalia"},{"family":"Foster-McGregor","given":"Neil"},{"family":"Sumo","given":"Vanessa"}],"issued":{"date-parts":[["2019"]]}}}],"schema":"https://github.com/citation-style-language/schema/raw/master/csl-citation.json"} </w:instrText>
      </w:r>
      <w:r w:rsidR="00DD45F9">
        <w:fldChar w:fldCharType="separate"/>
      </w:r>
      <w:r w:rsidR="00DD45F9" w:rsidRPr="00DD45F9">
        <w:rPr>
          <w:rFonts w:ascii="Calibri" w:hAnsi="Calibri" w:cs="Calibri"/>
        </w:rPr>
        <w:t xml:space="preserve">Felipe et al. </w:t>
      </w:r>
      <w:r w:rsidR="00DD45F9">
        <w:rPr>
          <w:rFonts w:ascii="Calibri" w:hAnsi="Calibri" w:cs="Calibri"/>
        </w:rPr>
        <w:t>(</w:t>
      </w:r>
      <w:r w:rsidR="00DD45F9" w:rsidRPr="00DD45F9">
        <w:rPr>
          <w:rFonts w:ascii="Calibri" w:hAnsi="Calibri" w:cs="Calibri"/>
        </w:rPr>
        <w:t>2019)</w:t>
      </w:r>
      <w:r w:rsidR="00DD45F9">
        <w:fldChar w:fldCharType="end"/>
      </w:r>
      <w:r w:rsidR="00DD45F9">
        <w:t xml:space="preserve"> where there is evidence that</w:t>
      </w:r>
      <w:r>
        <w:t xml:space="preserve"> high-tech manufacturing firms generally pay higher wages in Indonesia. </w:t>
      </w:r>
      <w:r w:rsidR="00546936">
        <w:t>Furthermore, it also reveal</w:t>
      </w:r>
      <w:r w:rsidR="00DD45F9">
        <w:t>s</w:t>
      </w:r>
      <w:r w:rsidR="00546936">
        <w:t xml:space="preserve"> that</w:t>
      </w:r>
      <w:r>
        <w:t xml:space="preserve"> differences are likely due in part to differences in skill requirements of the sector, with average levels of education and training significantly higher. Moreover, high productivity rate </w:t>
      </w:r>
      <w:r>
        <w:lastRenderedPageBreak/>
        <w:t xml:space="preserve">in manufacturing sectors often become the main reason why labor in manufacturing sector often earn higher wage than labor in other sectors. </w:t>
      </w:r>
      <w:r w:rsidR="00861F56">
        <w:fldChar w:fldCharType="begin"/>
      </w:r>
      <w:r w:rsidR="00861F56">
        <w:instrText xml:space="preserve"> ADDIN ZOTERO_ITEM CSL_CITATION {"citationID":"DoBf4chc","properties":{"formattedCitation":"(Strain, 2019)","plainCitation":"(Strain, 2019)","noteIndex":0},"citationItems":[{"id":301,"uris":["http://zotero.org/users/local/9Bu69DCL/items/VH39WGVA"],"uri":["http://zotero.org/users/local/9Bu69DCL/items/VH39WGVA"],"itemData":{"id":301,"type":"article-journal","container-title":"Expanding Economic Opportunity for More Americans, The Aspen Institute","journalAbbreviation":"Expanding Economic Opportunity for More Americans, The Aspen Institute","title":"The Link Between Wages and Productivity Is Strong","author":[{"family":"Strain","given":"Michael R"}],"issued":{"date-parts":[["2019"]]}}}],"schema":"https://github.com/citation-style-language/schema/raw/master/csl-citation.json"} </w:instrText>
      </w:r>
      <w:r w:rsidR="00861F56">
        <w:fldChar w:fldCharType="separate"/>
      </w:r>
      <w:r w:rsidR="00861F56" w:rsidRPr="00861F56">
        <w:rPr>
          <w:rFonts w:ascii="Calibri" w:hAnsi="Calibri" w:cs="Calibri"/>
        </w:rPr>
        <w:t xml:space="preserve">Strain </w:t>
      </w:r>
      <w:r w:rsidR="00861F56">
        <w:rPr>
          <w:rFonts w:ascii="Calibri" w:hAnsi="Calibri" w:cs="Calibri"/>
        </w:rPr>
        <w:t>(</w:t>
      </w:r>
      <w:r w:rsidR="00861F56" w:rsidRPr="00861F56">
        <w:rPr>
          <w:rFonts w:ascii="Calibri" w:hAnsi="Calibri" w:cs="Calibri"/>
        </w:rPr>
        <w:t>2019)</w:t>
      </w:r>
      <w:r w:rsidR="00861F56">
        <w:fldChar w:fldCharType="end"/>
      </w:r>
      <w:r>
        <w:t xml:space="preserve"> f</w:t>
      </w:r>
      <w:r w:rsidR="00861F56">
        <w:t>inds</w:t>
      </w:r>
      <w:r>
        <w:t xml:space="preserve"> the evidence that there is a strong linkage between productivity and wages. In detail, he describe</w:t>
      </w:r>
      <w:r w:rsidR="00861F56">
        <w:t>s</w:t>
      </w:r>
      <w:r>
        <w:t xml:space="preserve"> that w</w:t>
      </w:r>
      <w:r w:rsidRPr="00D969CC">
        <w:t>hen properly measured, with variable definitions based on the most appropriate understanding of the relevant underlying economic concepts, trends in compensation and productivity have been very similar over the past several decades.</w:t>
      </w:r>
      <w:r>
        <w:t xml:space="preserve"> </w:t>
      </w:r>
    </w:p>
    <w:p w14:paraId="52B3DC87" w14:textId="3BC3304B" w:rsidR="00252738" w:rsidRDefault="006701C7" w:rsidP="00252738">
      <w:pPr>
        <w:spacing w:after="0" w:line="360" w:lineRule="auto"/>
        <w:ind w:left="720" w:rightChars="1" w:right="2" w:firstLine="720"/>
        <w:jc w:val="both"/>
      </w:pPr>
      <w:r>
        <w:t xml:space="preserve">Investment share to GDP also </w:t>
      </w:r>
      <w:r w:rsidR="00861F56">
        <w:t xml:space="preserve">demonstrate </w:t>
      </w:r>
      <w:r>
        <w:t xml:space="preserve">similar </w:t>
      </w:r>
      <w:r w:rsidR="00861F56">
        <w:t>effect</w:t>
      </w:r>
      <w:r>
        <w:t xml:space="preserve"> with the previous v</w:t>
      </w:r>
      <w:r w:rsidR="00546936">
        <w:t>ariables mentioned before</w:t>
      </w:r>
      <w:r w:rsidR="00861F56">
        <w:t>. Thus,</w:t>
      </w:r>
      <w:r w:rsidR="00546936">
        <w:t xml:space="preserve"> i</w:t>
      </w:r>
      <w:r>
        <w:t xml:space="preserve">t can be concluded that the higher private investment to GDP ratio </w:t>
      </w:r>
      <w:r w:rsidR="002B4CB0">
        <w:t xml:space="preserve">will </w:t>
      </w:r>
      <w:r>
        <w:t xml:space="preserve">increases probability to be in higher wage clubs. It also means that higher demand of labor force amidst the relatively higher level of wage reflects regional imbalance in economic development where investment activities are largely concentrated in few provinces that have advantage in terms of better infrastructure, strategic geographical position, and natural resource endowment. For example, </w:t>
      </w:r>
      <w:r w:rsidR="006F12C0">
        <w:t>provinces like</w:t>
      </w:r>
      <w:r>
        <w:t xml:space="preserve"> Jakarta, Banten, and Riau Island in club 1 which have better infrastructure condition rather than other provinces. The</w:t>
      </w:r>
      <w:r w:rsidR="006F12C0">
        <w:t>se provinces</w:t>
      </w:r>
      <w:r>
        <w:t xml:space="preserve"> also have strategic geographical location which surrounded by well managed transportation infrastructure, </w:t>
      </w:r>
      <w:r w:rsidR="007C1B8B">
        <w:t>and thus</w:t>
      </w:r>
      <w:r>
        <w:t xml:space="preserve"> will in</w:t>
      </w:r>
      <w:r w:rsidR="007C1B8B">
        <w:t>duce</w:t>
      </w:r>
      <w:r>
        <w:t xml:space="preserve"> higher labor and capital mobility. This resu</w:t>
      </w:r>
      <w:r w:rsidR="00C22D9F">
        <w:t>lt also simil</w:t>
      </w:r>
      <w:r w:rsidR="00795B0D">
        <w:t xml:space="preserve">ar with </w:t>
      </w:r>
      <w:r w:rsidR="00252738">
        <w:t xml:space="preserve">the </w:t>
      </w:r>
      <w:r>
        <w:t>finding</w:t>
      </w:r>
      <w:r w:rsidR="00252738">
        <w:t xml:space="preserve"> of </w:t>
      </w:r>
      <w:r w:rsidR="00252738">
        <w:fldChar w:fldCharType="begin"/>
      </w:r>
      <w:r w:rsidR="00252738">
        <w:instrText xml:space="preserve"> ADDIN ZOTERO_ITEM CSL_CITATION {"citationID":"EmN6YdmJ","properties":{"formattedCitation":"(Baskoro et al., 2019)","plainCitation":"(Baskoro et al., 2019)","noteIndex":0},"citationItems":[{"id":302,"uris":["http://zotero.org/users/local/9Bu69DCL/items/X8I2NQ4D"],"uri":["http://zotero.org/users/local/9Bu69DCL/items/X8I2NQ4D"],"itemData":{"id":302,"type":"article-journal","container-title":"Signifikan: Jurnal Ilmu Ekonomi","ISSN":"2476-9223","issue":"1","journalAbbreviation":"Signifikan: Jurnal Ilmu Ekonomi","page":"9-22","title":"Labor Productivity and Foreign Direct Investment in the Indonesian Manufacturing Sector","volume":"8","author":[{"family":"Baskoro","given":"Luhur Selo"},{"family":"Hara","given":"Yonsuke"},{"family":"Otsuji","given":"Yoshihiro"}],"issued":{"date-parts":[["2019"]]}}}],"schema":"https://github.com/citation-style-language/schema/raw/master/csl-citation.json"} </w:instrText>
      </w:r>
      <w:r w:rsidR="00252738">
        <w:fldChar w:fldCharType="separate"/>
      </w:r>
      <w:r w:rsidR="00252738" w:rsidRPr="00252738">
        <w:rPr>
          <w:rFonts w:ascii="Calibri" w:hAnsi="Calibri" w:cs="Calibri"/>
        </w:rPr>
        <w:t xml:space="preserve">Baskoro et al. </w:t>
      </w:r>
      <w:r w:rsidR="00252738">
        <w:rPr>
          <w:rFonts w:ascii="Calibri" w:hAnsi="Calibri" w:cs="Calibri"/>
        </w:rPr>
        <w:t>(</w:t>
      </w:r>
      <w:r w:rsidR="00252738" w:rsidRPr="00252738">
        <w:rPr>
          <w:rFonts w:ascii="Calibri" w:hAnsi="Calibri" w:cs="Calibri"/>
        </w:rPr>
        <w:t>2019)</w:t>
      </w:r>
      <w:r w:rsidR="00252738">
        <w:fldChar w:fldCharType="end"/>
      </w:r>
      <w:r>
        <w:t xml:space="preserve"> which </w:t>
      </w:r>
      <w:r w:rsidR="00252738">
        <w:t>concludes</w:t>
      </w:r>
      <w:r>
        <w:t xml:space="preserve"> </w:t>
      </w:r>
      <w:r w:rsidR="00795B0D">
        <w:t xml:space="preserve">that </w:t>
      </w:r>
      <w:r>
        <w:t>there is a possibility the positive sign of the wage variable concerning FDI explained by the higher productivity of labor, which represents an improvement of labor skill.</w:t>
      </w:r>
      <w:r w:rsidR="00C22D9F">
        <w:t xml:space="preserve"> Moreove</w:t>
      </w:r>
      <w:r>
        <w:t xml:space="preserve">r, they also </w:t>
      </w:r>
      <w:r w:rsidR="00795B0D">
        <w:t>describe</w:t>
      </w:r>
      <w:r>
        <w:t xml:space="preserve"> that the positive relationship of wage rate and FDI and the attractiveness of capital</w:t>
      </w:r>
      <w:r w:rsidR="00252738">
        <w:t>-</w:t>
      </w:r>
      <w:r>
        <w:t>intensive industries are in line with the shift of Indonesian industrial character.</w:t>
      </w:r>
    </w:p>
    <w:p w14:paraId="16AD662B" w14:textId="77777777" w:rsidR="009559E9" w:rsidRDefault="006701C7" w:rsidP="009559E9">
      <w:pPr>
        <w:spacing w:after="0" w:line="360" w:lineRule="auto"/>
        <w:ind w:left="720" w:rightChars="1" w:right="2" w:firstLine="720"/>
        <w:jc w:val="both"/>
      </w:pPr>
      <w:r>
        <w:t xml:space="preserve">On the other hand, labor force participation rate shows different result due to the negative sign in club 1 and club 2 while has positive </w:t>
      </w:r>
      <w:r w:rsidR="00795B0D">
        <w:t xml:space="preserve">sign </w:t>
      </w:r>
      <w:r>
        <w:t>in club 3. It means higher labor force participation rate decreases probability to be in higher wage clubs which reflects the standard labor supply and demand condition. Higher labor supply relative to its demand leads to downside pressure on wage</w:t>
      </w:r>
      <w:r w:rsidRPr="00061E9F">
        <w:t xml:space="preserve">. </w:t>
      </w:r>
      <w:r w:rsidR="009559E9">
        <w:t xml:space="preserve">Similar to what is mentioned by </w:t>
      </w:r>
      <w:r w:rsidR="009559E9">
        <w:fldChar w:fldCharType="begin"/>
      </w:r>
      <w:r w:rsidR="009559E9">
        <w:instrText xml:space="preserve"> ADDIN ZOTERO_ITEM CSL_CITATION {"citationID":"YcLdeVe1","properties":{"formattedCitation":"(Herr, 2002)","plainCitation":"(Herr, 2002)","noteIndex":0},"citationItems":[{"id":303,"uris":["http://zotero.org/users/local/9Bu69DCL/items/HPLD4X3F"],"uri":["http://zotero.org/users/local/9Bu69DCL/items/HPLD4X3F"],"itemData":{"id":303,"type":"report","publisher":"Working Paper","title":"Wages, employment and prices: An analysis of the relationship between wage level, wage structure, minimum wages and employment and prices","author":[{"family":"Herr","given":"Hansjörg"}],"issued":{"date-parts":[["2002"]]}}}],"schema":"https://github.com/citation-style-language/schema/raw/master/csl-citation.json"} </w:instrText>
      </w:r>
      <w:r w:rsidR="009559E9">
        <w:fldChar w:fldCharType="separate"/>
      </w:r>
      <w:r w:rsidR="009559E9" w:rsidRPr="009559E9">
        <w:rPr>
          <w:rFonts w:ascii="Calibri" w:hAnsi="Calibri" w:cs="Calibri"/>
        </w:rPr>
        <w:t xml:space="preserve">Herr </w:t>
      </w:r>
      <w:r w:rsidR="009559E9">
        <w:rPr>
          <w:rFonts w:ascii="Calibri" w:hAnsi="Calibri" w:cs="Calibri"/>
        </w:rPr>
        <w:t>(</w:t>
      </w:r>
      <w:r w:rsidR="009559E9" w:rsidRPr="009559E9">
        <w:rPr>
          <w:rFonts w:ascii="Calibri" w:hAnsi="Calibri" w:cs="Calibri"/>
        </w:rPr>
        <w:t>2002)</w:t>
      </w:r>
      <w:r w:rsidR="009559E9">
        <w:fldChar w:fldCharType="end"/>
      </w:r>
      <w:r w:rsidR="009559E9">
        <w:t>, we find evidence of</w:t>
      </w:r>
      <w:r w:rsidRPr="00061E9F">
        <w:t xml:space="preserve"> negative relationship between wage and labor supply</w:t>
      </w:r>
      <w:r w:rsidR="009559E9">
        <w:t xml:space="preserve">. </w:t>
      </w:r>
      <w:r w:rsidRPr="00061E9F">
        <w:t xml:space="preserve">As for the last variable, GDP </w:t>
      </w:r>
      <w:r w:rsidR="009559E9">
        <w:t>shows</w:t>
      </w:r>
      <w:r w:rsidRPr="00061E9F">
        <w:t xml:space="preserve"> an </w:t>
      </w:r>
      <w:r>
        <w:t>i</w:t>
      </w:r>
      <w:r w:rsidRPr="00061E9F">
        <w:t>nsignificant role in explaining wage formation clubs. It implies that the size of economy is less important in explaining the regional difference in wage across Indonesian provinces.</w:t>
      </w:r>
    </w:p>
    <w:p w14:paraId="0DECDBA1" w14:textId="7BB62B70" w:rsidR="00511618" w:rsidRPr="00C22D9F" w:rsidRDefault="006701C7" w:rsidP="009559E9">
      <w:pPr>
        <w:spacing w:line="360" w:lineRule="auto"/>
        <w:ind w:left="720" w:rightChars="1" w:right="2" w:firstLine="720"/>
        <w:jc w:val="both"/>
      </w:pPr>
      <w:r w:rsidRPr="00061E9F">
        <w:t xml:space="preserve">In conclusion, the result from ordered logit model shows that the formation of club convergence in provincial wage is mostly explained by regional labor market condition. As </w:t>
      </w:r>
      <w:r>
        <w:t xml:space="preserve">we know from the result, the variables such as initial condition of wage, manufacture employment </w:t>
      </w:r>
      <w:r>
        <w:lastRenderedPageBreak/>
        <w:t>share, investment, and labor force participation can indeed explain to which club a region will belong while GDP insignificantly influence the club formation.</w:t>
      </w:r>
    </w:p>
    <w:p w14:paraId="5DC275CA" w14:textId="3D76B78A" w:rsidR="00511618" w:rsidRDefault="00511618" w:rsidP="00EB13DE">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t>C</w:t>
      </w:r>
      <w:r>
        <w:rPr>
          <w:rFonts w:ascii="Bookman Old Style" w:eastAsia="Adobe Myungjo Std M" w:hAnsi="Bookman Old Style"/>
          <w:b/>
          <w:szCs w:val="18"/>
        </w:rPr>
        <w:t>onclusion</w:t>
      </w:r>
    </w:p>
    <w:p w14:paraId="1B298340" w14:textId="3446618B" w:rsidR="00FF6253" w:rsidRDefault="00FF6253" w:rsidP="00FF6253">
      <w:pPr>
        <w:pStyle w:val="ListParagraph"/>
        <w:rPr>
          <w:rFonts w:ascii="Bookman Old Style" w:eastAsia="Adobe Myungjo Std M" w:hAnsi="Bookman Old Style"/>
          <w:b/>
          <w:szCs w:val="18"/>
        </w:rPr>
      </w:pPr>
    </w:p>
    <w:p w14:paraId="0B18E86B" w14:textId="5598F8F5" w:rsidR="00FF6253" w:rsidRDefault="00FF6253" w:rsidP="00FF6253">
      <w:pPr>
        <w:pStyle w:val="ListParagraph"/>
        <w:rPr>
          <w:rFonts w:ascii="Bookman Old Style" w:eastAsia="Adobe Myungjo Std M" w:hAnsi="Bookman Old Style"/>
          <w:b/>
          <w:szCs w:val="18"/>
        </w:rPr>
      </w:pPr>
    </w:p>
    <w:p w14:paraId="6893AFA9" w14:textId="04C6CC60" w:rsidR="00FF6253" w:rsidRDefault="00FF6253" w:rsidP="00FF6253">
      <w:pPr>
        <w:pStyle w:val="ListParagraph"/>
        <w:rPr>
          <w:rFonts w:ascii="Bookman Old Style" w:eastAsia="Adobe Myungjo Std M" w:hAnsi="Bookman Old Style"/>
          <w:b/>
          <w:szCs w:val="18"/>
        </w:rPr>
      </w:pPr>
    </w:p>
    <w:p w14:paraId="599B3A84" w14:textId="77777777" w:rsidR="00FF6253" w:rsidRDefault="00FF6253" w:rsidP="00FF6253">
      <w:pPr>
        <w:pStyle w:val="ListParagraph"/>
        <w:rPr>
          <w:rFonts w:ascii="Bookman Old Style" w:eastAsia="Adobe Myungjo Std M" w:hAnsi="Bookman Old Style"/>
          <w:b/>
          <w:szCs w:val="18"/>
        </w:rPr>
      </w:pPr>
    </w:p>
    <w:p w14:paraId="773ED1BB" w14:textId="77777777" w:rsidR="00FF6253" w:rsidRDefault="00FF6253" w:rsidP="00FF6253">
      <w:pPr>
        <w:pStyle w:val="ListParagraph"/>
        <w:rPr>
          <w:rFonts w:ascii="Bookman Old Style" w:eastAsia="Adobe Myungjo Std M" w:hAnsi="Bookman Old Style"/>
          <w:b/>
          <w:szCs w:val="18"/>
        </w:rPr>
      </w:pPr>
    </w:p>
    <w:p w14:paraId="7E2625FA" w14:textId="0C4C3905" w:rsidR="00FD508A" w:rsidRPr="00FF6253" w:rsidRDefault="00FF6253" w:rsidP="00FF6253">
      <w:pPr>
        <w:pStyle w:val="ListParagraph"/>
        <w:ind w:left="426"/>
        <w:rPr>
          <w:rFonts w:ascii="Bookman Old Style" w:eastAsia="Adobe Myungjo Std M" w:hAnsi="Bookman Old Style"/>
          <w:b/>
          <w:szCs w:val="18"/>
        </w:rPr>
      </w:pPr>
      <w:r>
        <w:rPr>
          <w:rFonts w:ascii="Bookman Old Style" w:eastAsia="Adobe Myungjo Std M" w:hAnsi="Bookman Old Style" w:hint="eastAsia"/>
          <w:b/>
          <w:szCs w:val="18"/>
        </w:rPr>
        <w:t>R</w:t>
      </w:r>
      <w:r>
        <w:rPr>
          <w:rFonts w:ascii="Bookman Old Style" w:eastAsia="Adobe Myungjo Std M" w:hAnsi="Bookman Old Style"/>
          <w:b/>
          <w:szCs w:val="18"/>
        </w:rPr>
        <w:t>eferences</w:t>
      </w:r>
    </w:p>
    <w:p w14:paraId="2FB6A9FE" w14:textId="77777777" w:rsidR="009559E9" w:rsidRPr="009559E9" w:rsidRDefault="00FD508A" w:rsidP="00401993">
      <w:pPr>
        <w:pStyle w:val="Bibliography"/>
        <w:ind w:leftChars="193" w:left="425"/>
        <w:rPr>
          <w:rFonts w:ascii="Calibri" w:hAnsi="Calibri" w:cs="Calibri"/>
        </w:rPr>
      </w:pPr>
      <w:r>
        <w:rPr>
          <w:rFonts w:ascii="Bookman Old Style" w:eastAsia="Adobe Myungjo Std M" w:hAnsi="Bookman Old Style"/>
          <w:b/>
          <w:szCs w:val="18"/>
        </w:rPr>
        <w:fldChar w:fldCharType="begin"/>
      </w:r>
      <w:r>
        <w:rPr>
          <w:rFonts w:ascii="Bookman Old Style" w:eastAsia="Adobe Myungjo Std M" w:hAnsi="Bookman Old Style"/>
          <w:b/>
          <w:szCs w:val="18"/>
        </w:rPr>
        <w:instrText xml:space="preserve"> ADDIN ZOTERO_BIBL {"uncited":[],"omitted":[],"custom":[]} CSL_BIBLIOGRAPHY </w:instrText>
      </w:r>
      <w:r>
        <w:rPr>
          <w:rFonts w:ascii="Bookman Old Style" w:eastAsia="Adobe Myungjo Std M" w:hAnsi="Bookman Old Style"/>
          <w:b/>
          <w:szCs w:val="18"/>
        </w:rPr>
        <w:fldChar w:fldCharType="separate"/>
      </w:r>
      <w:r w:rsidR="009559E9" w:rsidRPr="009559E9">
        <w:rPr>
          <w:rFonts w:ascii="Calibri" w:hAnsi="Calibri" w:cs="Calibri"/>
        </w:rPr>
        <w:t xml:space="preserve">Aginta, H. (2021). Spatial dynamics of consumer price in Indonesia: Convergence clubs and conditioning factors. </w:t>
      </w:r>
      <w:r w:rsidR="009559E9" w:rsidRPr="009559E9">
        <w:rPr>
          <w:rFonts w:ascii="Calibri" w:hAnsi="Calibri" w:cs="Calibri"/>
          <w:i/>
          <w:iCs/>
        </w:rPr>
        <w:t>Asia-Pacific Journal of Regional Science</w:t>
      </w:r>
      <w:r w:rsidR="009559E9" w:rsidRPr="009559E9">
        <w:rPr>
          <w:rFonts w:ascii="Calibri" w:hAnsi="Calibri" w:cs="Calibri"/>
        </w:rPr>
        <w:t xml:space="preserve">, </w:t>
      </w:r>
      <w:r w:rsidR="009559E9" w:rsidRPr="009559E9">
        <w:rPr>
          <w:rFonts w:ascii="Calibri" w:hAnsi="Calibri" w:cs="Calibri"/>
          <w:i/>
          <w:iCs/>
        </w:rPr>
        <w:t>5</w:t>
      </w:r>
      <w:r w:rsidR="009559E9" w:rsidRPr="009559E9">
        <w:rPr>
          <w:rFonts w:ascii="Calibri" w:hAnsi="Calibri" w:cs="Calibri"/>
        </w:rPr>
        <w:t>(2), 427–451. https://doi.org/10.1007/s41685-020-00178-0</w:t>
      </w:r>
    </w:p>
    <w:p w14:paraId="0DA451D0"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Aginta, H., Gunawan, A. B., &amp; Mendez, C. (2020). Regional income disparities and convergence clubs in Indonesia: New district-level evidence. </w:t>
      </w:r>
      <w:r w:rsidRPr="009559E9">
        <w:rPr>
          <w:rFonts w:ascii="Calibri" w:hAnsi="Calibri" w:cs="Calibri"/>
          <w:i/>
          <w:iCs/>
        </w:rPr>
        <w:t>Journal of the Asia Pacific Economy</w:t>
      </w:r>
      <w:r w:rsidRPr="009559E9">
        <w:rPr>
          <w:rFonts w:ascii="Calibri" w:hAnsi="Calibri" w:cs="Calibri"/>
        </w:rPr>
        <w:t>, 1–33.</w:t>
      </w:r>
    </w:p>
    <w:p w14:paraId="73E3588C"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Azariadis, C., &amp; Drazen, A. (1990). Threshold Externalities in Economic Development. </w:t>
      </w:r>
      <w:r w:rsidRPr="009559E9">
        <w:rPr>
          <w:rFonts w:ascii="Calibri" w:hAnsi="Calibri" w:cs="Calibri"/>
          <w:i/>
          <w:iCs/>
        </w:rPr>
        <w:t>The Quarterly Journal of Economics</w:t>
      </w:r>
      <w:r w:rsidRPr="009559E9">
        <w:rPr>
          <w:rFonts w:ascii="Calibri" w:hAnsi="Calibri" w:cs="Calibri"/>
        </w:rPr>
        <w:t xml:space="preserve">, </w:t>
      </w:r>
      <w:r w:rsidRPr="009559E9">
        <w:rPr>
          <w:rFonts w:ascii="Calibri" w:hAnsi="Calibri" w:cs="Calibri"/>
          <w:i/>
          <w:iCs/>
        </w:rPr>
        <w:t>105</w:t>
      </w:r>
      <w:r w:rsidRPr="009559E9">
        <w:rPr>
          <w:rFonts w:ascii="Calibri" w:hAnsi="Calibri" w:cs="Calibri"/>
        </w:rPr>
        <w:t>(2), 501–526. JSTOR. https://doi.org/10.2307/2937797</w:t>
      </w:r>
    </w:p>
    <w:p w14:paraId="73C8F7B4"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Bartkowska, M., &amp; Riedl, A. (2012). Regional convergence clubs in Europe: Identiﬁcation and conditioning factors. </w:t>
      </w:r>
      <w:r w:rsidRPr="009559E9">
        <w:rPr>
          <w:rFonts w:ascii="Calibri" w:hAnsi="Calibri" w:cs="Calibri"/>
          <w:i/>
          <w:iCs/>
        </w:rPr>
        <w:t>Economic Modelling</w:t>
      </w:r>
      <w:r w:rsidRPr="009559E9">
        <w:rPr>
          <w:rFonts w:ascii="Calibri" w:hAnsi="Calibri" w:cs="Calibri"/>
        </w:rPr>
        <w:t xml:space="preserve">, </w:t>
      </w:r>
      <w:r w:rsidRPr="009559E9">
        <w:rPr>
          <w:rFonts w:ascii="Calibri" w:hAnsi="Calibri" w:cs="Calibri"/>
          <w:i/>
          <w:iCs/>
        </w:rPr>
        <w:t>29</w:t>
      </w:r>
      <w:r w:rsidRPr="009559E9">
        <w:rPr>
          <w:rFonts w:ascii="Calibri" w:hAnsi="Calibri" w:cs="Calibri"/>
        </w:rPr>
        <w:t>(1), 22–31.</w:t>
      </w:r>
    </w:p>
    <w:p w14:paraId="7FD3B68A"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Baskoro, L. S., Hara, Y., &amp; Otsuji, Y. (2019). Labor Productivity and Foreign Direct Investment in the Indonesian Manufacturing Sector. </w:t>
      </w:r>
      <w:r w:rsidRPr="009559E9">
        <w:rPr>
          <w:rFonts w:ascii="Calibri" w:hAnsi="Calibri" w:cs="Calibri"/>
          <w:i/>
          <w:iCs/>
        </w:rPr>
        <w:t>Signifikan: Jurnal Ilmu Ekonomi</w:t>
      </w:r>
      <w:r w:rsidRPr="009559E9">
        <w:rPr>
          <w:rFonts w:ascii="Calibri" w:hAnsi="Calibri" w:cs="Calibri"/>
        </w:rPr>
        <w:t xml:space="preserve">, </w:t>
      </w:r>
      <w:r w:rsidRPr="009559E9">
        <w:rPr>
          <w:rFonts w:ascii="Calibri" w:hAnsi="Calibri" w:cs="Calibri"/>
          <w:i/>
          <w:iCs/>
        </w:rPr>
        <w:t>8</w:t>
      </w:r>
      <w:r w:rsidRPr="009559E9">
        <w:rPr>
          <w:rFonts w:ascii="Calibri" w:hAnsi="Calibri" w:cs="Calibri"/>
        </w:rPr>
        <w:t>(1), 9–22.</w:t>
      </w:r>
    </w:p>
    <w:p w14:paraId="780EB99A"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Collin, K., Lundh, C., &amp; Prado, S. (2019). Exploring regional wage dispersion in Swedish manufacturing, 1860–2009. </w:t>
      </w:r>
      <w:r w:rsidRPr="009559E9">
        <w:rPr>
          <w:rFonts w:ascii="Calibri" w:hAnsi="Calibri" w:cs="Calibri"/>
          <w:i/>
          <w:iCs/>
        </w:rPr>
        <w:t>Scandinavian Economic History Review</w:t>
      </w:r>
      <w:r w:rsidRPr="009559E9">
        <w:rPr>
          <w:rFonts w:ascii="Calibri" w:hAnsi="Calibri" w:cs="Calibri"/>
        </w:rPr>
        <w:t xml:space="preserve">, </w:t>
      </w:r>
      <w:r w:rsidRPr="009559E9">
        <w:rPr>
          <w:rFonts w:ascii="Calibri" w:hAnsi="Calibri" w:cs="Calibri"/>
          <w:i/>
          <w:iCs/>
        </w:rPr>
        <w:t>67</w:t>
      </w:r>
      <w:r w:rsidRPr="009559E9">
        <w:rPr>
          <w:rFonts w:ascii="Calibri" w:hAnsi="Calibri" w:cs="Calibri"/>
        </w:rPr>
        <w:t>(3), 249–268.</w:t>
      </w:r>
    </w:p>
    <w:p w14:paraId="67F33151"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Corrado, L., Martin, R., &amp; Weeks, M. (2005). Identifying and Interpreting Regional Convergence Clusters across Europe*. </w:t>
      </w:r>
      <w:r w:rsidRPr="009559E9">
        <w:rPr>
          <w:rFonts w:ascii="Calibri" w:hAnsi="Calibri" w:cs="Calibri"/>
          <w:i/>
          <w:iCs/>
        </w:rPr>
        <w:t>The Economic Journal</w:t>
      </w:r>
      <w:r w:rsidRPr="009559E9">
        <w:rPr>
          <w:rFonts w:ascii="Calibri" w:hAnsi="Calibri" w:cs="Calibri"/>
        </w:rPr>
        <w:t xml:space="preserve">, </w:t>
      </w:r>
      <w:r w:rsidRPr="009559E9">
        <w:rPr>
          <w:rFonts w:ascii="Calibri" w:hAnsi="Calibri" w:cs="Calibri"/>
          <w:i/>
          <w:iCs/>
        </w:rPr>
        <w:t>115</w:t>
      </w:r>
      <w:r w:rsidRPr="009559E9">
        <w:rPr>
          <w:rFonts w:ascii="Calibri" w:hAnsi="Calibri" w:cs="Calibri"/>
        </w:rPr>
        <w:t>(502), C133–C160. https://doi.org/10.1111/j.0013-0133.2005.00984.x</w:t>
      </w:r>
    </w:p>
    <w:p w14:paraId="77B7F1AD"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Federico, G. (2012). How much do we know about market integration in Europe? 1. </w:t>
      </w:r>
      <w:r w:rsidRPr="009559E9">
        <w:rPr>
          <w:rFonts w:ascii="Calibri" w:hAnsi="Calibri" w:cs="Calibri"/>
          <w:i/>
          <w:iCs/>
        </w:rPr>
        <w:t>The Economic History Review</w:t>
      </w:r>
      <w:r w:rsidRPr="009559E9">
        <w:rPr>
          <w:rFonts w:ascii="Calibri" w:hAnsi="Calibri" w:cs="Calibri"/>
        </w:rPr>
        <w:t xml:space="preserve">, </w:t>
      </w:r>
      <w:r w:rsidRPr="009559E9">
        <w:rPr>
          <w:rFonts w:ascii="Calibri" w:hAnsi="Calibri" w:cs="Calibri"/>
          <w:i/>
          <w:iCs/>
        </w:rPr>
        <w:t>65</w:t>
      </w:r>
      <w:r w:rsidRPr="009559E9">
        <w:rPr>
          <w:rFonts w:ascii="Calibri" w:hAnsi="Calibri" w:cs="Calibri"/>
        </w:rPr>
        <w:t>(2), 470–497.</w:t>
      </w:r>
    </w:p>
    <w:p w14:paraId="66BF6059"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Felipe, J., Widyasanti, A., Foster-McGregor, N., &amp; Sumo, V. (2019). </w:t>
      </w:r>
      <w:r w:rsidRPr="009559E9">
        <w:rPr>
          <w:rFonts w:ascii="Calibri" w:hAnsi="Calibri" w:cs="Calibri"/>
          <w:i/>
          <w:iCs/>
        </w:rPr>
        <w:t>Policies to Support the Development of Indonesia’s Manufacturing Sector during 2020–2024: A Joint ADB–BAPPENAS Report</w:t>
      </w:r>
      <w:r w:rsidRPr="009559E9">
        <w:rPr>
          <w:rFonts w:ascii="Calibri" w:hAnsi="Calibri" w:cs="Calibri"/>
        </w:rPr>
        <w:t>. Asian Development Bank.</w:t>
      </w:r>
    </w:p>
    <w:p w14:paraId="56E022C1"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Firdaus, M., &amp; Yusop, Z. (2009). </w:t>
      </w:r>
      <w:r w:rsidRPr="009559E9">
        <w:rPr>
          <w:rFonts w:ascii="Calibri" w:hAnsi="Calibri" w:cs="Calibri"/>
          <w:i/>
          <w:iCs/>
        </w:rPr>
        <w:t>Dynamic analysis of regional convergence in Indonesia</w:t>
      </w:r>
      <w:r w:rsidRPr="009559E9">
        <w:rPr>
          <w:rFonts w:ascii="Calibri" w:hAnsi="Calibri" w:cs="Calibri"/>
        </w:rPr>
        <w:t>.</w:t>
      </w:r>
    </w:p>
    <w:p w14:paraId="6FA21995"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Galizia, P. C. (2015). </w:t>
      </w:r>
      <w:r w:rsidRPr="009559E9">
        <w:rPr>
          <w:rFonts w:ascii="Calibri" w:hAnsi="Calibri" w:cs="Calibri"/>
          <w:i/>
          <w:iCs/>
        </w:rPr>
        <w:t>Mediterranean labor markets in the first age of globalization: An economic history of real wages and market integration</w:t>
      </w:r>
      <w:r w:rsidRPr="009559E9">
        <w:rPr>
          <w:rFonts w:ascii="Calibri" w:hAnsi="Calibri" w:cs="Calibri"/>
        </w:rPr>
        <w:t>. Springer.</w:t>
      </w:r>
    </w:p>
    <w:p w14:paraId="38BC504E"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Herr, H. (2002). </w:t>
      </w:r>
      <w:r w:rsidRPr="009559E9">
        <w:rPr>
          <w:rFonts w:ascii="Calibri" w:hAnsi="Calibri" w:cs="Calibri"/>
          <w:i/>
          <w:iCs/>
        </w:rPr>
        <w:t>Wages, employment and prices: An analysis of the relationship between wage level, wage structure, minimum wages and employment and prices</w:t>
      </w:r>
      <w:r w:rsidRPr="009559E9">
        <w:rPr>
          <w:rFonts w:ascii="Calibri" w:hAnsi="Calibri" w:cs="Calibri"/>
        </w:rPr>
        <w:t>. Working Paper.</w:t>
      </w:r>
    </w:p>
    <w:p w14:paraId="2B619ED2"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lastRenderedPageBreak/>
        <w:t xml:space="preserve">Hicks, J. (1963). </w:t>
      </w:r>
      <w:r w:rsidRPr="009559E9">
        <w:rPr>
          <w:rFonts w:ascii="Calibri" w:hAnsi="Calibri" w:cs="Calibri"/>
          <w:i/>
          <w:iCs/>
        </w:rPr>
        <w:t>The theory of wages</w:t>
      </w:r>
      <w:r w:rsidRPr="009559E9">
        <w:rPr>
          <w:rFonts w:ascii="Calibri" w:hAnsi="Calibri" w:cs="Calibri"/>
        </w:rPr>
        <w:t>. Springer.</w:t>
      </w:r>
    </w:p>
    <w:p w14:paraId="5B16BA00"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Hobijn, B., &amp; Franses, P. H. (2000). Asymptotically Perfect and Relative Convergence of Productivity. </w:t>
      </w:r>
      <w:r w:rsidRPr="009559E9">
        <w:rPr>
          <w:rFonts w:ascii="Calibri" w:hAnsi="Calibri" w:cs="Calibri"/>
          <w:i/>
          <w:iCs/>
        </w:rPr>
        <w:t>Journal of Applied Econometrics</w:t>
      </w:r>
      <w:r w:rsidRPr="009559E9">
        <w:rPr>
          <w:rFonts w:ascii="Calibri" w:hAnsi="Calibri" w:cs="Calibri"/>
        </w:rPr>
        <w:t xml:space="preserve">, </w:t>
      </w:r>
      <w:r w:rsidRPr="009559E9">
        <w:rPr>
          <w:rFonts w:ascii="Calibri" w:hAnsi="Calibri" w:cs="Calibri"/>
          <w:i/>
          <w:iCs/>
        </w:rPr>
        <w:t>15</w:t>
      </w:r>
      <w:r w:rsidRPr="009559E9">
        <w:rPr>
          <w:rFonts w:ascii="Calibri" w:hAnsi="Calibri" w:cs="Calibri"/>
        </w:rPr>
        <w:t>(1), 59–81. JSTOR.</w:t>
      </w:r>
    </w:p>
    <w:p w14:paraId="11EA786E"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Kharisma, B., &amp; Saleh, S. (2013). Convergence of Income Among Provinces in Indonesia 1984-2008: A Panel Data Approach. </w:t>
      </w:r>
      <w:r w:rsidRPr="009559E9">
        <w:rPr>
          <w:rFonts w:ascii="Calibri" w:hAnsi="Calibri" w:cs="Calibri"/>
          <w:i/>
          <w:iCs/>
        </w:rPr>
        <w:t>Journal of Indonesian Economy and Business</w:t>
      </w:r>
      <w:r w:rsidRPr="009559E9">
        <w:rPr>
          <w:rFonts w:ascii="Calibri" w:hAnsi="Calibri" w:cs="Calibri"/>
        </w:rPr>
        <w:t xml:space="preserve">, </w:t>
      </w:r>
      <w:r w:rsidRPr="009559E9">
        <w:rPr>
          <w:rFonts w:ascii="Calibri" w:hAnsi="Calibri" w:cs="Calibri"/>
          <w:i/>
          <w:iCs/>
        </w:rPr>
        <w:t>28</w:t>
      </w:r>
      <w:r w:rsidRPr="009559E9">
        <w:rPr>
          <w:rFonts w:ascii="Calibri" w:hAnsi="Calibri" w:cs="Calibri"/>
        </w:rPr>
        <w:t>(2), 167–187.</w:t>
      </w:r>
    </w:p>
    <w:p w14:paraId="6B1AD30C"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Mantra, I. B. (1992). Pola dan arah migrasi penduduk antar propinsi di Indonesia tahun 1990. </w:t>
      </w:r>
      <w:r w:rsidRPr="009559E9">
        <w:rPr>
          <w:rFonts w:ascii="Calibri" w:hAnsi="Calibri" w:cs="Calibri"/>
          <w:i/>
          <w:iCs/>
        </w:rPr>
        <w:t>Populasi</w:t>
      </w:r>
      <w:r w:rsidRPr="009559E9">
        <w:rPr>
          <w:rFonts w:ascii="Calibri" w:hAnsi="Calibri" w:cs="Calibri"/>
        </w:rPr>
        <w:t xml:space="preserve">, </w:t>
      </w:r>
      <w:r w:rsidRPr="009559E9">
        <w:rPr>
          <w:rFonts w:ascii="Calibri" w:hAnsi="Calibri" w:cs="Calibri"/>
          <w:i/>
          <w:iCs/>
        </w:rPr>
        <w:t>3</w:t>
      </w:r>
      <w:r w:rsidRPr="009559E9">
        <w:rPr>
          <w:rFonts w:ascii="Calibri" w:hAnsi="Calibri" w:cs="Calibri"/>
        </w:rPr>
        <w:t>(2).</w:t>
      </w:r>
    </w:p>
    <w:p w14:paraId="7F1F714F"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Marhsall, A. (1920). </w:t>
      </w:r>
      <w:r w:rsidRPr="009559E9">
        <w:rPr>
          <w:rFonts w:ascii="Calibri" w:hAnsi="Calibri" w:cs="Calibri"/>
          <w:i/>
          <w:iCs/>
        </w:rPr>
        <w:t>Principles of economics</w:t>
      </w:r>
      <w:r w:rsidRPr="009559E9">
        <w:rPr>
          <w:rFonts w:ascii="Calibri" w:hAnsi="Calibri" w:cs="Calibri"/>
        </w:rPr>
        <w:t>. Macmillan.</w:t>
      </w:r>
    </w:p>
    <w:p w14:paraId="744AF0F0"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McKelvey, R. D., &amp; Zavoina, W. (1975). A statistical model for the analysis of ordinal level dependent variables. </w:t>
      </w:r>
      <w:r w:rsidRPr="009559E9">
        <w:rPr>
          <w:rFonts w:ascii="Calibri" w:hAnsi="Calibri" w:cs="Calibri"/>
          <w:i/>
          <w:iCs/>
        </w:rPr>
        <w:t>Journal of Mathematical Sociology</w:t>
      </w:r>
      <w:r w:rsidRPr="009559E9">
        <w:rPr>
          <w:rFonts w:ascii="Calibri" w:hAnsi="Calibri" w:cs="Calibri"/>
        </w:rPr>
        <w:t xml:space="preserve">, </w:t>
      </w:r>
      <w:r w:rsidRPr="009559E9">
        <w:rPr>
          <w:rFonts w:ascii="Calibri" w:hAnsi="Calibri" w:cs="Calibri"/>
          <w:i/>
          <w:iCs/>
        </w:rPr>
        <w:t>4</w:t>
      </w:r>
      <w:r w:rsidRPr="009559E9">
        <w:rPr>
          <w:rFonts w:ascii="Calibri" w:hAnsi="Calibri" w:cs="Calibri"/>
        </w:rPr>
        <w:t>(1), 103–120.</w:t>
      </w:r>
    </w:p>
    <w:p w14:paraId="7A0A1029"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Phillips, P. C. B., &amp; Sul, D. (2007). Transition Modelling and Econometric Convergence Tests. </w:t>
      </w:r>
      <w:r w:rsidRPr="009559E9">
        <w:rPr>
          <w:rFonts w:ascii="Calibri" w:hAnsi="Calibri" w:cs="Calibri"/>
          <w:i/>
          <w:iCs/>
        </w:rPr>
        <w:t>Econometerica</w:t>
      </w:r>
      <w:r w:rsidRPr="009559E9">
        <w:rPr>
          <w:rFonts w:ascii="Calibri" w:hAnsi="Calibri" w:cs="Calibri"/>
        </w:rPr>
        <w:t xml:space="preserve">, </w:t>
      </w:r>
      <w:r w:rsidRPr="009559E9">
        <w:rPr>
          <w:rFonts w:ascii="Calibri" w:hAnsi="Calibri" w:cs="Calibri"/>
          <w:i/>
          <w:iCs/>
        </w:rPr>
        <w:t>75</w:t>
      </w:r>
      <w:r w:rsidRPr="009559E9">
        <w:rPr>
          <w:rFonts w:ascii="Calibri" w:hAnsi="Calibri" w:cs="Calibri"/>
        </w:rPr>
        <w:t>(6), 1771–1855.</w:t>
      </w:r>
    </w:p>
    <w:p w14:paraId="6F1AE12A"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Phillips, P. C. B., &amp; Sul, D. (2009). Economic transition and growth. </w:t>
      </w:r>
      <w:r w:rsidRPr="009559E9">
        <w:rPr>
          <w:rFonts w:ascii="Calibri" w:hAnsi="Calibri" w:cs="Calibri"/>
          <w:i/>
          <w:iCs/>
        </w:rPr>
        <w:t>Journal of Applied Econometrics</w:t>
      </w:r>
      <w:r w:rsidRPr="009559E9">
        <w:rPr>
          <w:rFonts w:ascii="Calibri" w:hAnsi="Calibri" w:cs="Calibri"/>
        </w:rPr>
        <w:t xml:space="preserve">, </w:t>
      </w:r>
      <w:r w:rsidRPr="009559E9">
        <w:rPr>
          <w:rFonts w:ascii="Calibri" w:hAnsi="Calibri" w:cs="Calibri"/>
          <w:i/>
          <w:iCs/>
        </w:rPr>
        <w:t>24</w:t>
      </w:r>
      <w:r w:rsidRPr="009559E9">
        <w:rPr>
          <w:rFonts w:ascii="Calibri" w:hAnsi="Calibri" w:cs="Calibri"/>
        </w:rPr>
        <w:t>(7), 1153–1185. https://doi.org/10.1002/jae.1080</w:t>
      </w:r>
    </w:p>
    <w:p w14:paraId="753CF43A"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Prado, S., Lundh, C., Collin, K., &amp; Enflo, K. (2020). Labour and the ‘law of one price’: Regional wage convergence of farm workers in Sweden, 1757–1980. </w:t>
      </w:r>
      <w:r w:rsidRPr="009559E9">
        <w:rPr>
          <w:rFonts w:ascii="Calibri" w:hAnsi="Calibri" w:cs="Calibri"/>
          <w:i/>
          <w:iCs/>
        </w:rPr>
        <w:t>Scandinavian Economic History Review</w:t>
      </w:r>
      <w:r w:rsidRPr="009559E9">
        <w:rPr>
          <w:rFonts w:ascii="Calibri" w:hAnsi="Calibri" w:cs="Calibri"/>
        </w:rPr>
        <w:t>, 1–22.</w:t>
      </w:r>
    </w:p>
    <w:p w14:paraId="3E724B88"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Rosenbloom, J. L. (1998). Strikebreaking and the labor market in the United States, 1881-1894. </w:t>
      </w:r>
      <w:r w:rsidRPr="009559E9">
        <w:rPr>
          <w:rFonts w:ascii="Calibri" w:hAnsi="Calibri" w:cs="Calibri"/>
          <w:i/>
          <w:iCs/>
        </w:rPr>
        <w:t>Journal of Economic History</w:t>
      </w:r>
      <w:r w:rsidRPr="009559E9">
        <w:rPr>
          <w:rFonts w:ascii="Calibri" w:hAnsi="Calibri" w:cs="Calibri"/>
        </w:rPr>
        <w:t>, 183–205.</w:t>
      </w:r>
    </w:p>
    <w:p w14:paraId="41C880FD"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Rosenbloom, J. L., &amp; Sundstrom, W. A. (2002). The decline in hours of work in us labour markets, 1890–1903. In </w:t>
      </w:r>
      <w:r w:rsidRPr="009559E9">
        <w:rPr>
          <w:rFonts w:ascii="Calibri" w:hAnsi="Calibri" w:cs="Calibri"/>
          <w:i/>
          <w:iCs/>
        </w:rPr>
        <w:t>Labour Market Evolution</w:t>
      </w:r>
      <w:r w:rsidRPr="009559E9">
        <w:rPr>
          <w:rFonts w:ascii="Calibri" w:hAnsi="Calibri" w:cs="Calibri"/>
        </w:rPr>
        <w:t xml:space="preserve"> (pp. 175–198). Routledge.</w:t>
      </w:r>
    </w:p>
    <w:p w14:paraId="440948EB"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Strain, M. R. (2019). The Link Between Wages and Productivity Is Strong. </w:t>
      </w:r>
      <w:r w:rsidRPr="009559E9">
        <w:rPr>
          <w:rFonts w:ascii="Calibri" w:hAnsi="Calibri" w:cs="Calibri"/>
          <w:i/>
          <w:iCs/>
        </w:rPr>
        <w:t>Expanding Economic Opportunity for More Americans, The Aspen Institute</w:t>
      </w:r>
      <w:r w:rsidRPr="009559E9">
        <w:rPr>
          <w:rFonts w:ascii="Calibri" w:hAnsi="Calibri" w:cs="Calibri"/>
        </w:rPr>
        <w:t>.</w:t>
      </w:r>
    </w:p>
    <w:p w14:paraId="333F4580"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Todaro, M. P., &amp; Smith, S. C. (2003). </w:t>
      </w:r>
      <w:r w:rsidRPr="009559E9">
        <w:rPr>
          <w:rFonts w:ascii="Calibri" w:hAnsi="Calibri" w:cs="Calibri"/>
          <w:i/>
          <w:iCs/>
        </w:rPr>
        <w:t>Pembangunan Ekonomi: Di Dunia Ketiga, Jilid 1</w:t>
      </w:r>
      <w:r w:rsidRPr="009559E9">
        <w:rPr>
          <w:rFonts w:ascii="Calibri" w:hAnsi="Calibri" w:cs="Calibri"/>
        </w:rPr>
        <w:t>.</w:t>
      </w:r>
    </w:p>
    <w:p w14:paraId="1D5A0915" w14:textId="77777777" w:rsidR="009559E9" w:rsidRPr="009559E9" w:rsidRDefault="009559E9" w:rsidP="00401993">
      <w:pPr>
        <w:pStyle w:val="Bibliography"/>
        <w:ind w:leftChars="193" w:left="425"/>
        <w:rPr>
          <w:rFonts w:ascii="Calibri" w:hAnsi="Calibri" w:cs="Calibri"/>
        </w:rPr>
      </w:pPr>
      <w:r w:rsidRPr="009559E9">
        <w:rPr>
          <w:rFonts w:ascii="Calibri" w:hAnsi="Calibri" w:cs="Calibri"/>
        </w:rPr>
        <w:t xml:space="preserve">Vidyattama, Y. (2006). Regional Convergence and Indonesia Economic Dynamics. </w:t>
      </w:r>
      <w:r w:rsidRPr="009559E9">
        <w:rPr>
          <w:rFonts w:ascii="Calibri" w:hAnsi="Calibri" w:cs="Calibri"/>
          <w:i/>
          <w:iCs/>
        </w:rPr>
        <w:t>Economics and Finance in Indonesia</w:t>
      </w:r>
      <w:r w:rsidRPr="009559E9">
        <w:rPr>
          <w:rFonts w:ascii="Calibri" w:hAnsi="Calibri" w:cs="Calibri"/>
        </w:rPr>
        <w:t xml:space="preserve">, </w:t>
      </w:r>
      <w:r w:rsidRPr="009559E9">
        <w:rPr>
          <w:rFonts w:ascii="Calibri" w:hAnsi="Calibri" w:cs="Calibri"/>
          <w:i/>
          <w:iCs/>
        </w:rPr>
        <w:t>54</w:t>
      </w:r>
      <w:r w:rsidRPr="009559E9">
        <w:rPr>
          <w:rFonts w:ascii="Calibri" w:hAnsi="Calibri" w:cs="Calibri"/>
        </w:rPr>
        <w:t>, 197–227.</w:t>
      </w:r>
    </w:p>
    <w:p w14:paraId="4EE36827" w14:textId="047B5B04" w:rsidR="00971B36" w:rsidRPr="00401993" w:rsidRDefault="00FD508A" w:rsidP="00401993">
      <w:pPr>
        <w:rPr>
          <w:rFonts w:eastAsia="Adobe Myungjo Std M" w:cstheme="minorHAnsi"/>
          <w:szCs w:val="18"/>
        </w:rPr>
      </w:pPr>
      <w:r>
        <w:rPr>
          <w:rFonts w:ascii="Bookman Old Style" w:hAnsi="Bookman Old Style"/>
          <w:b/>
          <w:szCs w:val="18"/>
        </w:rPr>
        <w:fldChar w:fldCharType="end"/>
      </w:r>
    </w:p>
    <w:p w14:paraId="48C0653F" w14:textId="77777777" w:rsidR="004D555C" w:rsidRDefault="004D555C" w:rsidP="005F5ACD">
      <w:pPr>
        <w:pStyle w:val="ListParagraph"/>
        <w:ind w:left="426"/>
        <w:rPr>
          <w:rFonts w:ascii="Bookman Old Style" w:eastAsia="Adobe Myungjo Std M" w:hAnsi="Bookman Old Style"/>
          <w:b/>
          <w:szCs w:val="18"/>
        </w:rPr>
        <w:sectPr w:rsidR="004D555C">
          <w:pgSz w:w="12240" w:h="15840"/>
          <w:pgMar w:top="1440" w:right="1440" w:bottom="1440" w:left="1440" w:header="720" w:footer="720" w:gutter="0"/>
          <w:cols w:space="720"/>
          <w:docGrid w:linePitch="360"/>
        </w:sectPr>
      </w:pPr>
    </w:p>
    <w:p w14:paraId="10155E32" w14:textId="6967A8B7" w:rsidR="003752E0" w:rsidRDefault="005F5ACD" w:rsidP="005F5ACD">
      <w:pPr>
        <w:pStyle w:val="ListParagraph"/>
        <w:ind w:left="426"/>
        <w:rPr>
          <w:rFonts w:ascii="Bookman Old Style" w:eastAsia="Adobe Myungjo Std M" w:hAnsi="Bookman Old Style"/>
          <w:b/>
          <w:szCs w:val="18"/>
        </w:rPr>
      </w:pPr>
      <w:r w:rsidRPr="005F5ACD">
        <w:rPr>
          <w:rFonts w:ascii="Bookman Old Style" w:eastAsia="Adobe Myungjo Std M" w:hAnsi="Bookman Old Style"/>
          <w:b/>
          <w:szCs w:val="18"/>
        </w:rPr>
        <w:lastRenderedPageBreak/>
        <w:t>Appendices</w:t>
      </w:r>
    </w:p>
    <w:p w14:paraId="6CE13BC4" w14:textId="17BEC471" w:rsidR="00597509" w:rsidRDefault="00597509" w:rsidP="005F5ACD">
      <w:pPr>
        <w:pStyle w:val="ListParagraph"/>
        <w:ind w:left="426"/>
        <w:rPr>
          <w:rFonts w:ascii="Bookman Old Style" w:eastAsia="Adobe Myungjo Std M" w:hAnsi="Bookman Old Style"/>
          <w:b/>
          <w:szCs w:val="18"/>
        </w:rPr>
      </w:pPr>
    </w:p>
    <w:p w14:paraId="23364A91" w14:textId="77777777" w:rsidR="00597509" w:rsidRPr="00597509" w:rsidRDefault="00597509" w:rsidP="00597509">
      <w:pPr>
        <w:pStyle w:val="ListParagraph"/>
        <w:ind w:left="426"/>
        <w:rPr>
          <w:rFonts w:ascii="Bookman Old Style" w:eastAsia="Adobe Myungjo Std M" w:hAnsi="Bookman Old Style"/>
          <w:b/>
          <w:szCs w:val="18"/>
        </w:rPr>
      </w:pPr>
      <w:bookmarkStart w:id="0" w:name="Xc5d69006932744313775fe901e892f4ba62d16e"/>
      <w:r w:rsidRPr="00597509">
        <w:rPr>
          <w:rFonts w:ascii="Bookman Old Style" w:eastAsia="Adobe Myungjo Std M" w:hAnsi="Bookman Old Style"/>
          <w:b/>
          <w:szCs w:val="18"/>
        </w:rPr>
        <w:t>Appendix 1: Steps of convergence clubs identification process.</w:t>
      </w:r>
      <w:bookmarkEnd w:id="0"/>
    </w:p>
    <w:p w14:paraId="74D76DD2" w14:textId="77777777" w:rsidR="00597509" w:rsidRPr="00597509" w:rsidRDefault="00597509"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sz w:val="22"/>
          <w:szCs w:val="22"/>
          <w:lang w:val="en-US"/>
        </w:rPr>
      </w:pPr>
      <w:r w:rsidRPr="00597509">
        <w:rPr>
          <w:rFonts w:asciiTheme="minorHAnsi" w:eastAsiaTheme="minorEastAsia" w:hAnsiTheme="minorHAnsi" w:cstheme="minorBidi"/>
          <w:b w:val="0"/>
          <w:sz w:val="22"/>
          <w:szCs w:val="22"/>
          <w:lang w:val="en-US"/>
        </w:rPr>
        <w:t>Ordering: Sample units (provinces) are arranged in decreasing order according to their observations in the last period.</w:t>
      </w:r>
    </w:p>
    <w:p w14:paraId="079D1222" w14:textId="77777777" w:rsidR="00597509" w:rsidRPr="00597509" w:rsidRDefault="00597509"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sz w:val="22"/>
          <w:szCs w:val="22"/>
          <w:lang w:val="en-US"/>
        </w:rPr>
      </w:pPr>
      <w:r w:rsidRPr="00597509">
        <w:rPr>
          <w:rFonts w:asciiTheme="minorHAnsi" w:eastAsiaTheme="minorEastAsia" w:hAnsiTheme="minorHAnsi" w:cstheme="minorBidi"/>
          <w:b w:val="0"/>
          <w:sz w:val="22"/>
          <w:szCs w:val="22"/>
          <w:lang w:val="en-US"/>
        </w:rPr>
        <w:t xml:space="preserve">Constructing the core group: A core group of sample units (provinces) is identified based on the maximum </w:t>
      </w:r>
      <w:proofErr w:type="spellStart"/>
      <w:r w:rsidRPr="007B1F71">
        <w:rPr>
          <w:rFonts w:asciiTheme="minorHAnsi" w:eastAsiaTheme="minorEastAsia" w:hAnsiTheme="minorHAnsi" w:cstheme="minorBidi"/>
          <w:b w:val="0"/>
          <w:i/>
          <w:iCs/>
          <w:sz w:val="22"/>
          <w:szCs w:val="22"/>
          <w:lang w:val="en-US"/>
        </w:rPr>
        <w:t>tk</w:t>
      </w:r>
      <w:proofErr w:type="spellEnd"/>
      <w:r w:rsidRPr="00597509">
        <w:rPr>
          <w:rFonts w:asciiTheme="minorHAnsi" w:eastAsiaTheme="minorEastAsia" w:hAnsiTheme="minorHAnsi" w:cstheme="minorBidi"/>
          <w:b w:val="0"/>
          <w:sz w:val="22"/>
          <w:szCs w:val="22"/>
          <w:lang w:val="en-US"/>
        </w:rPr>
        <w:t xml:space="preserve">, which is obtained from a series of sequential estimations of equation 8 for the </w:t>
      </w:r>
      <w:r w:rsidRPr="007B1F71">
        <w:rPr>
          <w:rFonts w:asciiTheme="minorHAnsi" w:eastAsiaTheme="minorEastAsia" w:hAnsiTheme="minorHAnsi" w:cstheme="minorBidi"/>
          <w:b w:val="0"/>
          <w:i/>
          <w:iCs/>
          <w:sz w:val="22"/>
          <w:szCs w:val="22"/>
          <w:lang w:val="en-US"/>
        </w:rPr>
        <w:t>k</w:t>
      </w:r>
      <w:r w:rsidRPr="00597509">
        <w:rPr>
          <w:rFonts w:asciiTheme="minorHAnsi" w:eastAsiaTheme="minorEastAsia" w:hAnsiTheme="minorHAnsi" w:cstheme="minorBidi"/>
          <w:b w:val="0"/>
          <w:sz w:val="22"/>
          <w:szCs w:val="22"/>
          <w:lang w:val="en-US"/>
        </w:rPr>
        <w:t xml:space="preserve"> largest group (2 ≤ </w:t>
      </w:r>
      <w:proofErr w:type="spellStart"/>
      <w:r w:rsidRPr="00597509">
        <w:rPr>
          <w:rFonts w:asciiTheme="minorHAnsi" w:eastAsiaTheme="minorEastAsia" w:hAnsiTheme="minorHAnsi" w:cstheme="minorBidi"/>
          <w:b w:val="0"/>
          <w:sz w:val="22"/>
          <w:szCs w:val="22"/>
          <w:lang w:val="en-US"/>
        </w:rPr>
        <w:t>kN</w:t>
      </w:r>
      <w:proofErr w:type="spellEnd"/>
      <w:r w:rsidRPr="00597509">
        <w:rPr>
          <w:rFonts w:asciiTheme="minorHAnsi" w:eastAsiaTheme="minorEastAsia" w:hAnsiTheme="minorHAnsi" w:cstheme="minorBidi"/>
          <w:b w:val="0"/>
          <w:sz w:val="22"/>
          <w:szCs w:val="22"/>
          <w:lang w:val="en-US"/>
        </w:rPr>
        <w:t xml:space="preserve">). </w:t>
      </w:r>
    </w:p>
    <w:p w14:paraId="2FCD4F63" w14:textId="77777777" w:rsidR="00597509" w:rsidRPr="00597509" w:rsidRDefault="00597509"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sz w:val="22"/>
          <w:szCs w:val="22"/>
          <w:lang w:val="en-US"/>
        </w:rPr>
      </w:pPr>
      <w:r w:rsidRPr="00597509">
        <w:rPr>
          <w:rFonts w:asciiTheme="minorHAnsi" w:eastAsiaTheme="minorEastAsia" w:hAnsiTheme="minorHAnsi" w:cstheme="minorBidi"/>
          <w:b w:val="0"/>
          <w:sz w:val="22"/>
          <w:szCs w:val="22"/>
          <w:lang w:val="en-US"/>
        </w:rPr>
        <w:t xml:space="preserve">Deciding club membership: Sample units (provinces) not belonging to the core group are re-evaluated one at a time with log t regression. A new group is formed when the </w:t>
      </w:r>
      <w:r w:rsidRPr="007B1F71">
        <w:rPr>
          <w:rFonts w:asciiTheme="minorHAnsi" w:eastAsiaTheme="minorEastAsia" w:hAnsiTheme="minorHAnsi" w:cstheme="minorBidi"/>
          <w:b w:val="0"/>
          <w:i/>
          <w:iCs/>
          <w:sz w:val="22"/>
          <w:szCs w:val="22"/>
          <w:lang w:val="en-US"/>
        </w:rPr>
        <w:t>t</w:t>
      </w:r>
      <w:r w:rsidRPr="00597509">
        <w:rPr>
          <w:rFonts w:asciiTheme="minorHAnsi" w:eastAsiaTheme="minorEastAsia" w:hAnsiTheme="minorHAnsi" w:cstheme="minorBidi"/>
          <w:b w:val="0"/>
          <w:sz w:val="22"/>
          <w:szCs w:val="22"/>
          <w:lang w:val="en-US"/>
        </w:rPr>
        <w:t xml:space="preserve">-statistic &gt; 0. </w:t>
      </w:r>
    </w:p>
    <w:p w14:paraId="09471D76" w14:textId="3532E633" w:rsidR="00DB0A85" w:rsidRPr="003B44B0" w:rsidRDefault="00597509" w:rsidP="003B44B0">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sz w:val="22"/>
          <w:szCs w:val="22"/>
          <w:lang w:val="en-US"/>
        </w:rPr>
      </w:pPr>
      <w:r w:rsidRPr="00597509">
        <w:rPr>
          <w:rFonts w:asciiTheme="minorHAnsi" w:eastAsiaTheme="minorEastAsia" w:hAnsiTheme="minorHAnsi" w:cstheme="minorBidi"/>
          <w:b w:val="0"/>
          <w:sz w:val="22"/>
          <w:szCs w:val="22"/>
          <w:lang w:val="en-US"/>
        </w:rPr>
        <w:t>Iteration and stopping rule: The regression model of equation 7 is applied for the remaining sample units (provinces). If the process shows the rejection of null hypothesis of convergence, Steps 1 to 3 are performed again. The reaming sample units (provinces) are labeled as divergent if no core group is found, and the algorithm stops.</w:t>
      </w:r>
    </w:p>
    <w:p w14:paraId="47FD27CD" w14:textId="77777777" w:rsidR="004D555C" w:rsidRDefault="004D555C" w:rsidP="00DB0A85">
      <w:pPr>
        <w:pStyle w:val="ListParagraph"/>
        <w:ind w:left="426"/>
        <w:rPr>
          <w:rFonts w:ascii="Bookman Old Style" w:eastAsia="Adobe Myungjo Std M" w:hAnsi="Bookman Old Style"/>
          <w:b/>
          <w:szCs w:val="18"/>
        </w:rPr>
      </w:pPr>
    </w:p>
    <w:p w14:paraId="0D15FBFE" w14:textId="17F909E4" w:rsidR="00DB0A85" w:rsidRPr="00DB0A85" w:rsidRDefault="00DB0A85" w:rsidP="00DB0A85">
      <w:pPr>
        <w:pStyle w:val="ListParagraph"/>
        <w:ind w:left="426"/>
        <w:rPr>
          <w:rFonts w:ascii="Bookman Old Style" w:eastAsia="Adobe Myungjo Std M" w:hAnsi="Bookman Old Style"/>
          <w:b/>
          <w:szCs w:val="18"/>
        </w:rPr>
      </w:pPr>
      <w:r w:rsidRPr="00597509">
        <w:rPr>
          <w:rFonts w:ascii="Bookman Old Style" w:eastAsia="Adobe Myungjo Std M" w:hAnsi="Bookman Old Style"/>
          <w:b/>
          <w:szCs w:val="18"/>
        </w:rPr>
        <w:t xml:space="preserve">Appendix </w:t>
      </w:r>
      <w:r>
        <w:rPr>
          <w:rFonts w:ascii="Bookman Old Style" w:eastAsia="Adobe Myungjo Std M" w:hAnsi="Bookman Old Style"/>
          <w:b/>
          <w:szCs w:val="18"/>
        </w:rPr>
        <w:t>2</w:t>
      </w:r>
      <w:r w:rsidRPr="00597509">
        <w:rPr>
          <w:rFonts w:ascii="Bookman Old Style" w:eastAsia="Adobe Myungjo Std M" w:hAnsi="Bookman Old Style"/>
          <w:b/>
          <w:szCs w:val="18"/>
        </w:rPr>
        <w:t xml:space="preserve">: </w:t>
      </w:r>
      <w:r>
        <w:rPr>
          <w:rFonts w:ascii="Bookman Old Style" w:eastAsia="Adobe Myungjo Std M" w:hAnsi="Bookman Old Style"/>
          <w:b/>
          <w:szCs w:val="18"/>
        </w:rPr>
        <w:t>Test for clubs merging</w:t>
      </w:r>
    </w:p>
    <w:p w14:paraId="498A503A" w14:textId="58D15D63" w:rsidR="00DB0A85" w:rsidRPr="00DB0A85" w:rsidRDefault="00DB0A85" w:rsidP="00DB0A85">
      <w:pPr>
        <w:pStyle w:val="BodyText"/>
        <w:snapToGrid w:val="0"/>
        <w:spacing w:line="360" w:lineRule="auto"/>
        <w:ind w:left="425"/>
        <w:jc w:val="both"/>
        <w:rPr>
          <w:rFonts w:asciiTheme="minorHAnsi" w:eastAsiaTheme="minorEastAsia" w:hAnsiTheme="minorHAnsi" w:cstheme="minorBidi"/>
          <w:b w:val="0"/>
          <w:sz w:val="22"/>
          <w:szCs w:val="22"/>
          <w:lang w:val="en-US"/>
        </w:rPr>
      </w:pPr>
      <w:r w:rsidRPr="00DB0A85">
        <w:rPr>
          <w:rFonts w:asciiTheme="minorHAnsi" w:eastAsiaTheme="minorEastAsia" w:hAnsiTheme="minorHAnsi" w:cstheme="minorBidi"/>
          <w:b w:val="0"/>
          <w:sz w:val="22"/>
          <w:szCs w:val="22"/>
          <w:lang w:val="en-US"/>
        </w:rPr>
        <w:t>To evaluate whether the clubs identif</w:t>
      </w:r>
      <w:r>
        <w:rPr>
          <w:rFonts w:asciiTheme="minorHAnsi" w:eastAsiaTheme="minorEastAsia" w:hAnsiTheme="minorHAnsi" w:cstheme="minorBidi"/>
          <w:b w:val="0"/>
          <w:sz w:val="22"/>
          <w:szCs w:val="22"/>
          <w:lang w:val="en-US"/>
        </w:rPr>
        <w:t>i</w:t>
      </w:r>
      <w:r w:rsidRPr="00DB0A85">
        <w:rPr>
          <w:rFonts w:asciiTheme="minorHAnsi" w:eastAsiaTheme="minorEastAsia" w:hAnsiTheme="minorHAnsi" w:cstheme="minorBidi"/>
          <w:b w:val="0"/>
          <w:sz w:val="22"/>
          <w:szCs w:val="22"/>
          <w:lang w:val="en-US"/>
        </w:rPr>
        <w:t xml:space="preserve">ed according to the clustering algorithm described in </w:t>
      </w:r>
      <w:r>
        <w:rPr>
          <w:rFonts w:asciiTheme="minorHAnsi" w:eastAsiaTheme="minorEastAsia" w:hAnsiTheme="minorHAnsi" w:cstheme="minorBidi"/>
          <w:b w:val="0"/>
          <w:sz w:val="22"/>
          <w:szCs w:val="22"/>
          <w:lang w:val="en-US"/>
        </w:rPr>
        <w:t>Section 3.1.2</w:t>
      </w:r>
      <w:r w:rsidRPr="00DB0A85">
        <w:rPr>
          <w:rFonts w:asciiTheme="minorHAnsi" w:eastAsiaTheme="minorEastAsia" w:hAnsiTheme="minorHAnsi" w:cstheme="minorBidi"/>
          <w:b w:val="0"/>
          <w:sz w:val="22"/>
          <w:szCs w:val="22"/>
          <w:lang w:val="en-US"/>
        </w:rPr>
        <w:t xml:space="preserve"> and Appendix 1 can be merged, in this study, we use a “club merging</w:t>
      </w:r>
      <w:r w:rsidRPr="00DB0A85">
        <w:rPr>
          <w:rFonts w:asciiTheme="minorHAnsi" w:eastAsiaTheme="minorEastAsia" w:hAnsiTheme="minorHAnsi" w:cstheme="minorBidi" w:hint="eastAsia"/>
          <w:b w:val="0"/>
          <w:sz w:val="22"/>
          <w:szCs w:val="22"/>
          <w:lang w:val="en-US"/>
        </w:rPr>
        <w:t xml:space="preserve"> </w:t>
      </w:r>
      <w:r w:rsidRPr="00DB0A85">
        <w:rPr>
          <w:rFonts w:asciiTheme="minorHAnsi" w:eastAsiaTheme="minorEastAsia" w:hAnsiTheme="minorHAnsi" w:cstheme="minorBidi"/>
          <w:b w:val="0"/>
          <w:sz w:val="22"/>
          <w:szCs w:val="22"/>
          <w:lang w:val="en-US"/>
        </w:rPr>
        <w:t>algorithm” by Phillips and Sul (2009). By testing for merging between adjacent clubs, the procedure works as follows: f</w:t>
      </w:r>
      <w:r>
        <w:rPr>
          <w:rFonts w:asciiTheme="minorHAnsi" w:eastAsiaTheme="minorEastAsia" w:hAnsiTheme="minorHAnsi" w:cstheme="minorBidi"/>
          <w:b w:val="0"/>
          <w:sz w:val="22"/>
          <w:szCs w:val="22"/>
          <w:lang w:val="en-US"/>
        </w:rPr>
        <w:t>i</w:t>
      </w:r>
      <w:r w:rsidRPr="00DB0A85">
        <w:rPr>
          <w:rFonts w:asciiTheme="minorHAnsi" w:eastAsiaTheme="minorEastAsia" w:hAnsiTheme="minorHAnsi" w:cstheme="minorBidi"/>
          <w:b w:val="0"/>
          <w:sz w:val="22"/>
          <w:szCs w:val="22"/>
          <w:lang w:val="en-US"/>
        </w:rPr>
        <w:t>rst, apply log t test on the f</w:t>
      </w:r>
      <w:r>
        <w:rPr>
          <w:rFonts w:asciiTheme="minorHAnsi" w:eastAsiaTheme="minorEastAsia" w:hAnsiTheme="minorHAnsi" w:cstheme="minorBidi"/>
          <w:b w:val="0"/>
          <w:sz w:val="22"/>
          <w:szCs w:val="22"/>
          <w:lang w:val="en-US"/>
        </w:rPr>
        <w:t>i</w:t>
      </w:r>
      <w:r w:rsidRPr="00DB0A85">
        <w:rPr>
          <w:rFonts w:asciiTheme="minorHAnsi" w:eastAsiaTheme="minorEastAsia" w:hAnsiTheme="minorHAnsi" w:cstheme="minorBidi"/>
          <w:b w:val="0"/>
          <w:sz w:val="22"/>
          <w:szCs w:val="22"/>
          <w:lang w:val="en-US"/>
        </w:rPr>
        <w:t>rst two initial groups identif</w:t>
      </w:r>
      <w:r>
        <w:rPr>
          <w:rFonts w:asciiTheme="minorHAnsi" w:eastAsiaTheme="minorEastAsia" w:hAnsiTheme="minorHAnsi" w:cstheme="minorBidi"/>
          <w:b w:val="0"/>
          <w:sz w:val="22"/>
          <w:szCs w:val="22"/>
          <w:lang w:val="en-US"/>
        </w:rPr>
        <w:t>i</w:t>
      </w:r>
      <w:r w:rsidRPr="00DB0A85">
        <w:rPr>
          <w:rFonts w:asciiTheme="minorHAnsi" w:eastAsiaTheme="minorEastAsia" w:hAnsiTheme="minorHAnsi" w:cstheme="minorBidi"/>
          <w:b w:val="0"/>
          <w:sz w:val="22"/>
          <w:szCs w:val="22"/>
          <w:lang w:val="en-US"/>
        </w:rPr>
        <w:t xml:space="preserve">ed in the clustering mechanism. If the </w:t>
      </w:r>
      <w:r w:rsidRPr="00DB0A85">
        <w:rPr>
          <w:rFonts w:asciiTheme="minorHAnsi" w:eastAsiaTheme="minorEastAsia" w:hAnsiTheme="minorHAnsi" w:cstheme="minorBidi"/>
          <w:b w:val="0"/>
          <w:i/>
          <w:iCs/>
          <w:sz w:val="22"/>
          <w:szCs w:val="22"/>
          <w:lang w:val="en-US"/>
        </w:rPr>
        <w:t>t</w:t>
      </w:r>
      <w:r w:rsidRPr="00DB0A85">
        <w:rPr>
          <w:rFonts w:asciiTheme="minorHAnsi" w:eastAsiaTheme="minorEastAsia" w:hAnsiTheme="minorHAnsi" w:cstheme="minorBidi"/>
          <w:b w:val="0"/>
          <w:sz w:val="22"/>
          <w:szCs w:val="22"/>
          <w:lang w:val="en-US"/>
        </w:rPr>
        <w:t>-statistic</w:t>
      </w:r>
      <w:r>
        <w:rPr>
          <w:rFonts w:asciiTheme="minorHAnsi" w:eastAsiaTheme="minorEastAsia" w:hAnsiTheme="minorHAnsi" w:cstheme="minorBidi"/>
          <w:b w:val="0"/>
          <w:sz w:val="22"/>
          <w:szCs w:val="22"/>
          <w:lang w:val="en-US"/>
        </w:rPr>
        <w:t xml:space="preserve"> </w:t>
      </w:r>
      <w:r w:rsidR="00E815DF">
        <w:rPr>
          <w:rFonts w:asciiTheme="minorHAnsi" w:eastAsiaTheme="minorEastAsia" w:hAnsiTheme="minorHAnsi" w:cstheme="minorBidi"/>
          <w:b w:val="0"/>
          <w:sz w:val="22"/>
          <w:szCs w:val="22"/>
          <w:lang w:val="en-US"/>
        </w:rPr>
        <w:t>&gt;</w:t>
      </w:r>
      <w:r>
        <w:rPr>
          <w:rFonts w:asciiTheme="minorHAnsi" w:eastAsiaTheme="minorEastAsia" w:hAnsiTheme="minorHAnsi" w:cstheme="minorBidi"/>
          <w:b w:val="0"/>
          <w:sz w:val="22"/>
          <w:szCs w:val="22"/>
          <w:lang w:val="en-US"/>
        </w:rPr>
        <w:t xml:space="preserve"> -</w:t>
      </w:r>
      <w:r w:rsidRPr="00DB0A85">
        <w:rPr>
          <w:rFonts w:asciiTheme="minorHAnsi" w:eastAsiaTheme="minorEastAsia" w:hAnsiTheme="minorHAnsi" w:cstheme="minorBidi"/>
          <w:b w:val="0"/>
          <w:sz w:val="22"/>
          <w:szCs w:val="22"/>
          <w:lang w:val="en-US"/>
        </w:rPr>
        <w:t>1.65, these two groups together form a new convergence club. Second, repeat the f</w:t>
      </w:r>
      <w:r>
        <w:rPr>
          <w:rFonts w:asciiTheme="minorHAnsi" w:eastAsiaTheme="minorEastAsia" w:hAnsiTheme="minorHAnsi" w:cstheme="minorBidi"/>
          <w:b w:val="0"/>
          <w:sz w:val="22"/>
          <w:szCs w:val="22"/>
          <w:lang w:val="en-US"/>
        </w:rPr>
        <w:t>i</w:t>
      </w:r>
      <w:r w:rsidRPr="00DB0A85">
        <w:rPr>
          <w:rFonts w:asciiTheme="minorHAnsi" w:eastAsiaTheme="minorEastAsia" w:hAnsiTheme="minorHAnsi" w:cstheme="minorBidi"/>
          <w:b w:val="0"/>
          <w:sz w:val="22"/>
          <w:szCs w:val="22"/>
          <w:lang w:val="en-US"/>
        </w:rPr>
        <w:t>rst step by adding the next club.</w:t>
      </w:r>
      <w:r w:rsidRPr="00DB0A85">
        <w:rPr>
          <w:rFonts w:asciiTheme="minorHAnsi" w:eastAsiaTheme="minorEastAsia" w:hAnsiTheme="minorHAnsi" w:cstheme="minorBidi" w:hint="eastAsia"/>
          <w:b w:val="0"/>
          <w:sz w:val="22"/>
          <w:szCs w:val="22"/>
          <w:lang w:val="en-US"/>
        </w:rPr>
        <w:t xml:space="preserve"> </w:t>
      </w:r>
      <w:r w:rsidRPr="00DB0A85">
        <w:rPr>
          <w:rFonts w:asciiTheme="minorHAnsi" w:eastAsiaTheme="minorEastAsia" w:hAnsiTheme="minorHAnsi" w:cstheme="minorBidi"/>
          <w:b w:val="0"/>
          <w:sz w:val="22"/>
          <w:szCs w:val="22"/>
          <w:lang w:val="en-US"/>
        </w:rPr>
        <w:t xml:space="preserve">Continue this process until the condition of </w:t>
      </w:r>
      <w:r w:rsidRPr="00DB0A85">
        <w:rPr>
          <w:rFonts w:asciiTheme="minorHAnsi" w:eastAsiaTheme="minorEastAsia" w:hAnsiTheme="minorHAnsi" w:cstheme="minorBidi"/>
          <w:b w:val="0"/>
          <w:i/>
          <w:iCs/>
          <w:sz w:val="22"/>
          <w:szCs w:val="22"/>
          <w:lang w:val="en-US"/>
        </w:rPr>
        <w:t>t</w:t>
      </w:r>
      <w:r w:rsidRPr="00DB0A85">
        <w:rPr>
          <w:rFonts w:asciiTheme="minorHAnsi" w:eastAsiaTheme="minorEastAsia" w:hAnsiTheme="minorHAnsi" w:cstheme="minorBidi"/>
          <w:b w:val="0"/>
          <w:sz w:val="22"/>
          <w:szCs w:val="22"/>
          <w:lang w:val="en-US"/>
        </w:rPr>
        <w:t>-statisti</w:t>
      </w:r>
      <w:r>
        <w:rPr>
          <w:rFonts w:asciiTheme="minorHAnsi" w:eastAsiaTheme="minorEastAsia" w:hAnsiTheme="minorHAnsi" w:cstheme="minorBidi"/>
          <w:b w:val="0"/>
          <w:sz w:val="22"/>
          <w:szCs w:val="22"/>
          <w:lang w:val="en-US"/>
        </w:rPr>
        <w:t>c</w:t>
      </w:r>
      <w:r w:rsidR="00E815DF">
        <w:rPr>
          <w:rFonts w:asciiTheme="minorHAnsi" w:eastAsiaTheme="minorEastAsia" w:hAnsiTheme="minorHAnsi" w:cstheme="minorBidi"/>
          <w:b w:val="0"/>
          <w:sz w:val="22"/>
          <w:szCs w:val="22"/>
          <w:lang w:val="en-US"/>
        </w:rPr>
        <w:t xml:space="preserve"> &gt;</w:t>
      </w:r>
      <w:r>
        <w:rPr>
          <w:rFonts w:asciiTheme="minorHAnsi" w:eastAsiaTheme="minorEastAsia" w:hAnsiTheme="minorHAnsi" w:cstheme="minorBidi"/>
          <w:b w:val="0"/>
          <w:sz w:val="22"/>
          <w:szCs w:val="22"/>
          <w:lang w:val="en-US"/>
        </w:rPr>
        <w:t xml:space="preserve"> -</w:t>
      </w:r>
      <w:r w:rsidRPr="00DB0A85">
        <w:rPr>
          <w:rFonts w:asciiTheme="minorHAnsi" w:eastAsiaTheme="minorEastAsia" w:hAnsiTheme="minorHAnsi" w:cstheme="minorBidi"/>
          <w:b w:val="0"/>
          <w:sz w:val="22"/>
          <w:szCs w:val="22"/>
          <w:lang w:val="en-US"/>
        </w:rPr>
        <w:t xml:space="preserve">1.65 is achieved. Third, if convergence hypothesis is rejected, that is when </w:t>
      </w:r>
      <w:r w:rsidRPr="00DB0A85">
        <w:rPr>
          <w:rFonts w:asciiTheme="minorHAnsi" w:eastAsiaTheme="minorEastAsia" w:hAnsiTheme="minorHAnsi" w:cstheme="minorBidi"/>
          <w:b w:val="0"/>
          <w:i/>
          <w:iCs/>
          <w:sz w:val="22"/>
          <w:szCs w:val="22"/>
          <w:lang w:val="en-US"/>
        </w:rPr>
        <w:t>t</w:t>
      </w:r>
      <w:r w:rsidRPr="00DB0A85">
        <w:rPr>
          <w:rFonts w:asciiTheme="minorHAnsi" w:eastAsiaTheme="minorEastAsia" w:hAnsiTheme="minorHAnsi" w:cstheme="minorBidi"/>
          <w:b w:val="0"/>
          <w:sz w:val="22"/>
          <w:szCs w:val="22"/>
          <w:lang w:val="en-US"/>
        </w:rPr>
        <w:t>-statisti</w:t>
      </w:r>
      <w:r>
        <w:rPr>
          <w:rFonts w:asciiTheme="minorHAnsi" w:eastAsiaTheme="minorEastAsia" w:hAnsiTheme="minorHAnsi" w:cstheme="minorBidi"/>
          <w:b w:val="0"/>
          <w:sz w:val="22"/>
          <w:szCs w:val="22"/>
          <w:lang w:val="en-US"/>
        </w:rPr>
        <w:t xml:space="preserve">c </w:t>
      </w:r>
      <w:r w:rsidR="00E815DF">
        <w:rPr>
          <w:rFonts w:asciiTheme="minorHAnsi" w:eastAsiaTheme="minorEastAsia" w:hAnsiTheme="minorHAnsi" w:cstheme="minorBidi"/>
          <w:b w:val="0"/>
          <w:sz w:val="22"/>
          <w:szCs w:val="22"/>
          <w:lang w:val="en-US"/>
        </w:rPr>
        <w:t>&gt;</w:t>
      </w:r>
      <w:r>
        <w:rPr>
          <w:rFonts w:asciiTheme="minorHAnsi" w:eastAsiaTheme="minorEastAsia" w:hAnsiTheme="minorHAnsi" w:cstheme="minorBidi"/>
          <w:b w:val="0"/>
          <w:sz w:val="22"/>
          <w:szCs w:val="22"/>
          <w:lang w:val="en-US"/>
        </w:rPr>
        <w:t xml:space="preserve"> -</w:t>
      </w:r>
      <w:r w:rsidRPr="00DB0A85">
        <w:rPr>
          <w:rFonts w:asciiTheme="minorHAnsi" w:eastAsiaTheme="minorEastAsia" w:hAnsiTheme="minorHAnsi" w:cstheme="minorBidi"/>
          <w:b w:val="0"/>
          <w:sz w:val="22"/>
          <w:szCs w:val="22"/>
          <w:lang w:val="en-US"/>
        </w:rPr>
        <w:t>1.65 does not hold, we assume that all previous groups converge, except the last added one. Hence, we restart the merging algorithm from the club for which the hypothesis of convergence does not hold.</w:t>
      </w:r>
      <w:r>
        <w:rPr>
          <w:rFonts w:asciiTheme="minorHAnsi" w:eastAsiaTheme="minorEastAsia" w:hAnsiTheme="minorHAnsi" w:cstheme="minorBidi"/>
          <w:b w:val="0"/>
          <w:sz w:val="22"/>
          <w:szCs w:val="22"/>
          <w:lang w:val="en-US"/>
        </w:rPr>
        <w:t xml:space="preserve"> </w:t>
      </w:r>
    </w:p>
    <w:p w14:paraId="0C82EECF" w14:textId="77777777" w:rsidR="00597509" w:rsidRPr="00597509" w:rsidRDefault="00597509" w:rsidP="005F5ACD">
      <w:pPr>
        <w:pStyle w:val="ListParagraph"/>
        <w:ind w:left="426"/>
        <w:rPr>
          <w:rFonts w:ascii="Bookman Old Style" w:eastAsia="Adobe Myungjo Std M" w:hAnsi="Bookman Old Style"/>
          <w:b/>
          <w:szCs w:val="18"/>
          <w:lang w:val="en-GB"/>
        </w:rPr>
      </w:pPr>
    </w:p>
    <w:p w14:paraId="6EA38837" w14:textId="77777777" w:rsidR="003B44B0" w:rsidRDefault="003B44B0" w:rsidP="005F5ACD">
      <w:pPr>
        <w:snapToGrid w:val="0"/>
        <w:spacing w:after="0" w:line="240" w:lineRule="auto"/>
        <w:ind w:left="357"/>
        <w:jc w:val="center"/>
        <w:sectPr w:rsidR="003B44B0">
          <w:pgSz w:w="12240" w:h="15840"/>
          <w:pgMar w:top="1440" w:right="1440" w:bottom="1440" w:left="1440" w:header="720" w:footer="720" w:gutter="0"/>
          <w:cols w:space="720"/>
          <w:docGrid w:linePitch="360"/>
        </w:sectPr>
      </w:pPr>
    </w:p>
    <w:p w14:paraId="0ADE37AC" w14:textId="7CB609D1" w:rsidR="005F5ACD" w:rsidRPr="005F5ACD" w:rsidRDefault="005F5ACD" w:rsidP="005F5ACD">
      <w:pPr>
        <w:snapToGrid w:val="0"/>
        <w:spacing w:after="0" w:line="240" w:lineRule="auto"/>
        <w:ind w:left="357"/>
        <w:jc w:val="center"/>
      </w:pPr>
      <w:r w:rsidRPr="005F5ACD">
        <w:lastRenderedPageBreak/>
        <w:t xml:space="preserve">Table A1. </w:t>
      </w:r>
      <w:r>
        <w:t>Descriptive statistics of real wage in 34 Indonesian provinces</w:t>
      </w:r>
    </w:p>
    <w:p w14:paraId="4B8379B3" w14:textId="30CE7DEE" w:rsidR="005F5ACD" w:rsidRDefault="005F5ACD" w:rsidP="005F5ACD">
      <w:pPr>
        <w:snapToGrid w:val="0"/>
        <w:spacing w:after="0" w:line="240" w:lineRule="auto"/>
        <w:ind w:left="357"/>
        <w:jc w:val="center"/>
        <w:rPr>
          <w:rFonts w:eastAsia="Adobe Myungjo Std M" w:cstheme="minorHAnsi"/>
          <w:szCs w:val="18"/>
        </w:rPr>
      </w:pPr>
      <w:r w:rsidRPr="005F5ACD">
        <w:rPr>
          <w:noProof/>
        </w:rPr>
        <w:drawing>
          <wp:inline distT="0" distB="0" distL="0" distR="0" wp14:anchorId="7E1EDDA8" wp14:editId="18051540">
            <wp:extent cx="3048000" cy="62905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2045" cy="6298900"/>
                    </a:xfrm>
                    <a:prstGeom prst="rect">
                      <a:avLst/>
                    </a:prstGeom>
                    <a:noFill/>
                    <a:ln>
                      <a:noFill/>
                    </a:ln>
                  </pic:spPr>
                </pic:pic>
              </a:graphicData>
            </a:graphic>
          </wp:inline>
        </w:drawing>
      </w:r>
    </w:p>
    <w:p w14:paraId="7CC1F2D7" w14:textId="1CC13938" w:rsidR="005F5ACD" w:rsidRPr="005F5ACD" w:rsidRDefault="005F5ACD" w:rsidP="005F5ACD">
      <w:pPr>
        <w:snapToGrid w:val="0"/>
        <w:spacing w:after="0" w:line="240" w:lineRule="auto"/>
        <w:ind w:leftChars="1162" w:left="2556"/>
        <w:rPr>
          <w:sz w:val="20"/>
          <w:szCs w:val="20"/>
        </w:rPr>
      </w:pPr>
      <w:r w:rsidRPr="005F5ACD">
        <w:rPr>
          <w:rFonts w:hint="eastAsia"/>
          <w:sz w:val="20"/>
          <w:szCs w:val="20"/>
        </w:rPr>
        <w:t>N</w:t>
      </w:r>
      <w:r w:rsidRPr="005F5ACD">
        <w:rPr>
          <w:sz w:val="20"/>
          <w:szCs w:val="20"/>
        </w:rPr>
        <w:t>ote: In thousands of IDR, monthly</w:t>
      </w:r>
    </w:p>
    <w:p w14:paraId="3BBCED05" w14:textId="58B6AA18" w:rsidR="005F5ACD" w:rsidRPr="005F5ACD" w:rsidRDefault="005F5ACD" w:rsidP="005F5ACD">
      <w:pPr>
        <w:snapToGrid w:val="0"/>
        <w:spacing w:after="0" w:line="240" w:lineRule="auto"/>
        <w:ind w:leftChars="1162" w:left="2556"/>
      </w:pPr>
      <w:r w:rsidRPr="005F5ACD">
        <w:rPr>
          <w:rFonts w:hint="eastAsia"/>
          <w:sz w:val="20"/>
          <w:szCs w:val="20"/>
        </w:rPr>
        <w:t>S</w:t>
      </w:r>
      <w:r w:rsidRPr="005F5ACD">
        <w:rPr>
          <w:sz w:val="20"/>
          <w:szCs w:val="20"/>
        </w:rPr>
        <w:t>ource: Authors’ computation</w:t>
      </w:r>
    </w:p>
    <w:sectPr w:rsidR="005F5ACD" w:rsidRPr="005F5A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31CB5" w14:textId="77777777" w:rsidR="005E6069" w:rsidRDefault="005E6069" w:rsidP="00186716">
      <w:pPr>
        <w:spacing w:after="0" w:line="240" w:lineRule="auto"/>
      </w:pPr>
      <w:r>
        <w:separator/>
      </w:r>
    </w:p>
  </w:endnote>
  <w:endnote w:type="continuationSeparator" w:id="0">
    <w:p w14:paraId="262127E5" w14:textId="77777777" w:rsidR="005E6069" w:rsidRDefault="005E6069" w:rsidP="00186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dobe Myungjo Std M">
    <w:altName w:val="Yu Gothic"/>
    <w:panose1 w:val="00000000000000000000"/>
    <w:charset w:val="80"/>
    <w:family w:val="roman"/>
    <w:notTrueType/>
    <w:pitch w:val="variable"/>
    <w:sig w:usb0="00000203" w:usb1="29D72C10" w:usb2="00000010" w:usb3="00000000" w:csb0="002A0005"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135282"/>
      <w:docPartObj>
        <w:docPartGallery w:val="Page Numbers (Bottom of Page)"/>
        <w:docPartUnique/>
      </w:docPartObj>
    </w:sdtPr>
    <w:sdtEndPr>
      <w:rPr>
        <w:noProof/>
      </w:rPr>
    </w:sdtEndPr>
    <w:sdtContent>
      <w:p w14:paraId="2C6DC1BC" w14:textId="41E8594D" w:rsidR="00971B36" w:rsidRDefault="00971B36">
        <w:pPr>
          <w:pStyle w:val="Footer"/>
          <w:jc w:val="right"/>
        </w:pPr>
        <w:r>
          <w:fldChar w:fldCharType="begin"/>
        </w:r>
        <w:r>
          <w:instrText xml:space="preserve"> PAGE   \* MERGEFORMAT </w:instrText>
        </w:r>
        <w:r>
          <w:fldChar w:fldCharType="separate"/>
        </w:r>
        <w:r w:rsidR="00BB61A2">
          <w:rPr>
            <w:noProof/>
          </w:rPr>
          <w:t>21</w:t>
        </w:r>
        <w:r>
          <w:rPr>
            <w:noProof/>
          </w:rPr>
          <w:fldChar w:fldCharType="end"/>
        </w:r>
      </w:p>
    </w:sdtContent>
  </w:sdt>
  <w:p w14:paraId="5D41138A" w14:textId="77777777" w:rsidR="00971B36" w:rsidRDefault="00971B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7CFD5" w14:textId="77777777" w:rsidR="005E6069" w:rsidRDefault="005E6069" w:rsidP="00186716">
      <w:pPr>
        <w:spacing w:after="0" w:line="240" w:lineRule="auto"/>
      </w:pPr>
      <w:r>
        <w:separator/>
      </w:r>
    </w:p>
  </w:footnote>
  <w:footnote w:type="continuationSeparator" w:id="0">
    <w:p w14:paraId="7BE73DA6" w14:textId="77777777" w:rsidR="005E6069" w:rsidRDefault="005E6069" w:rsidP="00186716">
      <w:pPr>
        <w:spacing w:after="0" w:line="240" w:lineRule="auto"/>
      </w:pPr>
      <w:r>
        <w:continuationSeparator/>
      </w:r>
    </w:p>
  </w:footnote>
  <w:footnote w:id="1">
    <w:p w14:paraId="7D1FF065" w14:textId="70AE1B7E" w:rsidR="00971B36" w:rsidRPr="00B2106A" w:rsidRDefault="00971B36" w:rsidP="00BB4D91">
      <w:pPr>
        <w:pStyle w:val="ListParagraph"/>
        <w:spacing w:line="240" w:lineRule="auto"/>
        <w:ind w:leftChars="257" w:left="567" w:hanging="2"/>
        <w:jc w:val="both"/>
      </w:pPr>
      <w:r w:rsidRPr="000A1BA8">
        <w:rPr>
          <w:rStyle w:val="FootnoteReference"/>
          <w:sz w:val="20"/>
          <w:szCs w:val="20"/>
        </w:rPr>
        <w:footnoteRef/>
      </w:r>
      <w:r w:rsidRPr="000A1BA8">
        <w:rPr>
          <w:sz w:val="20"/>
          <w:szCs w:val="20"/>
        </w:rPr>
        <w:t xml:space="preserve"> We used merging algorithm described in Appendix 2 to test whether we can form larger convergence clubs based on the formation of initial clubs. The merging test result suggests that the convergence hypothesis is rejected (</w:t>
      </w:r>
      <m:oMath>
        <m:acc>
          <m:accPr>
            <m:ctrlPr>
              <w:rPr>
                <w:rFonts w:ascii="Cambria Math" w:hAnsi="Cambria Math"/>
                <w:sz w:val="20"/>
                <w:szCs w:val="20"/>
              </w:rPr>
            </m:ctrlPr>
          </m:accPr>
          <m:e>
            <m:r>
              <m:rPr>
                <m:sty m:val="bi"/>
              </m:rPr>
              <w:rPr>
                <w:rFonts w:ascii="Cambria Math" w:hAnsi="Cambria Math"/>
                <w:sz w:val="20"/>
                <w:szCs w:val="20"/>
              </w:rPr>
              <m:t>b</m:t>
            </m:r>
          </m:e>
        </m:acc>
      </m:oMath>
      <w:r w:rsidRPr="000A1BA8">
        <w:rPr>
          <w:sz w:val="20"/>
          <w:szCs w:val="20"/>
        </w:rPr>
        <w:t xml:space="preserve">  is significantly &lt; 0 and </w:t>
      </w:r>
      <w:r w:rsidRPr="000A1BA8">
        <w:rPr>
          <w:rFonts w:hint="eastAsia"/>
          <w:i/>
          <w:iCs/>
          <w:sz w:val="20"/>
          <w:szCs w:val="20"/>
        </w:rPr>
        <w:t>t</w:t>
      </w:r>
      <w:r w:rsidRPr="000A1BA8">
        <w:rPr>
          <w:sz w:val="20"/>
          <w:szCs w:val="20"/>
        </w:rPr>
        <w:t>-statistics is smaller than -1.65). Hence, the initial three clubs are confirmed as the final convergence clubs.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4670"/>
    <w:multiLevelType w:val="hybridMultilevel"/>
    <w:tmpl w:val="368E6BF2"/>
    <w:lvl w:ilvl="0" w:tplc="8C8A08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BFF06A4"/>
    <w:multiLevelType w:val="hybridMultilevel"/>
    <w:tmpl w:val="82F42D92"/>
    <w:lvl w:ilvl="0" w:tplc="80DC0274">
      <w:start w:val="1"/>
      <w:numFmt w:val="lowerLetter"/>
      <w:lvlText w:val="(%1)"/>
      <w:lvlJc w:val="left"/>
      <w:pPr>
        <w:ind w:left="958" w:hanging="360"/>
      </w:pPr>
      <w:rPr>
        <w:rFonts w:asciiTheme="minorHAnsi" w:eastAsiaTheme="minorEastAsia" w:hAnsiTheme="minorHAnsi" w:hint="default"/>
        <w:b w:val="0"/>
        <w:bCs/>
        <w:sz w:val="22"/>
      </w:rPr>
    </w:lvl>
    <w:lvl w:ilvl="1" w:tplc="04090017" w:tentative="1">
      <w:start w:val="1"/>
      <w:numFmt w:val="aiueoFullWidth"/>
      <w:lvlText w:val="(%2)"/>
      <w:lvlJc w:val="left"/>
      <w:pPr>
        <w:ind w:left="1438" w:hanging="420"/>
      </w:pPr>
    </w:lvl>
    <w:lvl w:ilvl="2" w:tplc="04090011" w:tentative="1">
      <w:start w:val="1"/>
      <w:numFmt w:val="decimalEnclosedCircle"/>
      <w:lvlText w:val="%3"/>
      <w:lvlJc w:val="left"/>
      <w:pPr>
        <w:ind w:left="1858" w:hanging="420"/>
      </w:pPr>
    </w:lvl>
    <w:lvl w:ilvl="3" w:tplc="0409000F" w:tentative="1">
      <w:start w:val="1"/>
      <w:numFmt w:val="decimal"/>
      <w:lvlText w:val="%4."/>
      <w:lvlJc w:val="left"/>
      <w:pPr>
        <w:ind w:left="2278" w:hanging="420"/>
      </w:pPr>
    </w:lvl>
    <w:lvl w:ilvl="4" w:tplc="04090017" w:tentative="1">
      <w:start w:val="1"/>
      <w:numFmt w:val="aiueoFullWidth"/>
      <w:lvlText w:val="(%5)"/>
      <w:lvlJc w:val="left"/>
      <w:pPr>
        <w:ind w:left="2698" w:hanging="420"/>
      </w:pPr>
    </w:lvl>
    <w:lvl w:ilvl="5" w:tplc="04090011" w:tentative="1">
      <w:start w:val="1"/>
      <w:numFmt w:val="decimalEnclosedCircle"/>
      <w:lvlText w:val="%6"/>
      <w:lvlJc w:val="left"/>
      <w:pPr>
        <w:ind w:left="3118" w:hanging="420"/>
      </w:pPr>
    </w:lvl>
    <w:lvl w:ilvl="6" w:tplc="0409000F" w:tentative="1">
      <w:start w:val="1"/>
      <w:numFmt w:val="decimal"/>
      <w:lvlText w:val="%7."/>
      <w:lvlJc w:val="left"/>
      <w:pPr>
        <w:ind w:left="3538" w:hanging="420"/>
      </w:pPr>
    </w:lvl>
    <w:lvl w:ilvl="7" w:tplc="04090017" w:tentative="1">
      <w:start w:val="1"/>
      <w:numFmt w:val="aiueoFullWidth"/>
      <w:lvlText w:val="(%8)"/>
      <w:lvlJc w:val="left"/>
      <w:pPr>
        <w:ind w:left="3958" w:hanging="420"/>
      </w:pPr>
    </w:lvl>
    <w:lvl w:ilvl="8" w:tplc="04090011" w:tentative="1">
      <w:start w:val="1"/>
      <w:numFmt w:val="decimalEnclosedCircle"/>
      <w:lvlText w:val="%9"/>
      <w:lvlJc w:val="left"/>
      <w:pPr>
        <w:ind w:left="4378" w:hanging="420"/>
      </w:pPr>
    </w:lvl>
  </w:abstractNum>
  <w:abstractNum w:abstractNumId="2" w15:restartNumberingAfterBreak="0">
    <w:nsid w:val="3BB30047"/>
    <w:multiLevelType w:val="hybridMultilevel"/>
    <w:tmpl w:val="B066D85E"/>
    <w:lvl w:ilvl="0" w:tplc="53B23990">
      <w:numFmt w:val="bullet"/>
      <w:lvlText w:val="-"/>
      <w:lvlJc w:val="left"/>
      <w:pPr>
        <w:ind w:left="1069" w:hanging="360"/>
      </w:pPr>
      <w:rPr>
        <w:rFonts w:ascii="Calibri" w:eastAsiaTheme="minorEastAsia" w:hAnsi="Calibri" w:cs="Calibri"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3" w15:restartNumberingAfterBreak="0">
    <w:nsid w:val="49BD228E"/>
    <w:multiLevelType w:val="multilevel"/>
    <w:tmpl w:val="6CD22F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2990445"/>
    <w:multiLevelType w:val="hybridMultilevel"/>
    <w:tmpl w:val="A58C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AF"/>
    <w:rsid w:val="000016B1"/>
    <w:rsid w:val="0002227F"/>
    <w:rsid w:val="00024776"/>
    <w:rsid w:val="00030698"/>
    <w:rsid w:val="0004223E"/>
    <w:rsid w:val="00061029"/>
    <w:rsid w:val="00070643"/>
    <w:rsid w:val="000805A8"/>
    <w:rsid w:val="00082691"/>
    <w:rsid w:val="000A1BA8"/>
    <w:rsid w:val="000A3382"/>
    <w:rsid w:val="000B2C99"/>
    <w:rsid w:val="000D0857"/>
    <w:rsid w:val="000D3C2B"/>
    <w:rsid w:val="000D4F2D"/>
    <w:rsid w:val="000F4E8C"/>
    <w:rsid w:val="001074B1"/>
    <w:rsid w:val="00124485"/>
    <w:rsid w:val="00146EB7"/>
    <w:rsid w:val="00153300"/>
    <w:rsid w:val="0015555B"/>
    <w:rsid w:val="00157F1E"/>
    <w:rsid w:val="00175703"/>
    <w:rsid w:val="00186716"/>
    <w:rsid w:val="00194B87"/>
    <w:rsid w:val="001B4288"/>
    <w:rsid w:val="001C0B78"/>
    <w:rsid w:val="00210576"/>
    <w:rsid w:val="0021739F"/>
    <w:rsid w:val="00224483"/>
    <w:rsid w:val="002308D6"/>
    <w:rsid w:val="00244C9B"/>
    <w:rsid w:val="00244E0E"/>
    <w:rsid w:val="00244EB1"/>
    <w:rsid w:val="002500AB"/>
    <w:rsid w:val="00252738"/>
    <w:rsid w:val="0025643B"/>
    <w:rsid w:val="00270FF5"/>
    <w:rsid w:val="002833DE"/>
    <w:rsid w:val="002A519B"/>
    <w:rsid w:val="002B2B9E"/>
    <w:rsid w:val="002B4CB0"/>
    <w:rsid w:val="002D3C2D"/>
    <w:rsid w:val="002D5704"/>
    <w:rsid w:val="002F30D7"/>
    <w:rsid w:val="0030204C"/>
    <w:rsid w:val="003315B4"/>
    <w:rsid w:val="003402F7"/>
    <w:rsid w:val="00344CBC"/>
    <w:rsid w:val="0036179B"/>
    <w:rsid w:val="0037089E"/>
    <w:rsid w:val="003752E0"/>
    <w:rsid w:val="00380389"/>
    <w:rsid w:val="00393F16"/>
    <w:rsid w:val="003B44B0"/>
    <w:rsid w:val="003B6B07"/>
    <w:rsid w:val="003C1987"/>
    <w:rsid w:val="003C4CE2"/>
    <w:rsid w:val="003C7556"/>
    <w:rsid w:val="003D3A20"/>
    <w:rsid w:val="003E4FDC"/>
    <w:rsid w:val="00401993"/>
    <w:rsid w:val="004053BF"/>
    <w:rsid w:val="0040790A"/>
    <w:rsid w:val="00416E13"/>
    <w:rsid w:val="00423971"/>
    <w:rsid w:val="004260C9"/>
    <w:rsid w:val="00452E0D"/>
    <w:rsid w:val="00462907"/>
    <w:rsid w:val="00475305"/>
    <w:rsid w:val="004828F6"/>
    <w:rsid w:val="00486773"/>
    <w:rsid w:val="00497A6F"/>
    <w:rsid w:val="004A130F"/>
    <w:rsid w:val="004A16B6"/>
    <w:rsid w:val="004C5DD3"/>
    <w:rsid w:val="004D555C"/>
    <w:rsid w:val="004E287E"/>
    <w:rsid w:val="004F2556"/>
    <w:rsid w:val="004F514F"/>
    <w:rsid w:val="004F538E"/>
    <w:rsid w:val="00504073"/>
    <w:rsid w:val="00511618"/>
    <w:rsid w:val="005128F5"/>
    <w:rsid w:val="00521081"/>
    <w:rsid w:val="00526FEB"/>
    <w:rsid w:val="00537001"/>
    <w:rsid w:val="00546936"/>
    <w:rsid w:val="00562171"/>
    <w:rsid w:val="0058421E"/>
    <w:rsid w:val="00587EAC"/>
    <w:rsid w:val="00597168"/>
    <w:rsid w:val="00597509"/>
    <w:rsid w:val="005B5F59"/>
    <w:rsid w:val="005C5EAF"/>
    <w:rsid w:val="005C61A7"/>
    <w:rsid w:val="005E3D8C"/>
    <w:rsid w:val="005E5122"/>
    <w:rsid w:val="005E6069"/>
    <w:rsid w:val="005F5ACD"/>
    <w:rsid w:val="00614B20"/>
    <w:rsid w:val="00621329"/>
    <w:rsid w:val="00627752"/>
    <w:rsid w:val="00633D61"/>
    <w:rsid w:val="0063574E"/>
    <w:rsid w:val="00637F92"/>
    <w:rsid w:val="006529F7"/>
    <w:rsid w:val="006575AF"/>
    <w:rsid w:val="006701C7"/>
    <w:rsid w:val="00675BBB"/>
    <w:rsid w:val="00687DA4"/>
    <w:rsid w:val="006934EF"/>
    <w:rsid w:val="006B0190"/>
    <w:rsid w:val="006B6DC9"/>
    <w:rsid w:val="006C414A"/>
    <w:rsid w:val="006C7984"/>
    <w:rsid w:val="006D1A9E"/>
    <w:rsid w:val="006D2FB2"/>
    <w:rsid w:val="006E36B5"/>
    <w:rsid w:val="006E73C3"/>
    <w:rsid w:val="006E79B9"/>
    <w:rsid w:val="006F12C0"/>
    <w:rsid w:val="006F401A"/>
    <w:rsid w:val="007016B9"/>
    <w:rsid w:val="00703ECC"/>
    <w:rsid w:val="007056F9"/>
    <w:rsid w:val="00716FD9"/>
    <w:rsid w:val="00731BE2"/>
    <w:rsid w:val="00742888"/>
    <w:rsid w:val="00760941"/>
    <w:rsid w:val="007630F5"/>
    <w:rsid w:val="00766F05"/>
    <w:rsid w:val="00795B0D"/>
    <w:rsid w:val="007B1F71"/>
    <w:rsid w:val="007C1B8B"/>
    <w:rsid w:val="007E3015"/>
    <w:rsid w:val="007F2DDA"/>
    <w:rsid w:val="00801D5E"/>
    <w:rsid w:val="00832872"/>
    <w:rsid w:val="00842C3E"/>
    <w:rsid w:val="00853726"/>
    <w:rsid w:val="00861F56"/>
    <w:rsid w:val="00865B3A"/>
    <w:rsid w:val="008712D7"/>
    <w:rsid w:val="00880F2C"/>
    <w:rsid w:val="00885ECF"/>
    <w:rsid w:val="00897937"/>
    <w:rsid w:val="008B4CB7"/>
    <w:rsid w:val="008D44FF"/>
    <w:rsid w:val="008F5B04"/>
    <w:rsid w:val="009012E9"/>
    <w:rsid w:val="00910021"/>
    <w:rsid w:val="00947042"/>
    <w:rsid w:val="009559E9"/>
    <w:rsid w:val="00965BFF"/>
    <w:rsid w:val="00971B36"/>
    <w:rsid w:val="009B0895"/>
    <w:rsid w:val="009B10A8"/>
    <w:rsid w:val="009B1E97"/>
    <w:rsid w:val="009C405D"/>
    <w:rsid w:val="009C408C"/>
    <w:rsid w:val="009E5165"/>
    <w:rsid w:val="009F059C"/>
    <w:rsid w:val="00A03A31"/>
    <w:rsid w:val="00A15AEF"/>
    <w:rsid w:val="00A2006D"/>
    <w:rsid w:val="00A31DBE"/>
    <w:rsid w:val="00A34472"/>
    <w:rsid w:val="00A67EBE"/>
    <w:rsid w:val="00A705D6"/>
    <w:rsid w:val="00A80EE2"/>
    <w:rsid w:val="00A90C0C"/>
    <w:rsid w:val="00A93D81"/>
    <w:rsid w:val="00AA048F"/>
    <w:rsid w:val="00AB3F91"/>
    <w:rsid w:val="00AD3CAB"/>
    <w:rsid w:val="00AE0B24"/>
    <w:rsid w:val="00AF01D2"/>
    <w:rsid w:val="00B04DDF"/>
    <w:rsid w:val="00B16087"/>
    <w:rsid w:val="00B2106A"/>
    <w:rsid w:val="00B3241A"/>
    <w:rsid w:val="00B34EF4"/>
    <w:rsid w:val="00B40673"/>
    <w:rsid w:val="00B575BE"/>
    <w:rsid w:val="00B62DAC"/>
    <w:rsid w:val="00B73AC5"/>
    <w:rsid w:val="00B91CDA"/>
    <w:rsid w:val="00B92DC6"/>
    <w:rsid w:val="00B97059"/>
    <w:rsid w:val="00BB4D91"/>
    <w:rsid w:val="00BB61A2"/>
    <w:rsid w:val="00BC6C6F"/>
    <w:rsid w:val="00BD123E"/>
    <w:rsid w:val="00BD1AEE"/>
    <w:rsid w:val="00BD52CD"/>
    <w:rsid w:val="00C00DA0"/>
    <w:rsid w:val="00C04296"/>
    <w:rsid w:val="00C05620"/>
    <w:rsid w:val="00C136C0"/>
    <w:rsid w:val="00C14939"/>
    <w:rsid w:val="00C22D9F"/>
    <w:rsid w:val="00C316BD"/>
    <w:rsid w:val="00C458CC"/>
    <w:rsid w:val="00C53FD9"/>
    <w:rsid w:val="00C73418"/>
    <w:rsid w:val="00C81CDE"/>
    <w:rsid w:val="00C91042"/>
    <w:rsid w:val="00CA0D00"/>
    <w:rsid w:val="00CB2C2F"/>
    <w:rsid w:val="00CC0532"/>
    <w:rsid w:val="00CD253C"/>
    <w:rsid w:val="00CF35FC"/>
    <w:rsid w:val="00D20F47"/>
    <w:rsid w:val="00D22D84"/>
    <w:rsid w:val="00D3468E"/>
    <w:rsid w:val="00D42CF6"/>
    <w:rsid w:val="00D5639B"/>
    <w:rsid w:val="00D613A8"/>
    <w:rsid w:val="00D9152E"/>
    <w:rsid w:val="00DA2F2F"/>
    <w:rsid w:val="00DB0A85"/>
    <w:rsid w:val="00DB2081"/>
    <w:rsid w:val="00DB6017"/>
    <w:rsid w:val="00DC621B"/>
    <w:rsid w:val="00DD45F9"/>
    <w:rsid w:val="00DE1903"/>
    <w:rsid w:val="00DF3595"/>
    <w:rsid w:val="00DF4271"/>
    <w:rsid w:val="00DF4C7F"/>
    <w:rsid w:val="00DF5B58"/>
    <w:rsid w:val="00E05033"/>
    <w:rsid w:val="00E1186E"/>
    <w:rsid w:val="00E11B9C"/>
    <w:rsid w:val="00E169DD"/>
    <w:rsid w:val="00E405DB"/>
    <w:rsid w:val="00E45402"/>
    <w:rsid w:val="00E47339"/>
    <w:rsid w:val="00E54DDC"/>
    <w:rsid w:val="00E815DF"/>
    <w:rsid w:val="00E859D4"/>
    <w:rsid w:val="00E906E5"/>
    <w:rsid w:val="00E965AF"/>
    <w:rsid w:val="00EA155C"/>
    <w:rsid w:val="00EA27F2"/>
    <w:rsid w:val="00EB0AC1"/>
    <w:rsid w:val="00EB13DE"/>
    <w:rsid w:val="00EB4A59"/>
    <w:rsid w:val="00EB4D34"/>
    <w:rsid w:val="00EB601B"/>
    <w:rsid w:val="00EB6E93"/>
    <w:rsid w:val="00EC0311"/>
    <w:rsid w:val="00EC1ED7"/>
    <w:rsid w:val="00EC24E8"/>
    <w:rsid w:val="00EC785E"/>
    <w:rsid w:val="00EE5C2F"/>
    <w:rsid w:val="00EE788F"/>
    <w:rsid w:val="00EF47BD"/>
    <w:rsid w:val="00EF7E72"/>
    <w:rsid w:val="00F01D39"/>
    <w:rsid w:val="00F04063"/>
    <w:rsid w:val="00F06AAD"/>
    <w:rsid w:val="00F114CB"/>
    <w:rsid w:val="00F13372"/>
    <w:rsid w:val="00F232B1"/>
    <w:rsid w:val="00F307C6"/>
    <w:rsid w:val="00F3216C"/>
    <w:rsid w:val="00F53207"/>
    <w:rsid w:val="00F5391B"/>
    <w:rsid w:val="00F60C11"/>
    <w:rsid w:val="00F85833"/>
    <w:rsid w:val="00FA6ED2"/>
    <w:rsid w:val="00FB5375"/>
    <w:rsid w:val="00FD24B1"/>
    <w:rsid w:val="00FD508A"/>
    <w:rsid w:val="00FE45C2"/>
    <w:rsid w:val="00FF62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E4E62F"/>
  <w15:chartTrackingRefBased/>
  <w15:docId w15:val="{2F0304DA-9CCA-4F2C-9FF9-4E00BAC7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509"/>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qFormat/>
    <w:rsid w:val="00F04063"/>
    <w:pPr>
      <w:keepNext/>
      <w:spacing w:beforeLines="50" w:after="0" w:line="240" w:lineRule="auto"/>
      <w:outlineLvl w:val="1"/>
    </w:pPr>
    <w:rPr>
      <w:rFonts w:ascii="Times New Roman" w:eastAsia="MS Mincho"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EF4"/>
    <w:pPr>
      <w:ind w:left="720"/>
      <w:contextualSpacing/>
    </w:pPr>
  </w:style>
  <w:style w:type="character" w:styleId="CommentReference">
    <w:name w:val="annotation reference"/>
    <w:basedOn w:val="DefaultParagraphFont"/>
    <w:uiPriority w:val="99"/>
    <w:semiHidden/>
    <w:unhideWhenUsed/>
    <w:rsid w:val="0063574E"/>
    <w:rPr>
      <w:sz w:val="18"/>
      <w:szCs w:val="18"/>
    </w:rPr>
  </w:style>
  <w:style w:type="paragraph" w:styleId="CommentText">
    <w:name w:val="annotation text"/>
    <w:basedOn w:val="Normal"/>
    <w:link w:val="CommentTextChar"/>
    <w:uiPriority w:val="99"/>
    <w:semiHidden/>
    <w:unhideWhenUsed/>
    <w:rsid w:val="0063574E"/>
  </w:style>
  <w:style w:type="character" w:customStyle="1" w:styleId="CommentTextChar">
    <w:name w:val="Comment Text Char"/>
    <w:basedOn w:val="DefaultParagraphFont"/>
    <w:link w:val="CommentText"/>
    <w:uiPriority w:val="99"/>
    <w:semiHidden/>
    <w:rsid w:val="0063574E"/>
  </w:style>
  <w:style w:type="paragraph" w:styleId="CommentSubject">
    <w:name w:val="annotation subject"/>
    <w:basedOn w:val="CommentText"/>
    <w:next w:val="CommentText"/>
    <w:link w:val="CommentSubjectChar"/>
    <w:uiPriority w:val="99"/>
    <w:semiHidden/>
    <w:unhideWhenUsed/>
    <w:rsid w:val="0063574E"/>
    <w:rPr>
      <w:b/>
      <w:bCs/>
    </w:rPr>
  </w:style>
  <w:style w:type="character" w:customStyle="1" w:styleId="CommentSubjectChar">
    <w:name w:val="Comment Subject Char"/>
    <w:basedOn w:val="CommentTextChar"/>
    <w:link w:val="CommentSubject"/>
    <w:uiPriority w:val="99"/>
    <w:semiHidden/>
    <w:rsid w:val="0063574E"/>
    <w:rPr>
      <w:b/>
      <w:bCs/>
    </w:rPr>
  </w:style>
  <w:style w:type="character" w:customStyle="1" w:styleId="Heading2Char">
    <w:name w:val="Heading 2 Char"/>
    <w:basedOn w:val="DefaultParagraphFont"/>
    <w:link w:val="Heading2"/>
    <w:rsid w:val="00F04063"/>
    <w:rPr>
      <w:rFonts w:ascii="Times New Roman" w:eastAsia="MS Mincho" w:hAnsi="Times New Roman" w:cs="Times New Roman"/>
      <w:b/>
      <w:szCs w:val="24"/>
    </w:rPr>
  </w:style>
  <w:style w:type="paragraph" w:styleId="BodyText">
    <w:name w:val="Body Text"/>
    <w:basedOn w:val="Normal"/>
    <w:link w:val="BodyTextChar"/>
    <w:rsid w:val="00F04063"/>
    <w:pPr>
      <w:spacing w:after="0" w:line="240" w:lineRule="auto"/>
      <w:jc w:val="center"/>
    </w:pPr>
    <w:rPr>
      <w:rFonts w:ascii="Times New Roman" w:eastAsia="MS Mincho" w:hAnsi="Times New Roman" w:cs="Times New Roman"/>
      <w:b/>
      <w:sz w:val="28"/>
      <w:szCs w:val="24"/>
      <w:lang w:val="en-GB"/>
    </w:rPr>
  </w:style>
  <w:style w:type="character" w:customStyle="1" w:styleId="BodyTextChar">
    <w:name w:val="Body Text Char"/>
    <w:basedOn w:val="DefaultParagraphFont"/>
    <w:link w:val="BodyText"/>
    <w:rsid w:val="00F04063"/>
    <w:rPr>
      <w:rFonts w:ascii="Times New Roman" w:eastAsia="MS Mincho" w:hAnsi="Times New Roman" w:cs="Times New Roman"/>
      <w:b/>
      <w:sz w:val="28"/>
      <w:szCs w:val="24"/>
      <w:lang w:val="en-GB"/>
    </w:rPr>
  </w:style>
  <w:style w:type="table" w:styleId="TableGrid">
    <w:name w:val="Table Grid"/>
    <w:basedOn w:val="TableNormal"/>
    <w:rsid w:val="00F0406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sid w:val="00186716"/>
    <w:rPr>
      <w:vertAlign w:val="superscript"/>
    </w:rPr>
  </w:style>
  <w:style w:type="paragraph" w:styleId="FootnoteText">
    <w:name w:val="footnote text"/>
    <w:basedOn w:val="Normal"/>
    <w:link w:val="FootnoteTextChar"/>
    <w:semiHidden/>
    <w:rsid w:val="00186716"/>
    <w:pPr>
      <w:spacing w:after="0" w:line="240" w:lineRule="exact"/>
      <w:ind w:left="100" w:hangingChars="100" w:hanging="100"/>
    </w:pPr>
    <w:rPr>
      <w:rFonts w:ascii="Times New Roman" w:eastAsia="MS Mincho" w:hAnsi="Times New Roman" w:cs="Times New Roman"/>
      <w:sz w:val="20"/>
      <w:szCs w:val="20"/>
    </w:rPr>
  </w:style>
  <w:style w:type="character" w:customStyle="1" w:styleId="FootnoteTextChar">
    <w:name w:val="Footnote Text Char"/>
    <w:basedOn w:val="DefaultParagraphFont"/>
    <w:link w:val="FootnoteText"/>
    <w:semiHidden/>
    <w:rsid w:val="00186716"/>
    <w:rPr>
      <w:rFonts w:ascii="Times New Roman" w:eastAsia="MS Mincho" w:hAnsi="Times New Roman" w:cs="Times New Roman"/>
      <w:sz w:val="20"/>
      <w:szCs w:val="20"/>
    </w:rPr>
  </w:style>
  <w:style w:type="character" w:customStyle="1" w:styleId="Heading1Char">
    <w:name w:val="Heading 1 Char"/>
    <w:basedOn w:val="DefaultParagraphFont"/>
    <w:link w:val="Heading1"/>
    <w:uiPriority w:val="9"/>
    <w:rsid w:val="00597509"/>
    <w:rPr>
      <w:rFonts w:asciiTheme="majorHAnsi" w:eastAsiaTheme="majorEastAsia" w:hAnsiTheme="majorHAnsi" w:cstheme="majorBidi"/>
      <w:sz w:val="24"/>
      <w:szCs w:val="24"/>
    </w:rPr>
  </w:style>
  <w:style w:type="paragraph" w:styleId="HTMLPreformatted">
    <w:name w:val="HTML Preformatted"/>
    <w:basedOn w:val="Normal"/>
    <w:link w:val="HTMLPreformattedChar"/>
    <w:uiPriority w:val="99"/>
    <w:unhideWhenUsed/>
    <w:rsid w:val="000D4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rsid w:val="000D4F2D"/>
    <w:rPr>
      <w:rFonts w:ascii="MS Gothic" w:eastAsia="MS Gothic" w:hAnsi="MS Gothic" w:cs="MS Gothic"/>
      <w:sz w:val="24"/>
      <w:szCs w:val="24"/>
      <w:lang w:eastAsia="ja-JP"/>
    </w:rPr>
  </w:style>
  <w:style w:type="character" w:styleId="PlaceholderText">
    <w:name w:val="Placeholder Text"/>
    <w:basedOn w:val="DefaultParagraphFont"/>
    <w:uiPriority w:val="99"/>
    <w:semiHidden/>
    <w:rsid w:val="006E79B9"/>
    <w:rPr>
      <w:color w:val="808080"/>
    </w:rPr>
  </w:style>
  <w:style w:type="paragraph" w:styleId="Header">
    <w:name w:val="header"/>
    <w:basedOn w:val="Normal"/>
    <w:link w:val="HeaderChar"/>
    <w:uiPriority w:val="99"/>
    <w:unhideWhenUsed/>
    <w:rsid w:val="00537001"/>
    <w:pPr>
      <w:tabs>
        <w:tab w:val="center" w:pos="4513"/>
        <w:tab w:val="right" w:pos="9026"/>
      </w:tabs>
      <w:snapToGrid w:val="0"/>
    </w:pPr>
  </w:style>
  <w:style w:type="character" w:customStyle="1" w:styleId="HeaderChar">
    <w:name w:val="Header Char"/>
    <w:basedOn w:val="DefaultParagraphFont"/>
    <w:link w:val="Header"/>
    <w:uiPriority w:val="99"/>
    <w:rsid w:val="00537001"/>
  </w:style>
  <w:style w:type="paragraph" w:styleId="Footer">
    <w:name w:val="footer"/>
    <w:basedOn w:val="Normal"/>
    <w:link w:val="FooterChar"/>
    <w:uiPriority w:val="99"/>
    <w:unhideWhenUsed/>
    <w:rsid w:val="00537001"/>
    <w:pPr>
      <w:tabs>
        <w:tab w:val="center" w:pos="4513"/>
        <w:tab w:val="right" w:pos="9026"/>
      </w:tabs>
      <w:snapToGrid w:val="0"/>
    </w:pPr>
  </w:style>
  <w:style w:type="character" w:customStyle="1" w:styleId="FooterChar">
    <w:name w:val="Footer Char"/>
    <w:basedOn w:val="DefaultParagraphFont"/>
    <w:link w:val="Footer"/>
    <w:uiPriority w:val="99"/>
    <w:rsid w:val="00537001"/>
  </w:style>
  <w:style w:type="paragraph" w:styleId="Bibliography">
    <w:name w:val="Bibliography"/>
    <w:basedOn w:val="Normal"/>
    <w:next w:val="Normal"/>
    <w:uiPriority w:val="37"/>
    <w:unhideWhenUsed/>
    <w:rsid w:val="00A67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401591">
      <w:bodyDiv w:val="1"/>
      <w:marLeft w:val="0"/>
      <w:marRight w:val="0"/>
      <w:marTop w:val="0"/>
      <w:marBottom w:val="0"/>
      <w:divBdr>
        <w:top w:val="none" w:sz="0" w:space="0" w:color="auto"/>
        <w:left w:val="none" w:sz="0" w:space="0" w:color="auto"/>
        <w:bottom w:val="none" w:sz="0" w:space="0" w:color="auto"/>
        <w:right w:val="none" w:sz="0" w:space="0" w:color="auto"/>
      </w:divBdr>
    </w:div>
    <w:div w:id="648284886">
      <w:bodyDiv w:val="1"/>
      <w:marLeft w:val="0"/>
      <w:marRight w:val="0"/>
      <w:marTop w:val="0"/>
      <w:marBottom w:val="0"/>
      <w:divBdr>
        <w:top w:val="none" w:sz="0" w:space="0" w:color="auto"/>
        <w:left w:val="none" w:sz="0" w:space="0" w:color="auto"/>
        <w:bottom w:val="none" w:sz="0" w:space="0" w:color="auto"/>
        <w:right w:val="none" w:sz="0" w:space="0" w:color="auto"/>
      </w:divBdr>
    </w:div>
    <w:div w:id="667906708">
      <w:bodyDiv w:val="1"/>
      <w:marLeft w:val="0"/>
      <w:marRight w:val="0"/>
      <w:marTop w:val="0"/>
      <w:marBottom w:val="0"/>
      <w:divBdr>
        <w:top w:val="none" w:sz="0" w:space="0" w:color="auto"/>
        <w:left w:val="none" w:sz="0" w:space="0" w:color="auto"/>
        <w:bottom w:val="none" w:sz="0" w:space="0" w:color="auto"/>
        <w:right w:val="none" w:sz="0" w:space="0" w:color="auto"/>
      </w:divBdr>
    </w:div>
    <w:div w:id="757217918">
      <w:bodyDiv w:val="1"/>
      <w:marLeft w:val="0"/>
      <w:marRight w:val="0"/>
      <w:marTop w:val="0"/>
      <w:marBottom w:val="0"/>
      <w:divBdr>
        <w:top w:val="none" w:sz="0" w:space="0" w:color="auto"/>
        <w:left w:val="none" w:sz="0" w:space="0" w:color="auto"/>
        <w:bottom w:val="none" w:sz="0" w:space="0" w:color="auto"/>
        <w:right w:val="none" w:sz="0" w:space="0" w:color="auto"/>
      </w:divBdr>
    </w:div>
    <w:div w:id="1274480785">
      <w:bodyDiv w:val="1"/>
      <w:marLeft w:val="0"/>
      <w:marRight w:val="0"/>
      <w:marTop w:val="0"/>
      <w:marBottom w:val="0"/>
      <w:divBdr>
        <w:top w:val="none" w:sz="0" w:space="0" w:color="auto"/>
        <w:left w:val="none" w:sz="0" w:space="0" w:color="auto"/>
        <w:bottom w:val="none" w:sz="0" w:space="0" w:color="auto"/>
        <w:right w:val="none" w:sz="0" w:space="0" w:color="auto"/>
      </w:divBdr>
    </w:div>
    <w:div w:id="1425343222">
      <w:bodyDiv w:val="1"/>
      <w:marLeft w:val="0"/>
      <w:marRight w:val="0"/>
      <w:marTop w:val="0"/>
      <w:marBottom w:val="0"/>
      <w:divBdr>
        <w:top w:val="none" w:sz="0" w:space="0" w:color="auto"/>
        <w:left w:val="none" w:sz="0" w:space="0" w:color="auto"/>
        <w:bottom w:val="none" w:sz="0" w:space="0" w:color="auto"/>
        <w:right w:val="none" w:sz="0" w:space="0" w:color="auto"/>
      </w:divBdr>
    </w:div>
    <w:div w:id="1430273223">
      <w:bodyDiv w:val="1"/>
      <w:marLeft w:val="0"/>
      <w:marRight w:val="0"/>
      <w:marTop w:val="0"/>
      <w:marBottom w:val="0"/>
      <w:divBdr>
        <w:top w:val="none" w:sz="0" w:space="0" w:color="auto"/>
        <w:left w:val="none" w:sz="0" w:space="0" w:color="auto"/>
        <w:bottom w:val="none" w:sz="0" w:space="0" w:color="auto"/>
        <w:right w:val="none" w:sz="0" w:space="0" w:color="auto"/>
      </w:divBdr>
    </w:div>
    <w:div w:id="1596278806">
      <w:bodyDiv w:val="1"/>
      <w:marLeft w:val="0"/>
      <w:marRight w:val="0"/>
      <w:marTop w:val="0"/>
      <w:marBottom w:val="0"/>
      <w:divBdr>
        <w:top w:val="none" w:sz="0" w:space="0" w:color="auto"/>
        <w:left w:val="none" w:sz="0" w:space="0" w:color="auto"/>
        <w:bottom w:val="none" w:sz="0" w:space="0" w:color="auto"/>
        <w:right w:val="none" w:sz="0" w:space="0" w:color="auto"/>
      </w:divBdr>
    </w:div>
    <w:div w:id="2054883593">
      <w:bodyDiv w:val="1"/>
      <w:marLeft w:val="0"/>
      <w:marRight w:val="0"/>
      <w:marTop w:val="0"/>
      <w:marBottom w:val="0"/>
      <w:divBdr>
        <w:top w:val="none" w:sz="0" w:space="0" w:color="auto"/>
        <w:left w:val="none" w:sz="0" w:space="0" w:color="auto"/>
        <w:bottom w:val="none" w:sz="0" w:space="0" w:color="auto"/>
        <w:right w:val="none" w:sz="0" w:space="0" w:color="auto"/>
      </w:divBdr>
    </w:div>
    <w:div w:id="2066566288">
      <w:bodyDiv w:val="1"/>
      <w:marLeft w:val="0"/>
      <w:marRight w:val="0"/>
      <w:marTop w:val="0"/>
      <w:marBottom w:val="0"/>
      <w:divBdr>
        <w:top w:val="none" w:sz="0" w:space="0" w:color="auto"/>
        <w:left w:val="none" w:sz="0" w:space="0" w:color="auto"/>
        <w:bottom w:val="none" w:sz="0" w:space="0" w:color="auto"/>
        <w:right w:val="none" w:sz="0" w:space="0" w:color="auto"/>
      </w:divBdr>
    </w:div>
    <w:div w:id="214214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ry\QUARCS%20Lab%20Dropbox\Harry%20Aginta\Statistik%20Ecommerce\wage%20convergence\Project_Club_convergence_wage_Indonesia\WS%20Labour_ne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Coeff of variation</c:v>
          </c:tx>
          <c:spPr>
            <a:ln w="15875" cap="rnd">
              <a:solidFill>
                <a:schemeClr val="bg2">
                  <a:lumMod val="50000"/>
                </a:schemeClr>
              </a:solidFill>
              <a:miter lim="800000"/>
            </a:ln>
            <a:effectLst/>
          </c:spPr>
          <c:marker>
            <c:symbol val="none"/>
          </c:marker>
          <c:cat>
            <c:numRef>
              <c:f>Sheet1!$C$1:$O$1</c:f>
              <c:numCache>
                <c:formatCode>General</c:formatCode>
                <c:ptCount val="13"/>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numCache>
            </c:numRef>
          </c:cat>
          <c:val>
            <c:numRef>
              <c:f>Sheet1!$C$36:$O$36</c:f>
              <c:numCache>
                <c:formatCode>General</c:formatCode>
                <c:ptCount val="13"/>
                <c:pt idx="0">
                  <c:v>0.20561080205822249</c:v>
                </c:pt>
                <c:pt idx="1">
                  <c:v>0.21004412663349489</c:v>
                </c:pt>
                <c:pt idx="2">
                  <c:v>0.20787261312551977</c:v>
                </c:pt>
                <c:pt idx="3">
                  <c:v>0.19357057241826292</c:v>
                </c:pt>
                <c:pt idx="4">
                  <c:v>0.19292809119044332</c:v>
                </c:pt>
                <c:pt idx="5">
                  <c:v>0.1828689333536796</c:v>
                </c:pt>
                <c:pt idx="6">
                  <c:v>0.21728585837528627</c:v>
                </c:pt>
                <c:pt idx="7">
                  <c:v>0.22926436077444273</c:v>
                </c:pt>
                <c:pt idx="8">
                  <c:v>0.21030836251407767</c:v>
                </c:pt>
                <c:pt idx="9">
                  <c:v>0.21391563455405455</c:v>
                </c:pt>
                <c:pt idx="10">
                  <c:v>0.22931166724166299</c:v>
                </c:pt>
                <c:pt idx="11">
                  <c:v>0.21784746222337523</c:v>
                </c:pt>
                <c:pt idx="12">
                  <c:v>0.21699687086524988</c:v>
                </c:pt>
              </c:numCache>
            </c:numRef>
          </c:val>
          <c:smooth val="0"/>
          <c:extLst>
            <c:ext xmlns:c16="http://schemas.microsoft.com/office/drawing/2014/chart" uri="{C3380CC4-5D6E-409C-BE32-E72D297353CC}">
              <c16:uniqueId val="{00000000-E3D0-49F4-BAE2-A2056609A911}"/>
            </c:ext>
          </c:extLst>
        </c:ser>
        <c:dLbls>
          <c:showLegendKey val="0"/>
          <c:showVal val="0"/>
          <c:showCatName val="0"/>
          <c:showSerName val="0"/>
          <c:showPercent val="0"/>
          <c:showBubbleSize val="0"/>
        </c:dLbls>
        <c:smooth val="0"/>
        <c:axId val="792223872"/>
        <c:axId val="792224856"/>
      </c:lineChart>
      <c:catAx>
        <c:axId val="79222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2224856"/>
        <c:crosses val="autoZero"/>
        <c:auto val="1"/>
        <c:lblAlgn val="ctr"/>
        <c:lblOffset val="100"/>
        <c:noMultiLvlLbl val="0"/>
      </c:catAx>
      <c:valAx>
        <c:axId val="792224856"/>
        <c:scaling>
          <c:orientation val="minMax"/>
          <c:min val="0.18000000000000002"/>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92223872"/>
        <c:crosses val="autoZero"/>
        <c:crossBetween val="between"/>
      </c:valAx>
      <c:spPr>
        <a:noFill/>
        <a:ln>
          <a:noFill/>
        </a:ln>
        <a:effectLst/>
      </c:spPr>
    </c:plotArea>
    <c:legend>
      <c:legendPos val="r"/>
      <c:layout>
        <c:manualLayout>
          <c:xMode val="edge"/>
          <c:yMode val="edge"/>
          <c:x val="9.8944225721784712E-2"/>
          <c:y val="8.1307596967045828E-2"/>
          <c:w val="0.44613518152161102"/>
          <c:h val="7.8125546806649182E-2"/>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60B60-7016-4B11-9439-C63D00DFE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20</Pages>
  <Words>11875</Words>
  <Characters>67688</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Rifki Maulana</dc:creator>
  <cp:keywords/>
  <dc:description/>
  <cp:lastModifiedBy>Harry</cp:lastModifiedBy>
  <cp:revision>15</cp:revision>
  <cp:lastPrinted>2021-04-04T08:37:00Z</cp:lastPrinted>
  <dcterms:created xsi:type="dcterms:W3CDTF">2021-06-20T23:39:00Z</dcterms:created>
  <dcterms:modified xsi:type="dcterms:W3CDTF">2021-06-21T00:18:00Z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id="oKAS21SN"/&gt;&lt;style id="http://www.zotero.org/styles/apa" locale="en-US" hasBibliography="1" bibliographyStyleHasBeenSet="1"/&gt;&lt;prefs&gt;&lt;pref name="fieldType" value="Field"/&gt;&lt;/prefs&gt;&lt;/data&gt;</vt:lpwstr>
  </property>
</Properties>
</file>