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507A55A7"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40790A" w:rsidRPr="00024776">
        <w:rPr>
          <w:rFonts w:ascii="Bookman Old Style" w:eastAsia="Adobe Myungjo Std M" w:hAnsi="Bookman Old Style"/>
          <w:b/>
          <w:sz w:val="28"/>
        </w:rPr>
        <w:t>Identifying club convergence of r</w:t>
      </w:r>
      <w:r w:rsidRPr="00024776">
        <w:rPr>
          <w:rFonts w:ascii="Bookman Old Style" w:eastAsia="Adobe Myungjo Std M" w:hAnsi="Bookman Old Style"/>
          <w:b/>
          <w:sz w:val="28"/>
        </w:rPr>
        <w:t>egional</w:t>
      </w:r>
      <w:r w:rsidR="00687DA4"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w</w:t>
      </w:r>
      <w:r w:rsidR="00687DA4" w:rsidRPr="00024776">
        <w:rPr>
          <w:rFonts w:ascii="Bookman Old Style" w:eastAsia="Adobe Myungjo Std M" w:hAnsi="Bookman Old Style"/>
          <w:b/>
          <w:sz w:val="28"/>
        </w:rPr>
        <w:t>age</w:t>
      </w:r>
      <w:r w:rsidRPr="00024776">
        <w:rPr>
          <w:rFonts w:ascii="Bookman Old Style" w:eastAsia="Adobe Myungjo Std M" w:hAnsi="Bookman Old Style"/>
          <w:b/>
          <w:sz w:val="28"/>
        </w:rPr>
        <w:t xml:space="preserve"> </w:t>
      </w:r>
      <w:r w:rsidR="0040790A" w:rsidRPr="00024776">
        <w:rPr>
          <w:rFonts w:ascii="Bookman Old Style" w:eastAsia="Adobe Myungjo Std M" w:hAnsi="Bookman Old Style"/>
          <w:b/>
          <w:sz w:val="28"/>
        </w:rPr>
        <w:t>in Indonesia and</w:t>
      </w:r>
      <w:r w:rsidR="008712D7" w:rsidRPr="00024776">
        <w:rPr>
          <w:rFonts w:ascii="Bookman Old Style" w:eastAsia="Adobe Myungjo Std M" w:hAnsi="Bookman Old Style"/>
          <w:b/>
          <w:sz w:val="28"/>
        </w:rPr>
        <w:t xml:space="preserve"> their</w:t>
      </w:r>
      <w:r w:rsidR="0040790A" w:rsidRPr="00024776">
        <w:rPr>
          <w:rFonts w:ascii="Bookman Old Style" w:eastAsia="Adobe Myungjo Std M" w:hAnsi="Bookman Old Style"/>
          <w:b/>
          <w:sz w:val="28"/>
        </w:rPr>
        <w:t xml:space="preserve"> 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 xml:space="preserve">Senior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77777777"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 B S T R A C 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4B483C43" w:rsidR="00AF01D2" w:rsidRPr="00024776" w:rsidRDefault="00EF47BD" w:rsidP="00AF01D2">
      <w:pPr>
        <w:spacing w:after="0" w:line="360" w:lineRule="auto"/>
        <w:jc w:val="both"/>
      </w:pPr>
      <w:r>
        <w:t>T</w:t>
      </w:r>
      <w:r w:rsidR="00687DA4" w:rsidRPr="00024776">
        <w:t xml:space="preserve">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t xml:space="preserve">. By </w:t>
      </w:r>
      <w:r w:rsidR="009C405D">
        <w:t xml:space="preserve">applying </w:t>
      </w:r>
      <w:r>
        <w:t xml:space="preserve">the club convergence techniques </w:t>
      </w:r>
      <w:r w:rsidR="009C405D">
        <w:t>(</w:t>
      </w:r>
      <w:r>
        <w:t>Phillips and Sul</w:t>
      </w:r>
      <w:r w:rsidR="009C405D">
        <w:t xml:space="preserve">, </w:t>
      </w:r>
      <w:r>
        <w:t xml:space="preserve">2007, 2009) </w:t>
      </w:r>
      <w:r w:rsidR="009C405D">
        <w:t>on the proxy of real wage data at province level from</w:t>
      </w:r>
      <w:r>
        <w:t xml:space="preserve"> 200</w:t>
      </w:r>
      <w:r w:rsidR="0025643B">
        <w:t>8</w:t>
      </w:r>
      <w:r>
        <w:t>-2020</w:t>
      </w:r>
      <w:r w:rsidR="009C405D">
        <w:t>,</w:t>
      </w:r>
      <w:r w:rsidR="003C1987" w:rsidRPr="00024776">
        <w:t xml:space="preserve"> we find</w:t>
      </w:r>
      <w:r w:rsidR="00153300" w:rsidRPr="00024776">
        <w:t xml:space="preserve"> three significant convergence</w:t>
      </w:r>
      <w:r w:rsidR="007016B9" w:rsidRPr="00024776">
        <w:t xml:space="preserve"> clubs of regional wage</w:t>
      </w:r>
      <w:r w:rsidR="003C1987"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w:t>
      </w:r>
      <w:r w:rsidR="00EB4D34">
        <w:t xml:space="preserve"> </w:t>
      </w:r>
      <w:r w:rsidR="00AF01D2" w:rsidRPr="00080F04">
        <w:t xml:space="preserve">From a policy perspective, our </w:t>
      </w:r>
      <w:r w:rsidR="00AF01D2">
        <w:t xml:space="preserve">result </w:t>
      </w:r>
      <w:r w:rsidR="00AF01D2" w:rsidRPr="00080F04">
        <w:t>of multiple convergence clubs and their influencing factor</w:t>
      </w:r>
      <w:r w:rsidR="00AF01D2">
        <w:t>s should alert the national and regional policymakers to redesign appropriate strategies meant to</w:t>
      </w:r>
      <w:r w:rsidR="00AF01D2">
        <w:rPr>
          <w:rFonts w:hint="eastAsia"/>
        </w:rPr>
        <w:t xml:space="preserve"> </w:t>
      </w:r>
      <w:r w:rsidR="00AF01D2">
        <w:t>increase the economic and social cohesion at regional level.</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094CBE0B" w14:textId="77777777" w:rsidR="00146EB7" w:rsidRPr="00024776" w:rsidRDefault="00146EB7" w:rsidP="00146EB7">
      <w:pPr>
        <w:spacing w:after="0" w:line="240" w:lineRule="auto"/>
        <w:jc w:val="both"/>
        <w:rPr>
          <w:rFonts w:eastAsia="Adobe Myungjo Std M" w:cstheme="minorHAnsi"/>
          <w:sz w:val="20"/>
          <w:szCs w:val="18"/>
        </w:rPr>
      </w:pPr>
      <w:r w:rsidRPr="00024776">
        <w:rPr>
          <w:rFonts w:eastAsia="Adobe Myungjo Std M" w:cstheme="minorHAnsi"/>
          <w:sz w:val="20"/>
          <w:szCs w:val="18"/>
        </w:rPr>
        <w:t>JEL Classifications:</w:t>
      </w:r>
    </w:p>
    <w:p w14:paraId="60235F78" w14:textId="16E8D692" w:rsidR="00146EB7" w:rsidRPr="00024776" w:rsidRDefault="00B97059" w:rsidP="006D2FB2">
      <w:pPr>
        <w:jc w:val="both"/>
        <w:rPr>
          <w:rFonts w:eastAsia="Adobe Myungjo Std M" w:cstheme="minorHAnsi"/>
          <w:sz w:val="20"/>
          <w:szCs w:val="18"/>
        </w:rPr>
      </w:pPr>
      <w:r w:rsidRPr="00024776">
        <w:rPr>
          <w:rFonts w:eastAsia="Adobe Myungjo Std M" w:cstheme="minorHAnsi"/>
          <w:sz w:val="20"/>
          <w:szCs w:val="18"/>
        </w:rPr>
        <w:t>E24, J31, J58, R11</w:t>
      </w:r>
    </w:p>
    <w:p w14:paraId="481276A1" w14:textId="41BB53DF"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Regional Wage, Club Convergence, Labor Force, Log t test, Logit Model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58581DEB" w:rsidR="00CD253C" w:rsidRDefault="00CD253C"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2C4338A5" w14:textId="7193F1FB" w:rsidR="00AD3CAB" w:rsidRPr="000679BF"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 xml:space="preserve">Modern economic theories predict that labor that have same skills will earn equal payments in a fully integrated labor market </w:t>
      </w:r>
      <w:r w:rsidRPr="004C4E7F">
        <w:rPr>
          <w:rFonts w:eastAsia="Adobe Myungjo Std M" w:cstheme="minorHAnsi"/>
          <w:szCs w:val="18"/>
        </w:rPr>
        <w:t>(</w:t>
      </w:r>
      <w:r w:rsidRPr="00EC0311">
        <w:rPr>
          <w:rFonts w:eastAsia="Adobe Myungjo Std M" w:cstheme="minorHAnsi"/>
          <w:szCs w:val="18"/>
          <w:highlight w:val="yellow"/>
        </w:rPr>
        <w:t>Marshall, 1920, book 6, Ch. 3; Hicks, 1932, Ch. 4</w:t>
      </w:r>
      <w:r w:rsidRPr="004C4E7F">
        <w:rPr>
          <w:rFonts w:eastAsia="Adobe Myungjo Std M" w:cstheme="minorHAnsi"/>
          <w:szCs w:val="18"/>
        </w:rPr>
        <w:t>).</w:t>
      </w:r>
      <w:r>
        <w:rPr>
          <w:rFonts w:eastAsia="Adobe Myungjo Std M" w:cstheme="minorHAnsi"/>
          <w:szCs w:val="18"/>
        </w:rPr>
        <w:t xml:space="preserve"> This theory of equalization in pay differentials is reminiscent of the so-called ‘law of one price’. The law of one price </w:t>
      </w:r>
      <w:r w:rsidRPr="000679BF">
        <w:rPr>
          <w:rFonts w:eastAsia="Adobe Myungjo Std M" w:cstheme="minorHAnsi"/>
          <w:szCs w:val="18"/>
        </w:rPr>
        <w:t>s</w:t>
      </w:r>
      <w:r>
        <w:rPr>
          <w:rFonts w:eastAsia="Adobe Myungjo Std M" w:cstheme="minorHAnsi"/>
          <w:szCs w:val="18"/>
        </w:rPr>
        <w:t>tating</w:t>
      </w:r>
      <w:r w:rsidRPr="000679BF">
        <w:rPr>
          <w:rFonts w:eastAsia="Adobe Myungjo Std M" w:cstheme="minorHAnsi"/>
          <w:szCs w:val="18"/>
        </w:rPr>
        <w:t xml:space="preserve"> that the price of an identical asset or commodity will have the same price globally, regardless of location, when certain factors are considered and that theory frequently used in research on 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Pr="000679BF">
        <w:rPr>
          <w:rFonts w:eastAsia="Adobe Myungjo Std M" w:cstheme="minorHAnsi"/>
          <w:szCs w:val="18"/>
        </w:rPr>
        <w:t xml:space="preserve"> is also a useful metaphor for the 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p>
    <w:p w14:paraId="4ED3EED7" w14:textId="7A81A87D" w:rsidR="00511618" w:rsidRPr="00EB601B" w:rsidRDefault="00511618" w:rsidP="00AD3CA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Furthermore, there is a</w:t>
      </w:r>
      <w:r>
        <w:rPr>
          <w:rFonts w:eastAsia="Adobe Myungjo Std M" w:cstheme="minorHAnsi"/>
          <w:szCs w:val="18"/>
        </w:rPr>
        <w:t>nother</w:t>
      </w:r>
      <w:r w:rsidRPr="00EB601B">
        <w:rPr>
          <w:rFonts w:eastAsia="Adobe Myungjo Std M" w:cstheme="minorHAnsi"/>
          <w:szCs w:val="18"/>
        </w:rPr>
        <w:t xml:space="preserve"> study find that the convergence in count</w:t>
      </w:r>
      <w:r>
        <w:rPr>
          <w:rFonts w:eastAsia="Adobe Myungjo Std M" w:cstheme="minorHAnsi"/>
          <w:szCs w:val="18"/>
        </w:rPr>
        <w:t>r</w:t>
      </w:r>
      <w:r w:rsidRPr="00EB601B">
        <w:rPr>
          <w:rFonts w:eastAsia="Adobe Myungjo Std M" w:cstheme="minorHAnsi"/>
          <w:szCs w:val="18"/>
        </w:rPr>
        <w:t>y wages was not caused by the mechanism attributable to ‘the law of one price’ alone, rather, it was caused by markets and institutions interchangeably (</w:t>
      </w:r>
      <w:r w:rsidRPr="00EC0311">
        <w:rPr>
          <w:rFonts w:eastAsia="Adobe Myungjo Std M" w:cstheme="minorHAnsi"/>
          <w:szCs w:val="18"/>
          <w:highlight w:val="yellow"/>
        </w:rPr>
        <w:t>Svante Prado, Christer Lundh, Kristoffer Collin &amp; Kerstin Enflo,</w:t>
      </w:r>
      <w:r w:rsidR="00EC0311" w:rsidRPr="00EC0311">
        <w:rPr>
          <w:rFonts w:eastAsia="Adobe Myungjo Std M" w:cstheme="minorHAnsi"/>
          <w:szCs w:val="18"/>
          <w:highlight w:val="yellow"/>
        </w:rPr>
        <w:t xml:space="preserve"> </w:t>
      </w:r>
      <w:r w:rsidRPr="00EC0311">
        <w:rPr>
          <w:rFonts w:eastAsia="Adobe Myungjo Std M" w:cstheme="minorHAnsi"/>
          <w:szCs w:val="18"/>
          <w:highlight w:val="yellow"/>
        </w:rPr>
        <w:t>2021</w:t>
      </w:r>
      <w:r w:rsidRPr="00EB601B">
        <w:rPr>
          <w:rFonts w:eastAsia="Adobe Myungjo Std M" w:cstheme="minorHAnsi"/>
          <w:szCs w:val="18"/>
        </w:rPr>
        <w:t xml:space="preserve">). In the other hand, </w:t>
      </w:r>
      <w:r>
        <w:rPr>
          <w:rFonts w:eastAsia="Adobe Myungjo Std M" w:cstheme="minorHAnsi"/>
          <w:szCs w:val="18"/>
        </w:rPr>
        <w:t>a</w:t>
      </w:r>
      <w:r w:rsidRPr="00EB601B">
        <w:rPr>
          <w:rFonts w:eastAsia="Adobe Myungjo Std M" w:cstheme="minorHAnsi"/>
          <w:szCs w:val="18"/>
        </w:rPr>
        <w:t xml:space="preserve">nother study also find that labor markets of the past have failed to confirm the theory which predict small wage differentials among workers and geographic locations, provided that human capital does not vary much because there is consistent evidence that large wage differentials across space were commonplace </w:t>
      </w:r>
      <w:r w:rsidR="00EC0311">
        <w:rPr>
          <w:rFonts w:eastAsia="Adobe Myungjo Std M" w:cstheme="minorHAnsi"/>
          <w:szCs w:val="18"/>
        </w:rPr>
        <w:fldChar w:fldCharType="begin"/>
      </w:r>
      <w:r w:rsidR="00EC0311">
        <w:rPr>
          <w:rFonts w:eastAsia="Adobe Myungjo Std M" w:cstheme="minorHAnsi"/>
          <w:szCs w:val="18"/>
        </w:rPr>
        <w:instrText xml:space="preserve"> ADDIN ZOTERO_ITEM CSL_CITATION {"citationID":"YZEgoNIw","properties":{"formattedCitation":"(Collin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EC0311">
        <w:rPr>
          <w:rFonts w:eastAsia="Adobe Myungjo Std M" w:cstheme="minorHAnsi"/>
          <w:szCs w:val="18"/>
        </w:rPr>
        <w:fldChar w:fldCharType="separate"/>
      </w:r>
      <w:r w:rsidR="00EC0311" w:rsidRPr="00EC0311">
        <w:rPr>
          <w:rFonts w:ascii="Calibri" w:hAnsi="Calibri" w:cs="Calibri"/>
        </w:rPr>
        <w:t>(Collin et al., 2019)</w:t>
      </w:r>
      <w:r w:rsidR="00EC0311">
        <w:rPr>
          <w:rFonts w:eastAsia="Adobe Myungjo Std M" w:cstheme="minorHAnsi"/>
          <w:szCs w:val="18"/>
        </w:rPr>
        <w:fldChar w:fldCharType="end"/>
      </w:r>
      <w:r w:rsidR="00EC0311">
        <w:rPr>
          <w:rFonts w:eastAsia="Adobe Myungjo Std M" w:cstheme="minorHAnsi"/>
          <w:szCs w:val="18"/>
        </w:rPr>
        <w:t>.</w:t>
      </w:r>
    </w:p>
    <w:p w14:paraId="337E8326" w14:textId="0AB29AED" w:rsidR="00511618" w:rsidRPr="00BD123E"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income disparity is </w:t>
      </w:r>
      <w:r w:rsidR="00393F16">
        <w:rPr>
          <w:rFonts w:eastAsia="Adobe Myungjo Std M" w:cstheme="minorHAnsi"/>
          <w:szCs w:val="18"/>
        </w:rPr>
        <w:t>very</w:t>
      </w:r>
      <w:r>
        <w:rPr>
          <w:rFonts w:eastAsia="Adobe Myungjo Std M" w:cstheme="minorHAnsi"/>
          <w:szCs w:val="18"/>
        </w:rPr>
        <w:t xml:space="preserve"> relevance because it often becomes the main factor for many people do the migration which increased in the last few years. Based on theory, e</w:t>
      </w:r>
      <w:r w:rsidRPr="003B6B07">
        <w:rPr>
          <w:rFonts w:eastAsia="Adobe Myungjo Std M" w:cstheme="minorHAnsi"/>
          <w:szCs w:val="18"/>
        </w:rPr>
        <w:t xml:space="preserve">conomy is </w:t>
      </w:r>
      <w:r>
        <w:rPr>
          <w:rFonts w:eastAsia="Adobe Myungjo Std M" w:cstheme="minorHAnsi"/>
          <w:szCs w:val="18"/>
        </w:rPr>
        <w:t xml:space="preserve">one aspect that could influence migration and </w:t>
      </w:r>
      <w:r w:rsidR="00EC0311">
        <w:rPr>
          <w:rFonts w:eastAsia="Adobe Myungjo Std M" w:cstheme="minorHAnsi"/>
          <w:szCs w:val="18"/>
        </w:rPr>
        <w:t>s</w:t>
      </w:r>
      <w:r w:rsidRPr="003B6B07">
        <w:rPr>
          <w:rFonts w:eastAsia="Adobe Myungjo Std M" w:cstheme="minorHAnsi"/>
          <w:szCs w:val="18"/>
        </w:rPr>
        <w:t>everal theories that underlie this</w:t>
      </w:r>
      <w:r>
        <w:rPr>
          <w:rFonts w:eastAsia="Adobe Myungjo Std M" w:cstheme="minorHAnsi"/>
          <w:szCs w:val="18"/>
        </w:rPr>
        <w:t xml:space="preserve"> </w:t>
      </w:r>
      <w:r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E5165">
        <w:rPr>
          <w:rFonts w:eastAsia="Adobe Myungjo Std M" w:cstheme="minorHAnsi"/>
          <w:szCs w:val="18"/>
        </w:rPr>
        <w:instrText xml:space="preserve"> ADDIN ZOTERO_ITEM CSL_CITATION {"citationID":"RixVlRDJ","properties":{"formattedCitation":"(Mantra, 1992)","plainCitation":"(Mantra, 1992)","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Pr="009012E9">
        <w:rPr>
          <w:rFonts w:eastAsia="Adobe Myungjo Std M" w:cstheme="minorHAnsi"/>
          <w:szCs w:val="18"/>
        </w:rPr>
        <w:t xml:space="preserve"> and </w:t>
      </w:r>
      <w:r w:rsidRPr="009E5165">
        <w:rPr>
          <w:rFonts w:eastAsia="Adobe Myungjo Std M" w:cstheme="minorHAnsi"/>
          <w:szCs w:val="18"/>
          <w:highlight w:val="yellow"/>
        </w:rPr>
        <w:t>Todaro (2003)</w:t>
      </w:r>
      <w:r w:rsidRPr="009012E9">
        <w:rPr>
          <w:rFonts w:eastAsia="Adobe Myungjo Std M" w:cstheme="minorHAnsi"/>
          <w:szCs w:val="18"/>
        </w:rPr>
        <w:t xml:space="preserve">. Both agree that economic motives are one's reasons do </w:t>
      </w:r>
      <w:r>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Pr>
          <w:rFonts w:eastAsia="Adobe Myungjo Std M" w:cstheme="minorHAnsi"/>
          <w:szCs w:val="18"/>
        </w:rPr>
        <w:t>if</w:t>
      </w:r>
      <w:r w:rsidRPr="009012E9">
        <w:rPr>
          <w:rFonts w:eastAsia="Adobe Myungjo Std M" w:cstheme="minorHAnsi"/>
          <w:szCs w:val="18"/>
        </w:rPr>
        <w:t xml:space="preserve"> there is no work with </w:t>
      </w:r>
      <w:r>
        <w:rPr>
          <w:rFonts w:eastAsia="Adobe Myungjo Std M" w:cstheme="minorHAnsi"/>
          <w:szCs w:val="18"/>
        </w:rPr>
        <w:t xml:space="preserve">feasible </w:t>
      </w:r>
      <w:r w:rsidRPr="009012E9">
        <w:rPr>
          <w:rFonts w:eastAsia="Adobe Myungjo Std M" w:cstheme="minorHAnsi"/>
          <w:szCs w:val="18"/>
        </w:rPr>
        <w:t xml:space="preserve">wages available </w:t>
      </w:r>
      <w:r>
        <w:rPr>
          <w:rFonts w:eastAsia="Adobe Myungjo Std M" w:cstheme="minorHAnsi"/>
          <w:szCs w:val="18"/>
        </w:rPr>
        <w:t>in origin area</w:t>
      </w:r>
      <w:r w:rsidRPr="009012E9">
        <w:rPr>
          <w:rFonts w:eastAsia="Adobe Myungjo Std M" w:cstheme="minorHAnsi"/>
          <w:szCs w:val="18"/>
        </w:rPr>
        <w:t>. Indonesia</w:t>
      </w:r>
      <w:r w:rsidR="00C81CDE">
        <w:rPr>
          <w:rFonts w:eastAsia="Adobe Myungjo Std M" w:cstheme="minorHAnsi"/>
          <w:szCs w:val="18"/>
        </w:rPr>
        <w:t>n</w:t>
      </w:r>
      <w:r w:rsidRPr="009012E9">
        <w:rPr>
          <w:rFonts w:eastAsia="Adobe Myungjo Std M" w:cstheme="minorHAnsi"/>
          <w:szCs w:val="18"/>
        </w:rPr>
        <w:t xml:space="preserve"> Central Bureau of Statistics recorded that the percentage of populati</w:t>
      </w:r>
      <w:r>
        <w:rPr>
          <w:rFonts w:eastAsia="Adobe Myungjo Std M" w:cstheme="minorHAnsi"/>
          <w:szCs w:val="18"/>
        </w:rPr>
        <w:t>on in urban areas on 2020 is 56.</w:t>
      </w:r>
      <w:r w:rsidRPr="009012E9">
        <w:rPr>
          <w:rFonts w:eastAsia="Adobe Myungjo Std M" w:cstheme="minorHAnsi"/>
          <w:szCs w:val="18"/>
        </w:rPr>
        <w:t xml:space="preserve">7% increase from 2010 </w:t>
      </w:r>
      <w:r>
        <w:rPr>
          <w:rFonts w:eastAsia="Adobe Myungjo Std M" w:cstheme="minorHAnsi"/>
          <w:szCs w:val="18"/>
        </w:rPr>
        <w:t>which only 49.</w:t>
      </w:r>
      <w:r w:rsidRPr="009012E9">
        <w:rPr>
          <w:rFonts w:eastAsia="Adobe Myungjo Std M" w:cstheme="minorHAnsi"/>
          <w:szCs w:val="18"/>
        </w:rPr>
        <w:t xml:space="preserve">8%. Furthermore, that percentage projected to </w:t>
      </w:r>
      <w:r>
        <w:rPr>
          <w:rFonts w:eastAsia="Adobe Myungjo Std M" w:cstheme="minorHAnsi"/>
          <w:szCs w:val="18"/>
        </w:rPr>
        <w:t xml:space="preserve">increase up to 66.6% in 2035, </w:t>
      </w:r>
      <w:r w:rsidRPr="009012E9">
        <w:rPr>
          <w:rFonts w:eastAsia="Adobe Myungjo Std M" w:cstheme="minorHAnsi"/>
          <w:szCs w:val="18"/>
        </w:rPr>
        <w:t xml:space="preserve">due to </w:t>
      </w:r>
      <w:r>
        <w:rPr>
          <w:rFonts w:eastAsia="Adobe Myungjo Std M" w:cstheme="minorHAnsi"/>
          <w:szCs w:val="18"/>
        </w:rPr>
        <w:t>massive development in urban area which requires a lot of workers</w:t>
      </w:r>
      <w:r w:rsidRPr="00BD123E">
        <w:rPr>
          <w:rFonts w:eastAsia="Adobe Myungjo Std M" w:cstheme="minorHAnsi"/>
          <w:szCs w:val="18"/>
        </w:rPr>
        <w:t xml:space="preserve">. Another study from </w:t>
      </w:r>
      <w:r w:rsidR="00A90C0C">
        <w:rPr>
          <w:rFonts w:eastAsia="Adobe Myungjo Std M" w:cstheme="minorHAnsi"/>
          <w:szCs w:val="18"/>
        </w:rPr>
        <w:t xml:space="preserve">Indonesian </w:t>
      </w:r>
      <w:r w:rsidRPr="00BD123E">
        <w:rPr>
          <w:rFonts w:eastAsia="Adobe Myungjo Std M" w:cstheme="minorHAnsi"/>
          <w:szCs w:val="18"/>
        </w:rPr>
        <w:t>Central Bureau of Statistics show</w:t>
      </w:r>
      <w:r w:rsidR="002F30D7">
        <w:rPr>
          <w:rFonts w:eastAsia="Adobe Myungjo Std M" w:cstheme="minorHAnsi"/>
          <w:szCs w:val="18"/>
        </w:rPr>
        <w:t>s</w:t>
      </w:r>
      <w:r w:rsidRPr="00BD123E">
        <w:rPr>
          <w:rFonts w:eastAsia="Adobe Myungjo Std M" w:cstheme="minorHAnsi"/>
          <w:szCs w:val="18"/>
        </w:rPr>
        <w:t xml:space="preserve"> that th</w:t>
      </w:r>
      <w:r>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Pr>
          <w:rFonts w:eastAsia="Adobe Myungjo Std M" w:cstheme="minorHAnsi"/>
          <w:szCs w:val="18"/>
        </w:rPr>
        <w:t>onesia, with around 51.2%</w:t>
      </w:r>
      <w:r w:rsidRPr="00BD123E">
        <w:rPr>
          <w:rFonts w:eastAsia="Adobe Myungjo Std M" w:cstheme="minorHAnsi"/>
          <w:szCs w:val="18"/>
        </w:rPr>
        <w:t xml:space="preserve"> of lifetime migr</w:t>
      </w:r>
      <w:r>
        <w:rPr>
          <w:rFonts w:eastAsia="Adobe Myungjo Std M" w:cstheme="minorHAnsi"/>
          <w:szCs w:val="18"/>
        </w:rPr>
        <w:t xml:space="preserve">ants and 56.5% </w:t>
      </w:r>
      <w:r w:rsidRPr="00BD123E">
        <w:rPr>
          <w:rFonts w:eastAsia="Adobe Myungjo Std M" w:cstheme="minorHAnsi"/>
          <w:szCs w:val="18"/>
        </w:rPr>
        <w:t xml:space="preserve">of migrant workers residing in Java Island. The high number of migrants in </w:t>
      </w:r>
      <w:r w:rsidR="00675BBB">
        <w:rPr>
          <w:rFonts w:eastAsia="Adobe Myungjo Std M" w:cstheme="minorHAnsi"/>
          <w:szCs w:val="18"/>
        </w:rPr>
        <w:t>J</w:t>
      </w:r>
      <w:r w:rsidRPr="00BD123E">
        <w:rPr>
          <w:rFonts w:eastAsia="Adobe Myungjo Std M" w:cstheme="minorHAnsi"/>
          <w:szCs w:val="18"/>
        </w:rPr>
        <w:t xml:space="preserve">ava is mainly influenced by wage condition, living cost, and the availability of living facilities. Other than that, depth analysis about wage convergence is supposed to be an answer from the high number of </w:t>
      </w:r>
      <w:r w:rsidR="00A90C0C">
        <w:rPr>
          <w:rFonts w:eastAsia="Adobe Myungjo Std M" w:cstheme="minorHAnsi"/>
          <w:szCs w:val="18"/>
        </w:rPr>
        <w:t>G</w:t>
      </w:r>
      <w:r w:rsidRPr="00BD123E">
        <w:rPr>
          <w:rFonts w:eastAsia="Adobe Myungjo Std M" w:cstheme="minorHAnsi"/>
          <w:szCs w:val="18"/>
        </w:rPr>
        <w:t>ini ratio in Indonesia</w:t>
      </w:r>
      <w:r>
        <w:rPr>
          <w:rFonts w:eastAsia="Adobe Myungjo Std M" w:cstheme="minorHAnsi"/>
          <w:szCs w:val="18"/>
        </w:rPr>
        <w:t>.</w:t>
      </w:r>
      <w:r w:rsidRPr="00BD123E">
        <w:rPr>
          <w:rFonts w:eastAsia="Adobe Myungjo Std M" w:cstheme="minorHAnsi"/>
          <w:szCs w:val="18"/>
        </w:rPr>
        <w:t xml:space="preserve"> </w:t>
      </w:r>
    </w:p>
    <w:p w14:paraId="177A28DE" w14:textId="55183CFA" w:rsidR="00511618" w:rsidRPr="00EB601B" w:rsidRDefault="00511618" w:rsidP="00511618">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lastRenderedPageBreak/>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Pr>
          <w:rFonts w:eastAsia="Adobe Myungjo Std M" w:cstheme="minorHAnsi"/>
          <w:szCs w:val="18"/>
        </w:rPr>
        <w:t>wage</w:t>
      </w:r>
      <w:r w:rsidRPr="00EB601B">
        <w:rPr>
          <w:rFonts w:eastAsia="Adobe Myungjo Std M" w:cstheme="minorHAnsi"/>
          <w:szCs w:val="18"/>
        </w:rPr>
        <w:t xml:space="preserve"> convergence analysis often unveils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country like Indonesia</w:t>
      </w:r>
      <w:r w:rsidR="00030698">
        <w:rPr>
          <w:rFonts w:eastAsia="Adobe Myungjo Std M" w:cstheme="minorHAnsi"/>
          <w:szCs w:val="18"/>
        </w:rPr>
        <w:t xml:space="preserve"> </w:t>
      </w:r>
      <w:r w:rsidR="00030698">
        <w:rPr>
          <w:rFonts w:eastAsia="Adobe Myungjo Std M" w:cstheme="minorHAnsi"/>
          <w:szCs w:val="18"/>
        </w:rPr>
        <w:fldChar w:fldCharType="begin"/>
      </w:r>
      <w:r w:rsidR="00030698">
        <w:rPr>
          <w:rFonts w:eastAsia="Adobe Myungjo Std M" w:cstheme="minorHAnsi"/>
          <w:szCs w:val="18"/>
        </w:rPr>
        <w:instrText xml:space="preserve"> ADDIN ZOTERO_ITEM CSL_CITATION {"citationID":"g47uQAmh","properties":{"formattedCitation":"(Aginta,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030698">
        <w:rPr>
          <w:rFonts w:eastAsia="Adobe Myungjo Std M" w:cstheme="minorHAnsi"/>
          <w:szCs w:val="18"/>
        </w:rPr>
        <w:fldChar w:fldCharType="separate"/>
      </w:r>
      <w:r w:rsidR="00030698" w:rsidRPr="00030698">
        <w:rPr>
          <w:rFonts w:ascii="Calibri" w:hAnsi="Calibri" w:cs="Calibri"/>
        </w:rPr>
        <w:t>(Aginta, 2021)</w:t>
      </w:r>
      <w:r w:rsidR="00030698">
        <w:rPr>
          <w:rFonts w:eastAsia="Adobe Myungjo Std M" w:cstheme="minorHAnsi"/>
          <w:szCs w:val="18"/>
        </w:rPr>
        <w:fldChar w:fldCharType="end"/>
      </w:r>
      <w:r w:rsidR="00030698">
        <w:rPr>
          <w:rFonts w:eastAsia="Adobe Myungjo Std M" w:cstheme="minorHAnsi"/>
          <w:szCs w:val="18"/>
        </w:rPr>
        <w:t>.</w:t>
      </w:r>
    </w:p>
    <w:p w14:paraId="447E7AE1" w14:textId="3BF244DD"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The focus of this paper lies on</w:t>
      </w:r>
      <w:r>
        <w:rPr>
          <w:rFonts w:eastAsia="Adobe Myungjo Std M" w:cstheme="minorHAnsi"/>
          <w:szCs w:val="18"/>
        </w:rPr>
        <w:t xml:space="preserve"> convergence analysis of</w:t>
      </w:r>
      <w:r w:rsidRPr="003B6B07">
        <w:rPr>
          <w:rFonts w:eastAsia="Adobe Myungjo Std M" w:cstheme="minorHAnsi"/>
          <w:szCs w:val="18"/>
        </w:rPr>
        <w:t xml:space="preserve"> the long-run behavior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Furthermore, in this paper we use average net income per month of employee and laborer in 34 provinces from 2005-2020 as main indicator instead of regional minimum wage (UMR).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7777777" w:rsidR="00511618" w:rsidRPr="00E859D4" w:rsidRDefault="00511618" w:rsidP="00511618">
      <w:pPr>
        <w:pStyle w:val="ListParagraph"/>
        <w:spacing w:line="360" w:lineRule="auto"/>
        <w:ind w:firstLine="720"/>
        <w:jc w:val="both"/>
        <w:rPr>
          <w:rFonts w:eastAsia="Adobe Myungjo Std M" w:cstheme="minorHAnsi"/>
          <w:szCs w:val="18"/>
        </w:rPr>
      </w:pPr>
      <w:r>
        <w:t>The remaining of this paper is organized as follows. In Section 2 we review related literature and in Section 3 we discuss the methodologies and data. Section 4 presents and discusses our results on the formation of convergence clubs and the influencing factors. Finally, Section 5 concludes the paper with remarks.</w:t>
      </w:r>
    </w:p>
    <w:p w14:paraId="13DB0B32" w14:textId="77777777" w:rsidR="00511618" w:rsidRDefault="00511618" w:rsidP="00511618">
      <w:pPr>
        <w:pStyle w:val="ListParagraph"/>
        <w:rPr>
          <w:rFonts w:ascii="Bookman Old Style" w:eastAsia="Adobe Myungjo Std M" w:hAnsi="Bookman Old Style"/>
          <w:b/>
          <w:szCs w:val="18"/>
        </w:rPr>
      </w:pPr>
    </w:p>
    <w:p w14:paraId="355038A0" w14:textId="4319E188"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R</w:t>
      </w:r>
      <w:r>
        <w:rPr>
          <w:rFonts w:ascii="Bookman Old Style" w:eastAsia="Adobe Myungjo Std M" w:hAnsi="Bookman Old Style"/>
          <w:b/>
          <w:szCs w:val="18"/>
        </w:rPr>
        <w:t>elated literature</w:t>
      </w:r>
    </w:p>
    <w:p w14:paraId="31849A56" w14:textId="78EDC2B9" w:rsidR="00CC0532" w:rsidRDefault="00CC0532" w:rsidP="00760941">
      <w:pPr>
        <w:pStyle w:val="ListParagraph"/>
        <w:numPr>
          <w:ilvl w:val="1"/>
          <w:numId w:val="2"/>
        </w:numPr>
        <w:ind w:left="1418" w:hanging="698"/>
        <w:rPr>
          <w:rFonts w:ascii="Bookman Old Style" w:eastAsia="Adobe Myungjo Std M" w:hAnsi="Bookman Old Style"/>
          <w:b/>
          <w:szCs w:val="18"/>
        </w:rPr>
      </w:pPr>
      <w:r>
        <w:rPr>
          <w:rFonts w:ascii="Bookman Old Style" w:eastAsia="Adobe Myungjo Std M" w:hAnsi="Bookman Old Style"/>
          <w:b/>
          <w:szCs w:val="18"/>
        </w:rPr>
        <w:t>Related studies on wage convergence</w:t>
      </w:r>
    </w:p>
    <w:p w14:paraId="0A0883A9" w14:textId="03AF9C73" w:rsidR="00CC0532" w:rsidRDefault="00CC0532" w:rsidP="00CC0532">
      <w:pPr>
        <w:pStyle w:val="ListParagraph"/>
        <w:ind w:left="1160"/>
        <w:rPr>
          <w:rFonts w:ascii="Bookman Old Style" w:eastAsia="Adobe Myungjo Std M" w:hAnsi="Bookman Old Style"/>
          <w:b/>
          <w:szCs w:val="18"/>
        </w:rPr>
      </w:pPr>
    </w:p>
    <w:p w14:paraId="6596C406" w14:textId="7E91D848" w:rsidR="00CC0532" w:rsidRPr="0052431C" w:rsidRDefault="00CC0532" w:rsidP="00CC0532">
      <w:pPr>
        <w:pStyle w:val="ListParagraph"/>
        <w:spacing w:line="360" w:lineRule="auto"/>
        <w:ind w:left="709"/>
        <w:jc w:val="both"/>
        <w:rPr>
          <w:rFonts w:eastAsia="Adobe Myungjo Std M" w:cstheme="minorHAnsi"/>
          <w:szCs w:val="18"/>
        </w:rPr>
      </w:pPr>
      <w:r>
        <w:rPr>
          <w:rFonts w:eastAsia="Adobe Myungjo Std M" w:cstheme="minorHAnsi"/>
          <w:szCs w:val="18"/>
        </w:rPr>
        <w:t>Anal</w:t>
      </w:r>
      <w:r w:rsidRPr="00BE249C">
        <w:rPr>
          <w:rFonts w:eastAsia="Adobe Myungjo Std M" w:cstheme="minorHAnsi"/>
          <w:szCs w:val="18"/>
        </w:rPr>
        <w:t>yzing wage conver</w:t>
      </w:r>
      <w:r>
        <w:rPr>
          <w:rFonts w:eastAsia="Adobe Myungjo Std M" w:cstheme="minorHAnsi"/>
          <w:szCs w:val="18"/>
        </w:rPr>
        <w:t>gences within a country has some benefits. The main benefit is it will improve and provides a deeper understanding of wage dynamics across different regions. In a labor market context, the ‘law of one price’ would entail wages across workers and locations would converge as transports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Pr>
          <w:rFonts w:eastAsia="Adobe Myungjo Std M" w:cstheme="minorHAnsi"/>
          <w:szCs w:val="18"/>
        </w:rPr>
        <w:t xml:space="preserve">. Several studies provide evidence that regional wages seem to have converged since pre-industrial times, whether for the distribution of wages across space in the late twentieth and the early twenty-first century was rather flat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Pr>
          <w:rFonts w:eastAsia="Adobe Myungjo Std M" w:cstheme="minorHAnsi"/>
          <w:szCs w:val="18"/>
        </w:rPr>
        <w:t>. However, another study shows t</w:t>
      </w:r>
      <w:r w:rsidRPr="000F28A7">
        <w:rPr>
          <w:rFonts w:eastAsia="Adobe Myungjo Std M" w:cstheme="minorHAnsi"/>
          <w:szCs w:val="18"/>
        </w:rPr>
        <w:t>he empirical implication of the law of one price in a labor ma</w:t>
      </w:r>
      <w:r>
        <w:rPr>
          <w:rFonts w:eastAsia="Adobe Myungjo Std M" w:cstheme="minorHAnsi"/>
          <w:szCs w:val="18"/>
        </w:rPr>
        <w:t xml:space="preserve">rket context is that wages will converge across space in line with huge </w:t>
      </w:r>
      <w:r w:rsidRPr="000F28A7">
        <w:rPr>
          <w:rFonts w:eastAsia="Adobe Myungjo Std M" w:cstheme="minorHAnsi"/>
          <w:szCs w:val="18"/>
        </w:rPr>
        <w:t>improvements in transports and communications expand</w:t>
      </w:r>
      <w:r>
        <w:rPr>
          <w:rFonts w:eastAsia="Adobe Myungjo Std M" w:cstheme="minorHAnsi"/>
          <w:szCs w:val="18"/>
        </w:rPr>
        <w:t>ing</w:t>
      </w:r>
      <w:r w:rsidRPr="000F28A7">
        <w:rPr>
          <w:rFonts w:eastAsia="Adobe Myungjo Std M" w:cstheme="minorHAnsi"/>
          <w:szCs w:val="18"/>
        </w:rPr>
        <w:t xml:space="preserve"> the geographical</w:t>
      </w:r>
      <w:r>
        <w:rPr>
          <w:rFonts w:eastAsia="Adobe Myungjo Std M" w:cstheme="minorHAnsi"/>
          <w:szCs w:val="18"/>
        </w:rPr>
        <w:t xml:space="preserve"> extent of labor markets. </w:t>
      </w:r>
      <w:r w:rsidRPr="000F28A7">
        <w:rPr>
          <w:rFonts w:eastAsia="Adobe Myungjo Std M" w:cstheme="minorHAnsi"/>
          <w:szCs w:val="18"/>
        </w:rPr>
        <w:t>In the absence of migration barriers, migration from low-wage regions to</w:t>
      </w:r>
      <w:r>
        <w:rPr>
          <w:rFonts w:eastAsia="Adobe Myungjo Std M" w:cstheme="minorHAnsi"/>
          <w:szCs w:val="18"/>
        </w:rPr>
        <w:t xml:space="preserve"> </w:t>
      </w:r>
      <w:r w:rsidRPr="0084636C">
        <w:rPr>
          <w:rFonts w:eastAsia="Adobe Myungjo Std M" w:cstheme="minorHAnsi"/>
          <w:szCs w:val="18"/>
        </w:rPr>
        <w:t>high-wage regions tends to decrease regional wage differentials (</w:t>
      </w:r>
      <w:r w:rsidRPr="00497A6F">
        <w:rPr>
          <w:rFonts w:eastAsia="Adobe Myungjo Std M" w:cstheme="minorHAnsi"/>
          <w:szCs w:val="18"/>
          <w:highlight w:val="yellow"/>
        </w:rPr>
        <w:t>Collin K, Lundh C, Prado S. 2018</w:t>
      </w:r>
      <w:r w:rsidRPr="0084636C">
        <w:rPr>
          <w:rFonts w:eastAsia="Adobe Myungjo Std M" w:cstheme="minorHAnsi"/>
          <w:szCs w:val="18"/>
        </w:rPr>
        <w:t xml:space="preserve">). </w:t>
      </w:r>
      <w:r w:rsidRPr="0052431C">
        <w:rPr>
          <w:rFonts w:eastAsia="Adobe Myungjo Std M" w:cstheme="minorHAnsi"/>
          <w:szCs w:val="18"/>
        </w:rPr>
        <w:t>Based on that study, there should be an interesting finding in Indonesia due to the vast transportation and communications infrastructure development in the last decade. One of proofs rapid development of transportation infrastructure in Indonesia was shown by the number of airport</w:t>
      </w:r>
      <w:r>
        <w:rPr>
          <w:rFonts w:eastAsia="Adobe Myungjo Std M" w:cstheme="minorHAnsi"/>
          <w:szCs w:val="18"/>
        </w:rPr>
        <w:t>s</w:t>
      </w:r>
      <w:r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Meanwhile, there is also a rapid development in communication infrastructure due to massive base transceiver station (BTS) construction which built by Indonesia’s telco state-owned enterprise from only around 26 thousand unit in 2008 to 231 thousand in 2020. </w:t>
      </w:r>
    </w:p>
    <w:p w14:paraId="63EB0EB1" w14:textId="1B994E51" w:rsidR="00CC0532" w:rsidRPr="0009490D" w:rsidRDefault="00CC0532" w:rsidP="00CC0532">
      <w:pPr>
        <w:pStyle w:val="ListParagraph"/>
        <w:spacing w:line="360" w:lineRule="auto"/>
        <w:ind w:left="709" w:firstLine="709"/>
        <w:jc w:val="both"/>
        <w:rPr>
          <w:rFonts w:eastAsia="Adobe Myungjo Std M" w:cstheme="minorHAnsi"/>
          <w:szCs w:val="18"/>
        </w:rPr>
      </w:pPr>
      <w:r w:rsidRPr="0009490D">
        <w:rPr>
          <w:rFonts w:eastAsia="Adobe Myungjo Std M" w:cstheme="minorHAnsi"/>
          <w:szCs w:val="18"/>
        </w:rPr>
        <w:t xml:space="preserve">On the other hand, </w:t>
      </w:r>
      <w:r>
        <w:rPr>
          <w:rFonts w:eastAsia="Adobe Myungjo Std M" w:cstheme="minorHAnsi"/>
          <w:szCs w:val="18"/>
        </w:rPr>
        <w:t>our</w:t>
      </w:r>
      <w:r w:rsidRPr="0009490D">
        <w:rPr>
          <w:rFonts w:eastAsia="Adobe Myungjo Std M" w:cstheme="minorHAnsi"/>
          <w:szCs w:val="18"/>
        </w:rPr>
        <w:t xml:space="preserve"> research also possible to examine which factors are the driving forces behind the formation of multiple steady states of </w:t>
      </w:r>
      <w:r>
        <w:rPr>
          <w:rFonts w:eastAsia="Adobe Myungjo Std M" w:cstheme="minorHAnsi"/>
          <w:szCs w:val="18"/>
        </w:rPr>
        <w:t xml:space="preserve">wages </w:t>
      </w:r>
      <w:r w:rsidRPr="0009490D">
        <w:rPr>
          <w:rFonts w:eastAsia="Adobe Myungjo Std M" w:cstheme="minorHAnsi"/>
          <w:szCs w:val="18"/>
        </w:rPr>
        <w:t>across Indonesia regions. Some studies ha</w:t>
      </w:r>
      <w:r>
        <w:rPr>
          <w:rFonts w:eastAsia="Adobe Myungjo Std M" w:cstheme="minorHAnsi"/>
          <w:szCs w:val="18"/>
        </w:rPr>
        <w:t>ve</w:t>
      </w:r>
      <w:r w:rsidRPr="0009490D">
        <w:rPr>
          <w:rFonts w:eastAsia="Adobe Myungjo Std M" w:cstheme="minorHAnsi"/>
          <w:szCs w:val="18"/>
        </w:rPr>
        <w:t xml:space="preserve"> investigate</w:t>
      </w:r>
      <w:r w:rsidR="002F30D7">
        <w:rPr>
          <w:rFonts w:eastAsia="Adobe Myungjo Std M" w:cstheme="minorHAnsi"/>
          <w:szCs w:val="18"/>
        </w:rPr>
        <w:t>d</w:t>
      </w:r>
      <w:r w:rsidRPr="0009490D">
        <w:rPr>
          <w:rFonts w:eastAsia="Adobe Myungjo Std M" w:cstheme="minorHAnsi"/>
          <w:szCs w:val="18"/>
        </w:rPr>
        <w:t xml:space="preserve"> whether initial conditions put forward by a certa</w:t>
      </w:r>
      <w:r>
        <w:rPr>
          <w:rFonts w:eastAsia="Adobe Myungjo Std M" w:cstheme="minorHAnsi"/>
          <w:szCs w:val="18"/>
        </w:rPr>
        <w:t>i</w:t>
      </w:r>
      <w:r w:rsidRPr="0009490D">
        <w:rPr>
          <w:rFonts w:eastAsia="Adobe Myungjo Std M" w:cstheme="minorHAnsi"/>
          <w:szCs w:val="18"/>
        </w:rPr>
        <w:t xml:space="preserve">n class of theoretical models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{"citationID":"AGIQ2Uy9","properties":{"formattedCitation":"(Azariadis &amp; Drazen, 1990)","plainCitation":"(Azariadis &amp; Drazen, 1990)","noteIndex":0},"citationItems":[{"id":81,"uris":["http://zotero.org/users/local/9Bu69DCL/items/YTQSPYA5"],"uri":["http://zotero.org/users/local/9Bu69DCL/items/YTQSPYA5"],"itemData":{"id":81,"type":"article-journal","abstract":"[Standard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w:t>
      </w:r>
      <w:r w:rsidR="00BC6C6F">
        <w:rPr>
          <w:rFonts w:ascii="Calibri" w:hAnsi="Calibri" w:cs="Calibri"/>
        </w:rPr>
        <w:t xml:space="preserve">e.g., </w:t>
      </w:r>
      <w:r w:rsidR="00BC6C6F" w:rsidRPr="00BC6C6F">
        <w:rPr>
          <w:rFonts w:ascii="Calibri" w:hAnsi="Calibri" w:cs="Calibri"/>
        </w:rPr>
        <w:t>Azariadis &amp; Drazen, 1990)</w:t>
      </w:r>
      <w:r w:rsidR="00BC6C6F">
        <w:rPr>
          <w:rFonts w:eastAsia="Adobe Myungjo Std M" w:cstheme="minorHAnsi"/>
          <w:szCs w:val="18"/>
        </w:rPr>
        <w:fldChar w:fldCharType="end"/>
      </w:r>
      <w:r w:rsidRPr="0009490D">
        <w:rPr>
          <w:rFonts w:eastAsia="Adobe Myungjo Std M" w:cstheme="minorHAnsi"/>
          <w:szCs w:val="18"/>
        </w:rPr>
        <w:t xml:space="preserve"> are respon</w:t>
      </w:r>
      <w:r>
        <w:rPr>
          <w:rFonts w:eastAsia="Adobe Myungjo Std M" w:cstheme="minorHAnsi"/>
          <w:szCs w:val="18"/>
        </w:rPr>
        <w:t>sible for the o</w:t>
      </w:r>
      <w:r w:rsidRPr="0009490D">
        <w:rPr>
          <w:rFonts w:eastAsia="Adobe Myungjo Std M" w:cstheme="minorHAnsi"/>
          <w:szCs w:val="18"/>
        </w:rPr>
        <w:t>bserved convergence clubs. Moreover, in order to address that issue, there is a study that propose a two-step procedure consisting of first step which endogenously identify groups of regions that converge to the same steady state level and the second step investigating the role of starting conditions for club membership while controlling for the regions</w:t>
      </w:r>
      <w:r>
        <w:rPr>
          <w:rFonts w:eastAsia="Adobe Myungjo Std M" w:cstheme="minorHAnsi"/>
          <w:szCs w:val="18"/>
        </w:rPr>
        <w:t>’</w:t>
      </w:r>
      <w:r w:rsidRPr="0009490D">
        <w:rPr>
          <w:rFonts w:eastAsia="Adobe Myungjo Std M" w:cstheme="minorHAnsi"/>
          <w:szCs w:val="18"/>
        </w:rPr>
        <w:t xml:space="preserve"> structural characteristics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{"citationID":"CpMvLeNo","properties":{"formattedCitation":"(Bartkowska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(Bartkowska &amp; Riedl, 2012)</w:t>
      </w:r>
      <w:r w:rsidR="00BC6C6F">
        <w:rPr>
          <w:rFonts w:eastAsia="Adobe Myungjo Std M" w:cstheme="minorHAnsi"/>
          <w:szCs w:val="18"/>
        </w:rPr>
        <w:fldChar w:fldCharType="end"/>
      </w:r>
      <w:r w:rsidRPr="0009490D">
        <w:rPr>
          <w:rFonts w:eastAsia="Adobe Myungjo Std M" w:cstheme="minorHAnsi"/>
          <w:szCs w:val="18"/>
        </w:rPr>
        <w:t xml:space="preserve">. That study also is most closely related to the work of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{"citationID":"v5DtgrSV","properties":{"formattedCitation":"(Corrado et al., 2005)","plainCitation":"(Corrado et al., 2005)","noteIndex":0},"citationItems":[{"id":97,"uris":["http://zotero.org/users/local/9Bu69DCL/items/2QIJ2P5G"],"uri":["http://zotero.org/users/local/9Bu69DCL/items/2QIJ2P5G"],"itemData":{"id":97,"type":"article-journal","abstract":"In this paper we test for regional convergence clusters across the EU. We utilise a methodology that allows for the endogenous selection of regional clusters using a multivariate test for stationarity, where the number and composition of clusters are determined by the application of pairwise tests of regional differences in per capita output over time. To interpret the composition of the resulting convergence clusters, the latter are tested against a number of possible groupings suggested by recent theories and hypotheses of regional growth and convergence. Further, our method allows regional convergence clusters to vary over time.","container-title":"The Economic Journal","DOI":"10.1111/j.0013-0133.2005.00984.x","ISSN":"0013-0133","issue":"502","journalAbbreviation":"The Economic Journal","page":"C133-C160","title":"Identifying and Interpreting Regional Convergence Clusters across Europe*","volume":"115","author":[{"family":"Corrado","given":"Luisa"},{"family":"Martin","given":"Ron"},{"family":"Weeks","given":"Melvyn"}],"issued":{"date-parts":[["2005",3,1]]}}}],"schema":"https://github.com/citation-style-language/schema/raw/master/csl-citation.json"}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 xml:space="preserve">Corrado et al. </w:t>
      </w:r>
      <w:r w:rsidR="00BC6C6F">
        <w:rPr>
          <w:rFonts w:ascii="Calibri" w:hAnsi="Calibri" w:cs="Calibri"/>
        </w:rPr>
        <w:t>(</w:t>
      </w:r>
      <w:r w:rsidR="00BC6C6F" w:rsidRPr="00BC6C6F">
        <w:rPr>
          <w:rFonts w:ascii="Calibri" w:hAnsi="Calibri" w:cs="Calibri"/>
        </w:rPr>
        <w:t>2005)</w:t>
      </w:r>
      <w:r w:rsidR="00BC6C6F">
        <w:rPr>
          <w:rFonts w:eastAsia="Adobe Myungjo Std M" w:cstheme="minorHAnsi"/>
          <w:szCs w:val="18"/>
        </w:rPr>
        <w:fldChar w:fldCharType="end"/>
      </w:r>
      <w:r w:rsidRPr="0009490D">
        <w:rPr>
          <w:rFonts w:eastAsia="Adobe Myungjo Std M" w:cstheme="minorHAnsi"/>
          <w:szCs w:val="18"/>
        </w:rPr>
        <w:t xml:space="preserve">, who analyze </w:t>
      </w:r>
      <w:r w:rsidRPr="0009490D">
        <w:rPr>
          <w:rFonts w:eastAsia="Adobe Myungjo Std M" w:cstheme="minorHAnsi"/>
          <w:szCs w:val="18"/>
        </w:rPr>
        <w:lastRenderedPageBreak/>
        <w:t xml:space="preserve">per capita income across European NUTS1 regions (where NUTS stands for Nomenclature of Territorial Unites for Statistics). Based on their study, convergence clubs are determined endogenously using cointegration test proposed by </w:t>
      </w:r>
      <w:r w:rsidR="00897937">
        <w:rPr>
          <w:rFonts w:eastAsia="Adobe Myungjo Std M" w:cstheme="minorHAnsi"/>
          <w:szCs w:val="18"/>
        </w:rPr>
        <w:fldChar w:fldCharType="begin"/>
      </w:r>
      <w:r w:rsidR="00897937">
        <w:rPr>
          <w:rFonts w:eastAsia="Adobe Myungjo Std M" w:cstheme="minorHAnsi"/>
          <w:szCs w:val="18"/>
        </w:rPr>
        <w:instrText xml:space="preserve"> ADDIN ZOTERO_ITEM CSL_CITATION {"citationID":"4nKU9vhX","properties":{"formattedCitation":"(Hobijn &amp; Franses, 2000)","plainCitation":"(Hobijn &amp; Franses, 2000)","noteIndex":0},"citationItems":[{"id":86,"uris":["http://zotero.org/users/local/9Bu69DCL/items/XKEHKT3M"],"uri":["http://zotero.org/users/local/9Bu69DCL/items/XKEHKT3M"],"itemData":{"id":86,"type":"article-journal","abstract":"[In this paper we examine the extent to which countries are converging in per capita productivity levels. We propose to use cluster analysis in order to allow for the endogenous selection of converging countries. We formally define convergence in a time series analytical context, derive the necessary and sufficient conditions for convergence, and introduce a cluster analytical procedure that distinguishes several convergence clubs by testing for these conditions using a multivariate test for stationarity. We find a large number of relatively small convergence clubs, which suggests that convergence might not be such a widespread phenomenon.]","archive":"JSTOR","container-title":"Journal of Applied Econometrics","ISSN":"08837252, 10991255","issue":"1","page":"59-81","title":"Asymptotically Perfect and Relative Convergence of Productivity","volume":"15","author":[{"family":"Hobijn","given":"Bart"},{"family":"Franses","given":"Philip Hans"}],"issued":{"date-parts":[["2000"]]}}}],"schema":"https://github.com/citation-style-language/schema/raw/master/csl-citation.json"}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Hobijn &amp; Franses </w:t>
      </w:r>
      <w:r w:rsidR="00897937">
        <w:rPr>
          <w:rFonts w:ascii="Calibri" w:hAnsi="Calibri" w:cs="Calibri"/>
        </w:rPr>
        <w:t>(</w:t>
      </w:r>
      <w:r w:rsidR="00897937" w:rsidRPr="00897937">
        <w:rPr>
          <w:rFonts w:ascii="Calibri" w:hAnsi="Calibri" w:cs="Calibri"/>
        </w:rPr>
        <w:t>2000)</w:t>
      </w:r>
      <w:r w:rsidR="00897937">
        <w:rPr>
          <w:rFonts w:eastAsia="Adobe Myungjo Std M" w:cstheme="minorHAnsi"/>
          <w:szCs w:val="18"/>
        </w:rPr>
        <w:fldChar w:fldCharType="end"/>
      </w:r>
      <w:r w:rsidRPr="0009490D">
        <w:rPr>
          <w:rFonts w:eastAsia="Adobe Myungjo Std M" w:cstheme="minorHAnsi"/>
          <w:szCs w:val="18"/>
        </w:rPr>
        <w:t xml:space="preserve">. Furthermore, from the work of </w:t>
      </w:r>
      <w:r w:rsidR="00897937">
        <w:rPr>
          <w:rFonts w:eastAsia="Adobe Myungjo Std M" w:cstheme="minorHAnsi"/>
          <w:szCs w:val="18"/>
        </w:rPr>
        <w:fldChar w:fldCharType="begin"/>
      </w:r>
      <w:r w:rsidR="00897937">
        <w:rPr>
          <w:rFonts w:eastAsia="Adobe Myungjo Std M" w:cstheme="minorHAnsi"/>
          <w:szCs w:val="18"/>
        </w:rPr>
        <w:instrText xml:space="preserve"> ADDIN ZOTERO_ITEM CSL_CITATION {"citationID":"sDe8Xkib","properties":{"formattedCitation":"(Bartkowska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Bartkowska &amp; Riedl </w:t>
      </w:r>
      <w:r w:rsidR="00897937">
        <w:rPr>
          <w:rFonts w:ascii="Calibri" w:hAnsi="Calibri" w:cs="Calibri"/>
        </w:rPr>
        <w:t>(</w:t>
      </w:r>
      <w:r w:rsidR="00897937" w:rsidRPr="00897937">
        <w:rPr>
          <w:rFonts w:ascii="Calibri" w:hAnsi="Calibri" w:cs="Calibri"/>
        </w:rPr>
        <w:t>2012)</w:t>
      </w:r>
      <w:r w:rsidR="00897937">
        <w:rPr>
          <w:rFonts w:eastAsia="Adobe Myungjo Std M" w:cstheme="minorHAnsi"/>
          <w:szCs w:val="18"/>
        </w:rPr>
        <w:fldChar w:fldCharType="end"/>
      </w:r>
      <w:r w:rsidRPr="0009490D">
        <w:rPr>
          <w:rFonts w:eastAsia="Adobe Myungjo Std M" w:cstheme="minorHAnsi"/>
          <w:szCs w:val="18"/>
        </w:rPr>
        <w:t xml:space="preserve"> reveal</w:t>
      </w:r>
      <w:r w:rsidR="00897937">
        <w:rPr>
          <w:rFonts w:eastAsia="Adobe Myungjo Std M" w:cstheme="minorHAnsi"/>
          <w:szCs w:val="18"/>
        </w:rPr>
        <w:t>s</w:t>
      </w:r>
      <w:r w:rsidRPr="0009490D">
        <w:rPr>
          <w:rFonts w:eastAsia="Adobe Myungjo Std M" w:cstheme="minorHAnsi"/>
          <w:szCs w:val="18"/>
        </w:rPr>
        <w:t xml:space="preserve"> that European regions form six separate gr</w:t>
      </w:r>
      <w:r w:rsidR="00897937">
        <w:rPr>
          <w:rFonts w:eastAsia="Adobe Myungjo Std M" w:cstheme="minorHAnsi"/>
          <w:szCs w:val="18"/>
        </w:rPr>
        <w:t>o</w:t>
      </w:r>
      <w:r w:rsidRPr="0009490D">
        <w:rPr>
          <w:rFonts w:eastAsia="Adobe Myungjo Std M" w:cstheme="minorHAnsi"/>
          <w:szCs w:val="18"/>
        </w:rPr>
        <w:t>ups converging to their own steady state paths. Their finding state</w:t>
      </w:r>
      <w:r w:rsidR="00897937">
        <w:rPr>
          <w:rFonts w:eastAsia="Adobe Myungjo Std M" w:cstheme="minorHAnsi"/>
          <w:szCs w:val="18"/>
        </w:rPr>
        <w:t>s</w:t>
      </w:r>
      <w:r w:rsidRPr="0009490D">
        <w:rPr>
          <w:rFonts w:eastAsia="Adobe Myungjo Std M" w:cstheme="minorHAnsi"/>
          <w:szCs w:val="18"/>
        </w:rPr>
        <w:t xml:space="preserve"> that starting conditions such as a region’s initial level of human capital and per capita income, can indeed explain to which club it will belong, hence they conclude that initial condition play a crucial role in determining a region’s equilibrium steady state level.</w:t>
      </w:r>
    </w:p>
    <w:p w14:paraId="0311A825" w14:textId="77777777" w:rsidR="00CC0532" w:rsidRDefault="00CC0532" w:rsidP="00CC0532">
      <w:pPr>
        <w:pStyle w:val="ListParagraph"/>
        <w:ind w:left="709"/>
        <w:rPr>
          <w:rFonts w:ascii="Bookman Old Style" w:eastAsia="Adobe Myungjo Std M" w:hAnsi="Bookman Old Style"/>
          <w:b/>
          <w:szCs w:val="18"/>
        </w:rPr>
      </w:pPr>
    </w:p>
    <w:p w14:paraId="02B74203" w14:textId="64583213" w:rsidR="00760941" w:rsidRDefault="00760941" w:rsidP="00760941">
      <w:pPr>
        <w:pStyle w:val="ListParagraph"/>
        <w:numPr>
          <w:ilvl w:val="1"/>
          <w:numId w:val="2"/>
        </w:numPr>
        <w:ind w:left="1276" w:hanging="556"/>
        <w:rPr>
          <w:rFonts w:ascii="Bookman Old Style" w:eastAsia="Adobe Myungjo Std M" w:hAnsi="Bookman Old Style"/>
          <w:b/>
          <w:szCs w:val="18"/>
        </w:rPr>
      </w:pPr>
      <w:r>
        <w:rPr>
          <w:rFonts w:ascii="Bookman Old Style" w:eastAsia="Adobe Myungjo Std M" w:hAnsi="Bookman Old Style"/>
          <w:b/>
          <w:szCs w:val="18"/>
        </w:rPr>
        <w:t xml:space="preserve"> The contribution to previous studies</w:t>
      </w:r>
    </w:p>
    <w:p w14:paraId="52EDFBC4" w14:textId="0E383B8D" w:rsidR="00511618" w:rsidRDefault="00511618" w:rsidP="00760941">
      <w:pPr>
        <w:pStyle w:val="ListParagraph"/>
        <w:ind w:left="1440"/>
        <w:rPr>
          <w:rFonts w:ascii="Bookman Old Style" w:eastAsia="Adobe Myungjo Std M" w:hAnsi="Bookman Old Style"/>
          <w:b/>
          <w:szCs w:val="18"/>
        </w:rPr>
      </w:pPr>
    </w:p>
    <w:p w14:paraId="27609456" w14:textId="0EF11B5D" w:rsidR="005C61A7" w:rsidRPr="005C61A7" w:rsidRDefault="00760941" w:rsidP="005C61A7">
      <w:pPr>
        <w:pStyle w:val="ListParagraph"/>
        <w:spacing w:line="360" w:lineRule="auto"/>
        <w:ind w:left="709" w:firstLine="11"/>
        <w:jc w:val="both"/>
        <w:rPr>
          <w:rFonts w:eastAsia="Adobe Myungjo Std M" w:cstheme="minorHAnsi"/>
          <w:szCs w:val="18"/>
        </w:rPr>
      </w:pPr>
      <w:r>
        <w:rPr>
          <w:rFonts w:eastAsia="Adobe Myungjo Std M" w:cstheme="minorHAnsi"/>
          <w:szCs w:val="18"/>
        </w:rPr>
        <w:t xml:space="preserve">The present paper brings a huge contribution for the existing literature as none of the studies have analyzed the club convergence of real wages in Indonesia. </w:t>
      </w:r>
      <w:r w:rsidRPr="00401EF8">
        <w:rPr>
          <w:rFonts w:eastAsia="Adobe Myungjo Std M" w:cstheme="minorHAnsi"/>
          <w:szCs w:val="18"/>
        </w:rPr>
        <w:t xml:space="preserve">Previously, there </w:t>
      </w:r>
      <w:r>
        <w:rPr>
          <w:rFonts w:eastAsia="Adobe Myungjo Std M" w:cstheme="minorHAnsi"/>
          <w:szCs w:val="18"/>
        </w:rPr>
        <w:t xml:space="preserve">are several studies examine convergence in Indonesia but mainly focused in GDP per capita and total GDP in each province. </w:t>
      </w:r>
      <w:r w:rsidR="00BD1AEE">
        <w:rPr>
          <w:rFonts w:eastAsia="Adobe Myungjo Std M" w:cstheme="minorHAnsi"/>
          <w:szCs w:val="18"/>
        </w:rPr>
        <w:t xml:space="preserve">The </w:t>
      </w:r>
      <w:r>
        <w:rPr>
          <w:rFonts w:eastAsia="Adobe Myungjo Std M" w:cstheme="minorHAnsi"/>
          <w:szCs w:val="18"/>
        </w:rPr>
        <w:t xml:space="preserve">study </w:t>
      </w:r>
      <w:r w:rsidR="00BD1AEE">
        <w:rPr>
          <w:rFonts w:eastAsia="Adobe Myungjo Std M" w:cstheme="minorHAnsi"/>
          <w:szCs w:val="18"/>
        </w:rPr>
        <w:t xml:space="preserve">by </w:t>
      </w:r>
      <w:r w:rsidR="00BD1AEE">
        <w:rPr>
          <w:rFonts w:eastAsia="Adobe Myungjo Std M" w:cstheme="minorHAnsi"/>
          <w:szCs w:val="18"/>
        </w:rPr>
        <w:fldChar w:fldCharType="begin"/>
      </w:r>
      <w:r w:rsidR="00BD1AEE">
        <w:rPr>
          <w:rFonts w:eastAsia="Adobe Myungjo Std M" w:cstheme="minorHAnsi"/>
          <w:szCs w:val="18"/>
        </w:rPr>
        <w:instrText xml:space="preserve"> ADDIN ZOTERO_ITEM CSL_CITATION {"citationID":"bHllUWbi","properties":{"formattedCitation":"(Firdaus &amp; Yusop, 2009)","plainCitation":"(Firdaus &amp; Yusop, 2009)","noteIndex":0},"citationItems":[{"id":293,"uris":["http://zotero.org/users/local/9Bu69DCL/items/KXM32HSI"],"uri":["http://zotero.org/users/local/9Bu69DCL/items/KXM32HSI"],"itemData":{"id":293,"type":"article-journal","ISSN":"1823-836X","note":"publisher: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Pr>
          <w:rFonts w:eastAsia="Adobe Myungjo Std M" w:cstheme="minorHAnsi"/>
          <w:szCs w:val="18"/>
        </w:rPr>
        <w:t xml:space="preserve">examines income convergence </w:t>
      </w:r>
      <w:r w:rsidRPr="00685869">
        <w:rPr>
          <w:rFonts w:eastAsia="Adobe Myungjo Std M" w:cstheme="minorHAnsi"/>
          <w:szCs w:val="18"/>
        </w:rPr>
        <w:t>among provinces in Indonesia using dynamic panel data approach. The results show that static and dynamic panel data approaches produce different results of convergence patterns.</w:t>
      </w:r>
      <w:r>
        <w:rPr>
          <w:rFonts w:eastAsia="Adobe Myungjo Std M" w:cstheme="minorHAnsi"/>
          <w:szCs w:val="18"/>
        </w:rPr>
        <w:t xml:space="preserve"> Furthermore, their study showed that </w:t>
      </w:r>
      <w:r w:rsidRPr="00685869">
        <w:rPr>
          <w:rFonts w:eastAsia="Adobe Myungjo Std M" w:cstheme="minorHAnsi"/>
          <w:szCs w:val="18"/>
        </w:rPr>
        <w:t>convergence process prevails among provinces in Indon</w:t>
      </w:r>
      <w:r>
        <w:rPr>
          <w:rFonts w:eastAsia="Adobe Myungjo Std M" w:cstheme="minorHAnsi"/>
          <w:szCs w:val="18"/>
        </w:rPr>
        <w:t>esia for the period 1983 – 2003, h</w:t>
      </w:r>
      <w:r w:rsidRPr="00685869">
        <w:rPr>
          <w:rFonts w:eastAsia="Adobe Myungjo Std M" w:cstheme="minorHAnsi"/>
          <w:szCs w:val="18"/>
        </w:rPr>
        <w:t>owever the speed of convergence is relatively very slow (0.29) compared to other studies in developing countries.</w:t>
      </w:r>
      <w:r>
        <w:rPr>
          <w:rFonts w:eastAsia="Adobe Myungjo Std M" w:cstheme="minorHAnsi"/>
          <w:szCs w:val="18"/>
        </w:rPr>
        <w:t xml:space="preserve"> Another study which by</w:t>
      </w:r>
      <w:r w:rsidR="00BD1AEE">
        <w:rPr>
          <w:rFonts w:eastAsia="Adobe Myungjo Std M" w:cstheme="minorHAnsi"/>
          <w:szCs w:val="18"/>
        </w:rPr>
        <w:t xml:space="preserve"> </w:t>
      </w:r>
      <w:r w:rsidR="00BD1AEE">
        <w:rPr>
          <w:rFonts w:eastAsia="Adobe Myungjo Std M" w:cstheme="minorHAnsi"/>
          <w:szCs w:val="18"/>
        </w:rPr>
        <w:fldChar w:fldCharType="begin"/>
      </w:r>
      <w:r w:rsidR="00BD1AEE">
        <w:rPr>
          <w:rFonts w:eastAsia="Adobe Myungjo Std M" w:cstheme="minorHAnsi"/>
          <w:szCs w:val="18"/>
        </w:rPr>
        <w:instrText xml:space="preserve"> ADDIN ZOTERO_ITEM CSL_CITATION {"citationID":"B29HPDtk","properties":{"formattedCitation":"(Kharisma &amp; Saleh, 2013)","plainCitation":"(Kharisma &amp; Saleh, 2013)","noteIndex":0},"citationItems":[{"id":294,"uris":["http://zotero.org/users/local/9Bu69DCL/items/4PQNUTAV"],"uri":["http://zotero.org/users/local/9Bu69DCL/items/4PQNUTAV"],"itemData":{"id":294,"type":"article-journal","container-title":"Journal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BD1AEE">
        <w:rPr>
          <w:rFonts w:eastAsia="Adobe Myungjo Std M" w:cstheme="minorHAnsi"/>
          <w:szCs w:val="18"/>
        </w:rPr>
        <w:t xml:space="preserve"> </w:t>
      </w:r>
      <w:r w:rsidRPr="00EC582C">
        <w:rPr>
          <w:rFonts w:eastAsia="Adobe Myungjo Std M" w:cstheme="minorHAnsi"/>
          <w:szCs w:val="18"/>
        </w:rPr>
        <w:t>try to analyze the income dispersion and test both absolute convergence and conditional convergence of income among 26 provinces in Indonesia during 1984- 2008 using static and dynamic panel data approach. There was a strong indication of the existence of absolute convergence and conditional convergence among 26 provinces in Indonesia during 1984-2008. Thus, there was evidence that the economy of poorer provinces tends to grow faster compared to the more prosperous provinces. The last suggests that there was a tendency to catch up. Based on the system GMM estimation, it is found that the provinces in Java have faster speed of convergence comparatively to those outside Java.</w:t>
      </w:r>
      <w:r>
        <w:rPr>
          <w:rFonts w:eastAsia="Adobe Myungjo Std M" w:cstheme="minorHAnsi"/>
          <w:szCs w:val="18"/>
        </w:rPr>
        <w:t xml:space="preserve"> </w:t>
      </w:r>
      <w:r w:rsidRPr="005C61A7">
        <w:rPr>
          <w:rFonts w:eastAsia="Adobe Myungjo Std M" w:cstheme="minorHAnsi"/>
          <w:szCs w:val="18"/>
        </w:rPr>
        <w:t>Meanwhile another study conducting 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BD1AEE" w:rsidRPr="005C61A7">
        <w:rPr>
          <w:rFonts w:eastAsia="Adobe Myungjo Std M" w:cstheme="minorHAnsi"/>
          <w:szCs w:val="18"/>
        </w:rPr>
        <w:instrText xml:space="preserve"> ADDIN ZOTERO_ITEM CSL_CITATION {"citationID":"zMOnYtsY","properties":{"formattedCitation":"(Vidyattama, 2006)","plainCitation":"(Vidyattama, 2006)","noteIndex":0},"citationItems":[{"id":295,"uris":["http://zotero.org/users/local/9Bu69DCL/items/A2XTHMPE"],"uri":["http://zotero.org/users/local/9Bu69DCL/items/A2XTHMPE"],"itemData":{"id":295,"type":"article-journal","container-title":"Economics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Pr="005C61A7">
        <w:rPr>
          <w:rFonts w:eastAsia="Adobe Myungjo Std M" w:cstheme="minorHAnsi"/>
          <w:szCs w:val="18"/>
        </w:rPr>
        <w:t xml:space="preserve"> tr</w:t>
      </w:r>
      <w:r w:rsidR="00BD1AEE" w:rsidRPr="005C61A7">
        <w:rPr>
          <w:rFonts w:eastAsia="Adobe Myungjo Std M" w:cstheme="minorHAnsi"/>
          <w:szCs w:val="18"/>
        </w:rPr>
        <w:t>ies</w:t>
      </w:r>
      <w:r w:rsidRPr="005C61A7">
        <w:rPr>
          <w:rFonts w:eastAsia="Adobe Myungjo Std M" w:cstheme="minorHAnsi"/>
          <w:szCs w:val="18"/>
        </w:rPr>
        <w:t xml:space="preserve"> to examine the pattern of inequality and convergence of Indonesia’s regional income since the 1970’s. It shows the pattern has been affected by a few major changes in Indonesian policies and economic development, including macroeconomic conditions and structural change. </w:t>
      </w:r>
      <w:r w:rsidR="005C61A7">
        <w:rPr>
          <w:rFonts w:eastAsia="Adobe Myungjo Std M" w:cstheme="minorHAnsi"/>
          <w:szCs w:val="18"/>
        </w:rPr>
        <w:t xml:space="preserve">The most recent study on regional income convergence in Indonesia has been conducted by </w:t>
      </w:r>
      <w:r w:rsidR="005C61A7">
        <w:rPr>
          <w:rFonts w:eastAsia="Adobe Myungjo Std M" w:cstheme="minorHAnsi"/>
          <w:szCs w:val="18"/>
        </w:rPr>
        <w:fldChar w:fldCharType="begin"/>
      </w:r>
      <w:r w:rsidR="005C61A7">
        <w:rPr>
          <w:rFonts w:eastAsia="Adobe Myungjo Std M" w:cstheme="minorHAnsi"/>
          <w:szCs w:val="18"/>
        </w:rPr>
        <w:instrText xml:space="preserve"> ADDIN ZOTERO_ITEM CSL_CITATION {"citationID":"7AYGLXtf","properties":{"formattedCitation":"(Aginta et al., 2020)","plainCitation":"(Aginta et al., 2020)","noteIndex":0},"citationItems":[{"id":296,"uris":["http://zotero.org/users/local/9Bu69DCL/items/DTVQE7E9"],"uri":["http://zotero.org/users/local/9Bu69DCL/items/DTVQE7E9"],"itemData":{"id":296,"type":"article-journal","container-title":"Journal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5C61A7">
        <w:rPr>
          <w:rFonts w:eastAsia="Adobe Myungjo Std M" w:cstheme="minorHAnsi"/>
          <w:szCs w:val="18"/>
        </w:rPr>
        <w:fldChar w:fldCharType="separate"/>
      </w:r>
      <w:r w:rsidR="005C61A7" w:rsidRPr="005C61A7">
        <w:rPr>
          <w:rFonts w:ascii="Calibri" w:hAnsi="Calibri" w:cs="Calibri"/>
        </w:rPr>
        <w:t xml:space="preserve">Aginta et al. </w:t>
      </w:r>
      <w:r w:rsidR="005C61A7">
        <w:rPr>
          <w:rFonts w:ascii="Calibri" w:hAnsi="Calibri" w:cs="Calibri"/>
        </w:rPr>
        <w:t>(</w:t>
      </w:r>
      <w:r w:rsidR="005C61A7" w:rsidRPr="005C61A7">
        <w:rPr>
          <w:rFonts w:ascii="Calibri" w:hAnsi="Calibri" w:cs="Calibri"/>
        </w:rPr>
        <w:t>2020)</w:t>
      </w:r>
      <w:r w:rsidR="005C61A7">
        <w:rPr>
          <w:rFonts w:eastAsia="Adobe Myungjo Std M" w:cstheme="minorHAnsi"/>
          <w:szCs w:val="18"/>
        </w:rPr>
        <w:fldChar w:fldCharType="end"/>
      </w:r>
      <w:r w:rsidR="005C61A7">
        <w:rPr>
          <w:rFonts w:eastAsia="Adobe Myungjo Std M" w:cstheme="minorHAnsi"/>
          <w:szCs w:val="18"/>
        </w:rPr>
        <w:t xml:space="preserve">. </w:t>
      </w:r>
      <w:r w:rsidR="005C61A7">
        <w:rPr>
          <w:rFonts w:eastAsia="Adobe Myungjo Std M" w:cstheme="minorHAnsi"/>
          <w:szCs w:val="18"/>
        </w:rPr>
        <w:lastRenderedPageBreak/>
        <w:t xml:space="preserve">Analyzing income per capita across 514 Indonesian districts from 2000-2017 using club convergence framework, they conform the lack of convergence in per capita income during post-decentralization era.  </w:t>
      </w:r>
    </w:p>
    <w:p w14:paraId="53E16A33" w14:textId="616FF3E0" w:rsidR="00511618" w:rsidRPr="00760941" w:rsidRDefault="00760941" w:rsidP="00760941">
      <w:pPr>
        <w:pStyle w:val="ListParagraph"/>
        <w:spacing w:line="360" w:lineRule="auto"/>
        <w:ind w:left="709" w:firstLineChars="322" w:firstLine="708"/>
        <w:jc w:val="both"/>
        <w:rPr>
          <w:rFonts w:eastAsia="Adobe Myungjo Std M" w:cstheme="minorHAnsi"/>
          <w:szCs w:val="18"/>
        </w:rPr>
      </w:pPr>
      <w:r>
        <w:rPr>
          <w:rFonts w:eastAsia="Adobe Myungjo Std M" w:cstheme="minorHAnsi"/>
          <w:szCs w:val="18"/>
        </w:rPr>
        <w:t xml:space="preserve">On the other hand, there is a study that using club formation methodology which similar to this paper but has different object. </w:t>
      </w:r>
      <w:r w:rsidR="003315B4">
        <w:rPr>
          <w:rFonts w:eastAsia="Adobe Myungjo Std M" w:cstheme="minorHAnsi"/>
          <w:szCs w:val="18"/>
        </w:rPr>
        <w:fldChar w:fldCharType="begin"/>
      </w:r>
      <w:r w:rsidR="003315B4">
        <w:rPr>
          <w:rFonts w:eastAsia="Adobe Myungjo Std M" w:cstheme="minorHAnsi"/>
          <w:szCs w:val="18"/>
        </w:rPr>
        <w:instrText xml:space="preserve"> ADDIN ZOTERO_ITEM CSL_CITATION {"citationID":"MrVQW0xM","properties":{"formattedCitation":"(Aginta,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3315B4">
        <w:rPr>
          <w:rFonts w:eastAsia="Adobe Myungjo Std M" w:cstheme="minorHAnsi"/>
          <w:szCs w:val="18"/>
        </w:rPr>
        <w:fldChar w:fldCharType="separate"/>
      </w:r>
      <w:r w:rsidR="003315B4" w:rsidRPr="003315B4">
        <w:rPr>
          <w:rFonts w:ascii="Calibri" w:hAnsi="Calibri" w:cs="Calibri"/>
        </w:rPr>
        <w:t xml:space="preserve">Aginta </w:t>
      </w:r>
      <w:r w:rsidR="003315B4">
        <w:rPr>
          <w:rFonts w:ascii="Calibri" w:hAnsi="Calibri" w:cs="Calibri"/>
        </w:rPr>
        <w:t>(</w:t>
      </w:r>
      <w:r w:rsidR="003315B4" w:rsidRPr="003315B4">
        <w:rPr>
          <w:rFonts w:ascii="Calibri" w:hAnsi="Calibri" w:cs="Calibri"/>
        </w:rPr>
        <w:t>2021)</w:t>
      </w:r>
      <w:r w:rsidR="003315B4">
        <w:rPr>
          <w:rFonts w:eastAsia="Adobe Myungjo Std M" w:cstheme="minorHAnsi"/>
          <w:szCs w:val="18"/>
        </w:rPr>
        <w:fldChar w:fldCharType="end"/>
      </w:r>
      <w:r>
        <w:rPr>
          <w:rFonts w:eastAsia="Adobe Myungjo Std M" w:cstheme="minorHAnsi"/>
          <w:szCs w:val="18"/>
        </w:rPr>
        <w:t xml:space="preserve"> identif</w:t>
      </w:r>
      <w:r w:rsidR="003315B4">
        <w:rPr>
          <w:rFonts w:eastAsia="Adobe Myungjo Std M" w:cstheme="minorHAnsi"/>
          <w:szCs w:val="18"/>
        </w:rPr>
        <w:t>ies</w:t>
      </w:r>
      <w:r>
        <w:rPr>
          <w:rFonts w:eastAsia="Adobe Myungjo Std M" w:cstheme="minorHAnsi"/>
          <w:szCs w:val="18"/>
        </w:rPr>
        <w:t xml:space="preserve"> convergence clubs in regional price across 34 provinces in Indonesia and investigate conditioning factors of club formation. </w:t>
      </w:r>
      <w:r w:rsidR="003315B4">
        <w:rPr>
          <w:rFonts w:eastAsia="Adobe Myungjo Std M" w:cstheme="minorHAnsi"/>
          <w:szCs w:val="18"/>
        </w:rPr>
        <w:t>His</w:t>
      </w:r>
      <w:r>
        <w:rPr>
          <w:rFonts w:eastAsia="Adobe Myungjo Std M" w:cstheme="minorHAnsi"/>
          <w:szCs w:val="18"/>
        </w:rPr>
        <w:t xml:space="preserve"> study analyzes regional monthly consumer price data from January 2012 to December 2019 with club convergence test and show</w:t>
      </w:r>
      <w:r w:rsidR="003315B4">
        <w:rPr>
          <w:rFonts w:eastAsia="Adobe Myungjo Std M" w:cstheme="minorHAnsi"/>
          <w:szCs w:val="18"/>
        </w:rPr>
        <w:t>s</w:t>
      </w:r>
      <w:r>
        <w:rPr>
          <w:rFonts w:eastAsia="Adobe Myungjo Std M" w:cstheme="minorHAnsi"/>
          <w:szCs w:val="18"/>
        </w:rPr>
        <w:t xml:space="preserve"> that regional consumer price does not converge into a single universal equilibrium. Instead, there are four convergence clubs identified. </w:t>
      </w:r>
      <w:r>
        <w:rPr>
          <w:noProof/>
        </w:rPr>
        <w:t>As conclusion, to the best of our knowlegde, none of previous studies investigates club of wage convergence in Indinesia. The present article fills this research gap with its attempt to reveal the determining factors of wage convergence clubs identified endogenously by club convergence test.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5BC9F927" w:rsidR="00F04063"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Conceptual framework of club convergence</w:t>
      </w:r>
    </w:p>
    <w:p w14:paraId="038EB669" w14:textId="77777777" w:rsidR="00F06AAD" w:rsidRDefault="00F06AAD" w:rsidP="00F06AAD">
      <w:pPr>
        <w:pStyle w:val="ListParagraph"/>
        <w:spacing w:line="360" w:lineRule="auto"/>
        <w:jc w:val="both"/>
      </w:pPr>
    </w:p>
    <w:p w14:paraId="5BED68BD" w14:textId="51ED9AA8" w:rsidR="00F06AAD" w:rsidRDefault="00F06AAD" w:rsidP="00F06AAD">
      <w:pPr>
        <w:pStyle w:val="ListParagraph"/>
        <w:spacing w:line="360" w:lineRule="auto"/>
        <w:jc w:val="both"/>
      </w:pPr>
      <w:r w:rsidRPr="00F06AAD">
        <w:t xml:space="preserve">This study closes the research gap in investigating whether </w:t>
      </w:r>
      <w:r w:rsidR="000B2C99">
        <w:t>regional wages</w:t>
      </w:r>
      <w:r w:rsidRPr="00F06AAD">
        <w:t xml:space="preserve"> </w:t>
      </w:r>
      <w:r w:rsidR="000B2C99">
        <w:t>ac</w:t>
      </w:r>
      <w:r w:rsidRPr="00F06AAD">
        <w:t xml:space="preserve">ross Indonesia form a single or multiple common trend by employing the innovative approach of club convergence test developed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As a starting point, the test considers that a panel-data variable, for instance,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F06AAD">
        <w:t xml:space="preserve">, can be decomposed into systematic and transitory component,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Pr="00F06AAD">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sidRPr="00F06AAD">
        <w:t>, respectively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24C784E4" w14:textId="77777777" w:rsidTr="00F06AAD">
        <w:tc>
          <w:tcPr>
            <w:tcW w:w="8080" w:type="dxa"/>
          </w:tcPr>
          <w:p w14:paraId="3954543D" w14:textId="77777777" w:rsidR="00F06AAD" w:rsidRPr="00B627EE" w:rsidRDefault="00194B87"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g</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a</m:t>
                    </m:r>
                  </m:e>
                  <m:sub>
                    <m:r>
                      <m:rPr>
                        <m:sty m:val="bi"/>
                      </m:rPr>
                      <w:rPr>
                        <w:rFonts w:ascii="Cambria Math" w:hAnsi="Cambria Math"/>
                        <w:sz w:val="21"/>
                        <w:szCs w:val="21"/>
                      </w:rPr>
                      <m:t>it</m:t>
                    </m:r>
                  </m:sub>
                </m:sSub>
              </m:oMath>
            </m:oMathPara>
          </w:p>
        </w:tc>
        <w:tc>
          <w:tcPr>
            <w:tcW w:w="567" w:type="dxa"/>
          </w:tcPr>
          <w:p w14:paraId="73307363" w14:textId="77777777" w:rsidR="00F06AAD" w:rsidRPr="00B627EE" w:rsidRDefault="00F06AAD" w:rsidP="00CC2FA0">
            <w:pPr>
              <w:pStyle w:val="BodyText"/>
              <w:tabs>
                <w:tab w:val="left" w:pos="0"/>
              </w:tabs>
              <w:ind w:rightChars="12" w:right="26"/>
              <w:jc w:val="right"/>
              <w:rPr>
                <w:b w:val="0"/>
                <w:sz w:val="21"/>
                <w:szCs w:val="21"/>
              </w:rPr>
            </w:pPr>
            <w:r w:rsidRPr="00B627EE">
              <w:rPr>
                <w:b w:val="0"/>
                <w:sz w:val="21"/>
                <w:szCs w:val="21"/>
              </w:rPr>
              <w:t>(1)</w:t>
            </w:r>
          </w:p>
        </w:tc>
      </w:tr>
    </w:tbl>
    <w:p w14:paraId="347BFE2C" w14:textId="77777777" w:rsidR="00F06AAD" w:rsidRDefault="00F06AAD" w:rsidP="00F06AAD">
      <w:pPr>
        <w:pStyle w:val="BodyText"/>
        <w:ind w:left="720"/>
        <w:jc w:val="both"/>
        <w:rPr>
          <w:b w:val="0"/>
          <w:sz w:val="21"/>
          <w:szCs w:val="21"/>
        </w:rPr>
      </w:pPr>
    </w:p>
    <w:p w14:paraId="2E9BB7A2" w14:textId="7A4391F3" w:rsidR="00F06AAD" w:rsidRPr="00F06AAD" w:rsidRDefault="00F06AAD" w:rsidP="00F06AAD">
      <w:pPr>
        <w:pStyle w:val="BodyText"/>
        <w:ind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Then, in this study, we consider </w:t>
      </w:r>
      <w:r w:rsidR="000B2C99">
        <w:rPr>
          <w:rFonts w:asciiTheme="minorHAnsi" w:eastAsiaTheme="minorEastAsia" w:hAnsiTheme="minorHAnsi" w:cstheme="minorBidi"/>
          <w:b w:val="0"/>
          <w:sz w:val="22"/>
          <w:szCs w:val="22"/>
          <w:lang w:val="en-US"/>
        </w:rPr>
        <w:t xml:space="preserve">wage </w:t>
      </w:r>
      <w:r w:rsidRPr="00F06AAD">
        <w:rPr>
          <w:rFonts w:asciiTheme="minorHAnsi" w:eastAsiaTheme="minorEastAsia" w:hAnsiTheme="minorHAnsi" w:cstheme="minorBidi"/>
          <w:b w:val="0"/>
          <w:sz w:val="22"/>
          <w:szCs w:val="22"/>
          <w:lang w:val="en-US"/>
        </w:rPr>
        <w:t xml:space="preserve">in province </w:t>
      </w:r>
      <w:r w:rsidRPr="000B2C99">
        <w:rPr>
          <w:rFonts w:asciiTheme="minorHAnsi" w:eastAsiaTheme="minorEastAsia" w:hAnsiTheme="minorHAnsi" w:cstheme="minorBidi"/>
          <w:b w:val="0"/>
          <w:i/>
          <w:iCs/>
          <w:sz w:val="22"/>
          <w:szCs w:val="22"/>
          <w:lang w:val="en-US"/>
        </w:rPr>
        <w:t>i</w:t>
      </w:r>
      <w:r w:rsidRPr="00F06AAD">
        <w:rPr>
          <w:rFonts w:asciiTheme="minorHAnsi" w:eastAsiaTheme="minorEastAsia" w:hAnsiTheme="minorHAnsi" w:cstheme="minorBidi"/>
          <w:b w:val="0"/>
          <w:sz w:val="22"/>
          <w:szCs w:val="22"/>
          <w:lang w:val="en-US"/>
        </w:rPr>
        <w:t xml:space="preserve"> at time </w:t>
      </w:r>
      <w:r w:rsidRPr="000B2C99">
        <w:rPr>
          <w:rFonts w:asciiTheme="minorHAnsi" w:eastAsiaTheme="minorEastAsia" w:hAnsiTheme="minorHAnsi" w:cstheme="minorBidi"/>
          <w:b w:val="0"/>
          <w:i/>
          <w:iCs/>
          <w:sz w:val="22"/>
          <w:szCs w:val="22"/>
          <w:lang w:val="en-US"/>
        </w:rPr>
        <w:t>t</w:t>
      </w:r>
      <w:r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follows this process: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71A14D7D" w14:textId="77777777" w:rsidTr="00F06AAD">
        <w:tc>
          <w:tcPr>
            <w:tcW w:w="8080" w:type="dxa"/>
          </w:tcPr>
          <w:p w14:paraId="29481DED" w14:textId="77777777" w:rsidR="00F06AAD" w:rsidRPr="00B627EE" w:rsidRDefault="00194B87"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oMath>
            </m:oMathPara>
          </w:p>
        </w:tc>
        <w:tc>
          <w:tcPr>
            <w:tcW w:w="567" w:type="dxa"/>
          </w:tcPr>
          <w:p w14:paraId="4EB0D9D3" w14:textId="77777777" w:rsidR="00F06AAD" w:rsidRPr="00B627EE" w:rsidRDefault="00F06AAD" w:rsidP="00CC2FA0">
            <w:pPr>
              <w:pStyle w:val="BodyText"/>
              <w:tabs>
                <w:tab w:val="left" w:pos="0"/>
              </w:tabs>
              <w:ind w:rightChars="12" w:right="26"/>
              <w:jc w:val="right"/>
              <w:rPr>
                <w:b w:val="0"/>
                <w:sz w:val="21"/>
                <w:szCs w:val="21"/>
              </w:rPr>
            </w:pPr>
            <w:r w:rsidRPr="00B627EE">
              <w:rPr>
                <w:b w:val="0"/>
                <w:sz w:val="21"/>
                <w:szCs w:val="21"/>
              </w:rPr>
              <w:t>(2)</w:t>
            </w:r>
          </w:p>
        </w:tc>
      </w:tr>
    </w:tbl>
    <w:p w14:paraId="3FEF14B0" w14:textId="77777777" w:rsidR="00F06AAD" w:rsidRDefault="00F06AAD" w:rsidP="00F06AAD">
      <w:pPr>
        <w:pStyle w:val="BodyText"/>
        <w:jc w:val="both"/>
        <w:rPr>
          <w:b w:val="0"/>
          <w:sz w:val="21"/>
          <w:szCs w:val="21"/>
        </w:rPr>
      </w:pPr>
    </w:p>
    <w:p w14:paraId="39450F9B" w14:textId="276DF224"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λ</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a province specific component that interact with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to define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while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the error term. In this setting, a time-varying factor representation contained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can be derived from the conventional panel data representation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77777777" w:rsidR="00F06AAD" w:rsidRPr="00B627EE" w:rsidRDefault="00F06AAD" w:rsidP="00CC2FA0">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num>
                    <m:den>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den>
                  </m:f>
                </m:e>
              </m:d>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77777777" w:rsidR="00F06AAD" w:rsidRPr="00B627EE" w:rsidRDefault="00F06AAD" w:rsidP="00CC2FA0">
            <w:pPr>
              <w:pStyle w:val="BodyText"/>
              <w:tabs>
                <w:tab w:val="left" w:pos="0"/>
              </w:tabs>
              <w:ind w:rightChars="12" w:right="26"/>
              <w:jc w:val="right"/>
              <w:rPr>
                <w:b w:val="0"/>
                <w:sz w:val="21"/>
                <w:szCs w:val="21"/>
              </w:rPr>
            </w:pPr>
            <w:r w:rsidRPr="00B627EE">
              <w:rPr>
                <w:b w:val="0"/>
                <w:sz w:val="21"/>
                <w:szCs w:val="21"/>
              </w:rPr>
              <w:t>(3)</w:t>
            </w:r>
          </w:p>
        </w:tc>
      </w:tr>
    </w:tbl>
    <w:p w14:paraId="66077EC5" w14:textId="77777777" w:rsidR="00F06AAD" w:rsidRDefault="00F06AAD" w:rsidP="00F06AAD">
      <w:pPr>
        <w:pStyle w:val="BodyText"/>
        <w:jc w:val="both"/>
        <w:rPr>
          <w:b w:val="0"/>
          <w:sz w:val="21"/>
          <w:szCs w:val="21"/>
        </w:rPr>
      </w:pPr>
    </w:p>
    <w:p w14:paraId="3D0C85AF" w14:textId="1B904868"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indicates province-specific component and is allowed to have a random component, which absorbs error term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and thus representing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w:t>
      </w:r>
      <w:r w:rsidRPr="00F06AAD">
        <w:rPr>
          <w:rFonts w:asciiTheme="minorHAnsi" w:eastAsiaTheme="minorEastAsia" w:hAnsiTheme="minorHAnsi" w:cstheme="minorBidi"/>
          <w:b w:val="0"/>
          <w:sz w:val="22"/>
          <w:szCs w:val="22"/>
          <w:lang w:val="en-US"/>
        </w:rPr>
        <w:lastRenderedPageBreak/>
        <w:t xml:space="preserve">represents the aggregated common behavior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Intuitively,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describes each province’s transition path towards its equilibrium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refers a hypothesized equilibrium that is common to all provinces. More formally, equation 3 is a dynamic factor model where the transition path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towards its own equilibrium is explained by a factor loading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that represents the difference between the observed variable,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a hypothesized common path of </w:t>
      </w:r>
      <w:r w:rsidR="000B2C99">
        <w:rPr>
          <w:rFonts w:asciiTheme="minorHAnsi" w:eastAsiaTheme="minorEastAsia" w:hAnsiTheme="minorHAnsi" w:cstheme="minorBidi"/>
          <w:b w:val="0"/>
          <w:sz w:val="22"/>
          <w:szCs w:val="22"/>
          <w:lang w:val="en-US"/>
        </w:rPr>
        <w:t>wage</w:t>
      </w:r>
      <w:r w:rsidRPr="00F06AAD">
        <w:rPr>
          <w:rFonts w:asciiTheme="minorHAnsi" w:eastAsiaTheme="minorEastAsia" w:hAnsiTheme="minorHAnsi" w:cstheme="minorBidi"/>
          <w:b w:val="0"/>
          <w:sz w:val="22"/>
          <w:szCs w:val="22"/>
          <w:lang w:val="en-US"/>
        </w:rPr>
        <w:t xml:space="preserve"> movements,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w:t>
      </w:r>
    </w:p>
    <w:p w14:paraId="24716CE2" w14:textId="77777777" w:rsidR="00F06AAD" w:rsidRPr="00F06AAD" w:rsidRDefault="00F06AAD" w:rsidP="00F06AAD">
      <w:pPr>
        <w:pStyle w:val="BodyText"/>
        <w:spacing w:line="360" w:lineRule="auto"/>
        <w:ind w:left="720"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Next, according to </w:t>
      </w:r>
      <w:r w:rsidRPr="00F06AAD">
        <w:rPr>
          <w:rFonts w:asciiTheme="minorHAnsi" w:eastAsiaTheme="minorEastAsia" w:hAnsiTheme="minorHAnsi" w:cstheme="minorBidi"/>
          <w:b w:val="0"/>
          <w:sz w:val="22"/>
          <w:szCs w:val="22"/>
          <w:lang w:val="en-US"/>
        </w:rPr>
        <w:fldChar w:fldCharType="begin"/>
      </w:r>
      <w:r w:rsidRPr="00F06AAD">
        <w:rPr>
          <w:rFonts w:asciiTheme="minorHAnsi" w:eastAsiaTheme="minorEastAsia" w:hAnsiTheme="minorHAnsi" w:cstheme="minorBidi"/>
          <w:b w:val="0"/>
          <w:sz w:val="22"/>
          <w:szCs w:val="22"/>
          <w:lang w:val="en-US"/>
        </w:rPr>
        <w:instrText xml:space="preserve"> ADDIN ZOTERO_ITEM CSL_CITATION {"citationID":"ZsRPohIT","properties":{"formattedCitation":"(Phillips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rPr>
          <w:rFonts w:asciiTheme="minorHAnsi" w:eastAsiaTheme="minorEastAsia" w:hAnsiTheme="minorHAnsi" w:cstheme="minorBidi"/>
          <w:b w:val="0"/>
          <w:sz w:val="22"/>
          <w:szCs w:val="22"/>
          <w:lang w:val="en-US"/>
        </w:rPr>
        <w:fldChar w:fldCharType="separate"/>
      </w:r>
      <w:r w:rsidRPr="00F06AAD">
        <w:rPr>
          <w:rFonts w:asciiTheme="minorHAnsi" w:eastAsiaTheme="minorEastAsia" w:hAnsiTheme="minorHAnsi" w:cstheme="minorBidi"/>
          <w:b w:val="0"/>
          <w:sz w:val="22"/>
          <w:szCs w:val="22"/>
          <w:lang w:val="en-US"/>
        </w:rPr>
        <w:t>Phillips &amp; Sul (2007)</w:t>
      </w:r>
      <w:r w:rsidRPr="00F06AAD">
        <w:rPr>
          <w:rFonts w:asciiTheme="minorHAnsi" w:eastAsiaTheme="minorEastAsia" w:hAnsiTheme="minorHAnsi" w:cstheme="minorBidi"/>
          <w:b w:val="0"/>
          <w:sz w:val="22"/>
          <w:szCs w:val="22"/>
          <w:lang w:val="en-US"/>
        </w:rPr>
        <w:fldChar w:fldCharType="end"/>
      </w:r>
      <w:r w:rsidRPr="00F06AAD">
        <w:rPr>
          <w:rFonts w:asciiTheme="minorHAnsi" w:eastAsiaTheme="minorEastAsia" w:hAnsiTheme="minorHAnsi" w:cstheme="minorBidi"/>
          <w:b w:val="0"/>
          <w:sz w:val="22"/>
          <w:szCs w:val="22"/>
          <w:lang w:val="en-US"/>
        </w:rPr>
        <w:t xml:space="preserve">, we may characterize the dynamics of the idiosyncratic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the following semi-parametric specification: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CC2FA0">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77777777" w:rsidR="00E1186E" w:rsidRPr="00B627EE" w:rsidRDefault="00E1186E" w:rsidP="00CC2FA0">
            <w:pPr>
              <w:pStyle w:val="BodyText"/>
              <w:tabs>
                <w:tab w:val="left" w:pos="0"/>
              </w:tabs>
              <w:ind w:rightChars="12" w:right="26"/>
              <w:jc w:val="right"/>
              <w:rPr>
                <w:b w:val="0"/>
                <w:sz w:val="21"/>
                <w:szCs w:val="21"/>
              </w:rPr>
            </w:pPr>
            <w:r w:rsidRPr="00B627EE">
              <w:rPr>
                <w:b w:val="0"/>
                <w:sz w:val="21"/>
                <w:szCs w:val="21"/>
              </w:rPr>
              <w:t>(4)</w:t>
            </w:r>
          </w:p>
        </w:tc>
      </w:tr>
    </w:tbl>
    <w:p w14:paraId="72110C51" w14:textId="77777777" w:rsidR="00E1186E" w:rsidRDefault="00E1186E" w:rsidP="00E1186E">
      <w:pPr>
        <w:pStyle w:val="BodyText"/>
        <w:jc w:val="both"/>
        <w:rPr>
          <w:b w:val="0"/>
          <w:sz w:val="21"/>
          <w:szCs w:val="21"/>
        </w:rPr>
      </w:pPr>
    </w:p>
    <w:p w14:paraId="7F434B90" w14:textId="654D9D52"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refers to the time-independent province heterogeneity,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a time-dependent process with mean 0 and variance 1 across provinces.</w:t>
      </w:r>
      <w:r w:rsidR="00E1186E">
        <w:rPr>
          <w:rFonts w:asciiTheme="minorHAnsi" w:eastAsiaTheme="minorEastAsia" w:hAnsiTheme="minorHAnsi" w:cstheme="minorBidi" w:hint="eastAsia"/>
          <w:b w:val="0"/>
          <w:sz w:val="22"/>
          <w:szCs w:val="22"/>
          <w:lang w:val="en-US"/>
        </w:rPr>
        <w:t xml:space="preserve"> </w:t>
      </w:r>
      <w:r w:rsidRPr="00E1186E">
        <w:rPr>
          <w:rFonts w:asciiTheme="minorHAnsi" w:eastAsiaTheme="minorEastAsia" w:hAnsiTheme="minorHAnsi" w:cstheme="minorBidi"/>
          <w:b w:val="0"/>
          <w:sz w:val="22"/>
          <w:szCs w:val="22"/>
          <w:lang w:val="en-US"/>
        </w:rPr>
        <w:t>Under equation 4, convergence occurs when all provinces move to the same transition path:</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77777777" w:rsidR="00E1186E" w:rsidRPr="00B627EE" w:rsidRDefault="00E1186E" w:rsidP="00CC2FA0">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=δ</m:t>
              </m:r>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77777777" w:rsidR="00E1186E" w:rsidRPr="00B627EE" w:rsidRDefault="00E1186E" w:rsidP="00CC2FA0">
            <w:pPr>
              <w:pStyle w:val="BodyText"/>
              <w:tabs>
                <w:tab w:val="left" w:pos="0"/>
              </w:tabs>
              <w:ind w:rightChars="12" w:right="26"/>
              <w:jc w:val="right"/>
              <w:rPr>
                <w:b w:val="0"/>
                <w:sz w:val="21"/>
                <w:szCs w:val="21"/>
              </w:rPr>
            </w:pPr>
            <w:r w:rsidRPr="00B627EE">
              <w:rPr>
                <w:b w:val="0"/>
                <w:sz w:val="21"/>
                <w:szCs w:val="21"/>
              </w:rPr>
              <w:t>(5)</w:t>
            </w:r>
          </w:p>
        </w:tc>
      </w:tr>
    </w:tbl>
    <w:p w14:paraId="3233CD16" w14:textId="77777777" w:rsidR="00E1186E" w:rsidRDefault="00E1186E" w:rsidP="00E1186E">
      <w:pPr>
        <w:pStyle w:val="BodyText"/>
        <w:jc w:val="both"/>
        <w:rPr>
          <w:b w:val="0"/>
          <w:sz w:val="21"/>
          <w:szCs w:val="21"/>
        </w:rPr>
      </w:pPr>
    </w:p>
    <w:p w14:paraId="37BB61F0" w14:textId="7FD1E464"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Equation 5 is thus the null hypothesis of convergence. To estimate the transition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a relative transition parameter,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CC2FA0">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77777777" w:rsidR="00E1186E" w:rsidRPr="00B627EE" w:rsidRDefault="00E1186E" w:rsidP="00CC2FA0">
            <w:pPr>
              <w:pStyle w:val="BodyText"/>
              <w:tabs>
                <w:tab w:val="left" w:pos="0"/>
              </w:tabs>
              <w:ind w:rightChars="12" w:right="26"/>
              <w:jc w:val="right"/>
              <w:rPr>
                <w:b w:val="0"/>
                <w:sz w:val="21"/>
                <w:szCs w:val="21"/>
              </w:rPr>
            </w:pPr>
            <w:r w:rsidRPr="00B627EE">
              <w:rPr>
                <w:b w:val="0"/>
                <w:sz w:val="21"/>
                <w:szCs w:val="21"/>
              </w:rPr>
              <w:t>(6)</w:t>
            </w:r>
          </w:p>
        </w:tc>
      </w:tr>
    </w:tbl>
    <w:p w14:paraId="53E06664" w14:textId="77777777" w:rsidR="00E1186E" w:rsidRDefault="00E1186E" w:rsidP="00E1186E">
      <w:pPr>
        <w:pStyle w:val="BodyText"/>
        <w:jc w:val="both"/>
        <w:rPr>
          <w:b w:val="0"/>
          <w:sz w:val="21"/>
          <w:szCs w:val="21"/>
        </w:rPr>
      </w:pPr>
    </w:p>
    <w:p w14:paraId="23006A4F" w14:textId="2A19445C" w:rsidR="00F06AAD"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a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in equation 2 and 3 is eliminated by dividing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with the panel average. Thus,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represents the transition path of province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against cross-sectional average, referring to distinctive behavio</w:t>
      </w:r>
      <w:r w:rsidR="000B2C99">
        <w:rPr>
          <w:rFonts w:asciiTheme="minorHAnsi" w:eastAsiaTheme="minorEastAsia" w:hAnsiTheme="minorHAnsi" w:cstheme="minorBidi"/>
          <w:b w:val="0"/>
          <w:sz w:val="22"/>
          <w:szCs w:val="22"/>
          <w:lang w:val="en-US"/>
        </w:rPr>
        <w:t xml:space="preserve">r </w:t>
      </w:r>
      <w:r w:rsidRPr="00E1186E">
        <w:rPr>
          <w:rFonts w:asciiTheme="minorHAnsi" w:eastAsiaTheme="minorEastAsia" w:hAnsiTheme="minorHAnsi" w:cstheme="minorBidi"/>
          <w:b w:val="0"/>
          <w:sz w:val="22"/>
          <w:szCs w:val="22"/>
          <w:lang w:val="en-US"/>
        </w:rPr>
        <w:t xml:space="preserve">of a particular province relative to others. In the state of convergence,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that varies across provinces moves toward a common transition path in the long-run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Pr="00E1186E">
        <w:rPr>
          <w:rFonts w:asciiTheme="minorHAnsi" w:eastAsiaTheme="minorEastAsia" w:hAnsiTheme="minorHAnsi" w:cstheme="minorBidi"/>
          <w:b w:val="0"/>
          <w:sz w:val="22"/>
          <w:szCs w:val="22"/>
          <w:lang w:val="en-US"/>
        </w:rPr>
        <w:t xml:space="preserve">, when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The notion of convergence defined in equation 5 is then reformulated into the following equation that describe 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77777777" w:rsidR="00E1186E" w:rsidRPr="00B627EE" w:rsidRDefault="00E1186E" w:rsidP="00CC2FA0">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m:t>
              </m:r>
            </m:oMath>
          </w:p>
        </w:tc>
        <w:tc>
          <w:tcPr>
            <w:tcW w:w="567" w:type="dxa"/>
          </w:tcPr>
          <w:p w14:paraId="75BE135A" w14:textId="77777777" w:rsidR="00E1186E" w:rsidRPr="00B627EE" w:rsidRDefault="00E1186E" w:rsidP="00CC2FA0">
            <w:pPr>
              <w:pStyle w:val="BodyText"/>
              <w:tabs>
                <w:tab w:val="left" w:pos="0"/>
              </w:tabs>
              <w:ind w:rightChars="12" w:right="26"/>
              <w:jc w:val="right"/>
              <w:rPr>
                <w:b w:val="0"/>
                <w:sz w:val="21"/>
                <w:szCs w:val="21"/>
              </w:rPr>
            </w:pPr>
            <w:r w:rsidRPr="00B627EE">
              <w:rPr>
                <w:b w:val="0"/>
                <w:sz w:val="21"/>
                <w:szCs w:val="21"/>
              </w:rPr>
              <w:t>(7)</w:t>
            </w:r>
          </w:p>
        </w:tc>
      </w:tr>
    </w:tbl>
    <w:p w14:paraId="38711A2D" w14:textId="77777777"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the cross-sectional variance converges to zero,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0.</w:t>
      </w:r>
    </w:p>
    <w:p w14:paraId="6606137A" w14:textId="77777777" w:rsidR="00F06AAD" w:rsidRPr="00E1186E" w:rsidRDefault="00F06AAD"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The null hypothesis in equation 5 is verified in counter to the alternative hypothesis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 xml:space="preserve">. Finally, </w:t>
      </w:r>
      <w:r w:rsidRPr="00E1186E">
        <w:rPr>
          <w:rFonts w:asciiTheme="minorHAnsi" w:eastAsiaTheme="minorEastAsia" w:hAnsiTheme="minorHAnsi" w:cstheme="minorBidi"/>
          <w:b w:val="0"/>
          <w:sz w:val="22"/>
          <w:szCs w:val="22"/>
          <w:lang w:val="en-US"/>
        </w:rPr>
        <w:fldChar w:fldCharType="begin"/>
      </w:r>
      <w:r w:rsidRPr="00E1186E">
        <w:rPr>
          <w:rFonts w:asciiTheme="minorHAnsi" w:eastAsiaTheme="minorEastAsia" w:hAnsiTheme="minorHAnsi" w:cstheme="minorBidi"/>
          <w:b w:val="0"/>
          <w:sz w:val="22"/>
          <w:szCs w:val="22"/>
          <w:lang w:val="en-US"/>
        </w:rPr>
        <w:instrText xml:space="preserve"> ADDIN ZOTERO_ITEM CSL_CITATION {"citationID":"ECmCo6ma","properties":{"formattedCitation":"(Phillips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E1186E">
        <w:rPr>
          <w:rFonts w:asciiTheme="minorHAnsi" w:eastAsiaTheme="minorEastAsia" w:hAnsiTheme="minorHAnsi" w:cstheme="minorBidi"/>
          <w:b w:val="0"/>
          <w:sz w:val="22"/>
          <w:szCs w:val="22"/>
          <w:lang w:val="en-US"/>
        </w:rPr>
        <w:fldChar w:fldCharType="separate"/>
      </w:r>
      <w:r w:rsidRPr="00E1186E">
        <w:rPr>
          <w:rFonts w:asciiTheme="minorHAnsi" w:eastAsiaTheme="minorEastAsia" w:hAnsiTheme="minorHAnsi" w:cstheme="minorBidi"/>
          <w:b w:val="0"/>
          <w:sz w:val="22"/>
          <w:szCs w:val="22"/>
          <w:lang w:val="en-US"/>
        </w:rPr>
        <w:t>Phillips &amp; Sul (2007)</w:t>
      </w:r>
      <w:r w:rsidRPr="00E1186E">
        <w:rPr>
          <w:rFonts w:asciiTheme="minorHAnsi" w:eastAsiaTheme="minorEastAsia" w:hAnsiTheme="minorHAnsi" w:cstheme="minorBidi"/>
          <w:b w:val="0"/>
          <w:sz w:val="22"/>
          <w:szCs w:val="22"/>
          <w:lang w:val="en-US"/>
        </w:rPr>
        <w:fldChar w:fldCharType="end"/>
      </w:r>
      <w:r w:rsidRPr="00E1186E">
        <w:rPr>
          <w:rFonts w:asciiTheme="minorHAnsi" w:eastAsiaTheme="minorEastAsia" w:hAnsiTheme="minorHAnsi" w:cstheme="minorBidi"/>
          <w:b w:val="0"/>
          <w:sz w:val="22"/>
          <w:szCs w:val="22"/>
          <w:lang w:val="en-US"/>
        </w:rPr>
        <w:t xml:space="preserve"> empirically evaluate this null hypothesis by using the following log t regression model:</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777777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r&gt;0</m:t>
                  </m:r>
                </m:e>
              </m:eqArr>
            </m:oMath>
          </w:p>
        </w:tc>
        <w:tc>
          <w:tcPr>
            <w:tcW w:w="567" w:type="dxa"/>
          </w:tcPr>
          <w:p w14:paraId="52395C03" w14:textId="77777777" w:rsidR="000B2C99" w:rsidRPr="00B627EE" w:rsidRDefault="000B2C99" w:rsidP="00CC2FA0">
            <w:pPr>
              <w:pStyle w:val="BodyText"/>
              <w:tabs>
                <w:tab w:val="left" w:pos="0"/>
              </w:tabs>
              <w:ind w:rightChars="12" w:right="26"/>
              <w:jc w:val="right"/>
              <w:rPr>
                <w:b w:val="0"/>
                <w:sz w:val="21"/>
                <w:szCs w:val="21"/>
              </w:rPr>
            </w:pPr>
            <w:r w:rsidRPr="00B627EE">
              <w:rPr>
                <w:b w:val="0"/>
                <w:sz w:val="21"/>
                <w:szCs w:val="21"/>
              </w:rPr>
              <w:t>(8)</w:t>
            </w:r>
          </w:p>
        </w:tc>
      </w:tr>
    </w:tbl>
    <w:p w14:paraId="7FD7D1AB" w14:textId="77777777" w:rsidR="00E1186E" w:rsidRDefault="00E1186E" w:rsidP="000B2C99">
      <w:pPr>
        <w:pStyle w:val="BodyText"/>
        <w:jc w:val="both"/>
        <w:rPr>
          <w:b w:val="0"/>
          <w:sz w:val="21"/>
          <w:szCs w:val="21"/>
        </w:rPr>
      </w:pPr>
    </w:p>
    <w:p w14:paraId="06AE85BC" w14:textId="52788B00" w:rsidR="00F06AAD" w:rsidRDefault="00F06AAD" w:rsidP="000B2C99">
      <w:pPr>
        <w:pStyle w:val="BodyText"/>
        <w:spacing w:line="360" w:lineRule="auto"/>
        <w:ind w:left="720"/>
        <w:jc w:val="both"/>
        <w:rPr>
          <w:rFonts w:asciiTheme="minorHAnsi" w:eastAsiaTheme="minorEastAsia" w:hAnsiTheme="minorHAnsi" w:cstheme="minorBidi"/>
          <w:b w:val="0"/>
          <w:sz w:val="22"/>
          <w:szCs w:val="22"/>
          <w:lang w:val="en-US"/>
        </w:rPr>
      </w:pPr>
      <w:r w:rsidRPr="000B2C99">
        <w:rPr>
          <w:rFonts w:asciiTheme="minorHAnsi" w:eastAsiaTheme="minorEastAsia" w:hAnsiTheme="minorHAnsi" w:cstheme="minorBidi"/>
          <w:b w:val="0"/>
          <w:sz w:val="22"/>
          <w:szCs w:val="22"/>
          <w:lang w:val="en-US"/>
        </w:rPr>
        <w:lastRenderedPageBreak/>
        <w:t xml:space="preserve">where </w:t>
      </w:r>
      <m:oMath>
        <m:r>
          <m:rPr>
            <m:sty m:val="bi"/>
          </m:rPr>
          <w:rPr>
            <w:rFonts w:ascii="Cambria Math" w:eastAsiaTheme="minorEastAsia" w:hAnsi="Cambria Math" w:cstheme="minorBidi"/>
            <w:sz w:val="22"/>
            <w:szCs w:val="22"/>
            <w:lang w:val="en-US"/>
          </w:rPr>
          <m:t>rT</m:t>
        </m:r>
      </m:oMath>
      <w:r w:rsidRPr="000B2C99">
        <w:rPr>
          <w:rFonts w:asciiTheme="minorHAnsi" w:eastAsiaTheme="minorEastAsia" w:hAnsiTheme="minorHAnsi" w:cstheme="minorBidi"/>
          <w:b w:val="0"/>
          <w:sz w:val="22"/>
          <w:szCs w:val="22"/>
          <w:lang w:val="en-US"/>
        </w:rPr>
        <w:t xml:space="preserve"> is the initial observation in the regression, which impl</w:t>
      </w:r>
      <w:r w:rsidR="001B4288">
        <w:rPr>
          <w:rFonts w:asciiTheme="minorHAnsi" w:eastAsiaTheme="minorEastAsia" w:hAnsiTheme="minorHAnsi" w:cstheme="minorBidi"/>
          <w:b w:val="0"/>
          <w:sz w:val="22"/>
          <w:szCs w:val="22"/>
          <w:lang w:val="en-US"/>
        </w:rPr>
        <w:t>ies</w:t>
      </w:r>
      <w:r w:rsidRPr="000B2C99">
        <w:rPr>
          <w:rFonts w:asciiTheme="minorHAnsi" w:eastAsiaTheme="minorEastAsia" w:hAnsiTheme="minorHAnsi" w:cstheme="minorBidi"/>
          <w:b w:val="0"/>
          <w:sz w:val="22"/>
          <w:szCs w:val="22"/>
          <w:lang w:val="en-US"/>
        </w:rPr>
        <w:t xml:space="preserve"> that the first fraction of the data (that is, </w:t>
      </w:r>
      <m:oMath>
        <m:r>
          <m:rPr>
            <m:sty m:val="bi"/>
          </m:rPr>
          <w:rPr>
            <w:rFonts w:ascii="Cambria Math" w:eastAsiaTheme="minorEastAsia" w:hAnsi="Cambria Math" w:cstheme="minorBidi"/>
            <w:sz w:val="22"/>
            <w:szCs w:val="22"/>
            <w:lang w:val="en-US"/>
          </w:rPr>
          <m:t>r</m:t>
        </m:r>
      </m:oMath>
      <w:r w:rsidRPr="000B2C99">
        <w:rPr>
          <w:rFonts w:asciiTheme="minorHAnsi" w:eastAsiaTheme="minorEastAsia" w:hAnsiTheme="minorHAnsi" w:cstheme="minorBidi"/>
          <w:b w:val="0"/>
          <w:sz w:val="22"/>
          <w:szCs w:val="22"/>
          <w:lang w:val="en-US"/>
        </w:rPr>
        <w:t xml:space="preserve">) is discarded. Based on Monte Carlo experiments, </w:t>
      </w:r>
      <w:r w:rsidRPr="000B2C99">
        <w:rPr>
          <w:rFonts w:asciiTheme="minorHAnsi" w:eastAsiaTheme="minorEastAsia" w:hAnsiTheme="minorHAnsi" w:cstheme="minorBidi"/>
          <w:b w:val="0"/>
          <w:sz w:val="22"/>
          <w:szCs w:val="22"/>
          <w:lang w:val="en-US"/>
        </w:rPr>
        <w:fldChar w:fldCharType="begin"/>
      </w:r>
      <w:r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rPr>
          <w:rFonts w:asciiTheme="minorHAnsi" w:eastAsiaTheme="minorEastAsia" w:hAnsiTheme="minorHAnsi" w:cstheme="minorBidi"/>
          <w:b w:val="0"/>
          <w:sz w:val="22"/>
          <w:szCs w:val="22"/>
          <w:lang w:val="en-US"/>
        </w:rPr>
        <w:fldChar w:fldCharType="separate"/>
      </w:r>
      <w:r w:rsidRPr="000B2C99">
        <w:rPr>
          <w:rFonts w:asciiTheme="minorHAnsi" w:eastAsiaTheme="minorEastAsia" w:hAnsiTheme="minorHAnsi" w:cstheme="minorBidi"/>
          <w:b w:val="0"/>
          <w:sz w:val="22"/>
          <w:szCs w:val="22"/>
          <w:lang w:val="en-US"/>
        </w:rPr>
        <w:t>Phillips &amp; Sul (2007)</w:t>
      </w:r>
      <w:r w:rsidRPr="000B2C99">
        <w:rPr>
          <w:rFonts w:asciiTheme="minorHAnsi" w:eastAsiaTheme="minorEastAsia" w:hAnsiTheme="minorHAnsi" w:cstheme="minorBidi"/>
          <w:b w:val="0"/>
          <w:sz w:val="22"/>
          <w:szCs w:val="22"/>
          <w:lang w:val="en-US"/>
        </w:rPr>
        <w:fldChar w:fldCharType="end"/>
      </w:r>
      <w:r w:rsidRPr="000B2C99">
        <w:rPr>
          <w:rFonts w:asciiTheme="minorHAnsi" w:eastAsiaTheme="minorEastAsia" w:hAnsiTheme="minorHAnsi" w:cstheme="minorBidi"/>
          <w:b w:val="0"/>
          <w:sz w:val="22"/>
          <w:szCs w:val="22"/>
          <w:lang w:val="en-US"/>
        </w:rPr>
        <w:t xml:space="preserve"> suggest to set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sidRPr="000B2C99">
        <w:rPr>
          <w:rFonts w:asciiTheme="minorHAnsi" w:eastAsiaTheme="minorEastAsia" w:hAnsiTheme="minorHAnsi" w:cstheme="minorBidi"/>
          <w:b w:val="0"/>
          <w:sz w:val="22"/>
          <w:szCs w:val="22"/>
          <w:lang w:val="en-US"/>
        </w:rPr>
        <w:t xml:space="preserve"> when the sample is small or moderate </w:t>
      </w:r>
      <m:oMath>
        <m:r>
          <m:rPr>
            <m:sty m:val="bi"/>
          </m:rPr>
          <w:rPr>
            <w:rFonts w:ascii="Cambria Math" w:eastAsiaTheme="minorEastAsia" w:hAnsi="Cambria Math" w:cstheme="minorBidi"/>
            <w:sz w:val="22"/>
            <w:szCs w:val="22"/>
            <w:lang w:val="en-US"/>
          </w:rPr>
          <m:t>T</m:t>
        </m:r>
        <m:r>
          <m:rPr>
            <m:sty m:val="b"/>
          </m:rPr>
          <w:rPr>
            <w:rFonts w:ascii="Cambria Math" w:eastAsiaTheme="minorEastAsia" w:hAnsi="Cambria Math" w:cstheme="minorBidi"/>
            <w:sz w:val="22"/>
            <w:szCs w:val="22"/>
            <w:lang w:val="en-US"/>
          </w:rPr>
          <m:t>≤50</m:t>
        </m:r>
      </m:oMath>
      <w:r w:rsidRPr="000B2C99">
        <w:rPr>
          <w:rFonts w:asciiTheme="minorHAnsi" w:eastAsiaTheme="minorEastAsia" w:hAnsiTheme="minorHAnsi" w:cstheme="minorBidi"/>
          <w:b w:val="0"/>
          <w:sz w:val="22"/>
          <w:szCs w:val="22"/>
          <w:lang w:val="en-US"/>
        </w:rPr>
        <w:t>. A fairly conventional inferential procedure</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is also suggested for equation 8. To be more specific, a one-sided t test with</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 xml:space="preserve">heteroskedasticity-autocorrelation consistent (HAC) standard errors is used. In this setting, the null hypothesis of convergence 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Pr="000B2C99">
        <w:rPr>
          <w:rFonts w:asciiTheme="minorHAnsi" w:eastAsiaTheme="minorEastAsia" w:hAnsiTheme="minorHAnsi" w:cstheme="minorBidi"/>
          <w:b w:val="0"/>
          <w:sz w:val="22"/>
          <w:szCs w:val="22"/>
          <w:lang w:val="en-US"/>
        </w:rPr>
        <w:t xml:space="preserve">. The sign and magnitude of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in equation 8 indicate different convergence patterns;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&lt;</m:t>
        </m:r>
      </m:oMath>
      <w:r w:rsidRPr="000B2C99">
        <w:rPr>
          <w:rFonts w:asciiTheme="minorHAnsi" w:eastAsiaTheme="minorEastAsia" w:hAnsiTheme="minorHAnsi" w:cstheme="minorBidi"/>
          <w:b w:val="0"/>
          <w:sz w:val="22"/>
          <w:szCs w:val="22"/>
          <w:lang w:val="en-US"/>
        </w:rPr>
        <w:t xml:space="preserve"> 0, the model suggests divergence, when </w:t>
      </w:r>
      <m:oMath>
        <m:r>
          <m:rPr>
            <m:sty m:val="b"/>
          </m:rPr>
          <w:rPr>
            <w:rFonts w:ascii="Cambria Math" w:eastAsiaTheme="minorEastAsia" w:hAnsi="Cambria Math" w:cstheme="minorBidi"/>
            <w:sz w:val="22"/>
            <w:szCs w:val="22"/>
            <w:lang w:val="en-US"/>
          </w:rPr>
          <m:t>0≤</m:t>
        </m:r>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growth rates (relative convergence),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levels (absolute convergence). </w:t>
      </w:r>
    </w:p>
    <w:p w14:paraId="098BFEC0" w14:textId="77777777" w:rsidR="000B2C99" w:rsidRPr="000B2C99" w:rsidRDefault="000B2C99" w:rsidP="000B2C99">
      <w:pPr>
        <w:pStyle w:val="BodyText"/>
        <w:spacing w:line="360" w:lineRule="auto"/>
        <w:ind w:left="720"/>
        <w:jc w:val="both"/>
        <w:rPr>
          <w:rFonts w:asciiTheme="minorHAnsi" w:eastAsiaTheme="minorEastAsia" w:hAnsiTheme="minorHAnsi" w:cstheme="minorBidi"/>
          <w:b w:val="0"/>
          <w:sz w:val="22"/>
          <w:szCs w:val="22"/>
          <w:lang w:val="en-US"/>
        </w:rPr>
      </w:pPr>
    </w:p>
    <w:p w14:paraId="30A74F9B" w14:textId="5AB8C538" w:rsidR="00F06AAD"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Identifying convergence clubs</w:t>
      </w:r>
    </w:p>
    <w:p w14:paraId="0EEED498" w14:textId="77777777" w:rsidR="000B2C99" w:rsidRDefault="000B2C99" w:rsidP="000B2C99">
      <w:pPr>
        <w:pStyle w:val="ListParagraph"/>
        <w:spacing w:line="360" w:lineRule="auto"/>
        <w:jc w:val="both"/>
      </w:pPr>
    </w:p>
    <w:p w14:paraId="442C0AA2" w14:textId="4679A59C" w:rsidR="000B2C99" w:rsidRDefault="000B2C99" w:rsidP="000B2C99">
      <w:pPr>
        <w:pStyle w:val="ListParagraph"/>
        <w:spacing w:line="360" w:lineRule="auto"/>
        <w:jc w:val="both"/>
      </w:pPr>
      <w:r w:rsidRPr="000B2C99">
        <w:t xml:space="preserve">Note that even though the null hypothesis of overall convergence in full sample is rejected, it does not necessarily mean that the convergence in the sub sample of the panel is not present. Indeed, perhaps the most appealing feature of the model of equation 8 is its ability to reveal the presence of multiple convergence clubs in sub-sample. In order to do that, </w:t>
      </w:r>
      <w:r w:rsidRPr="000B2C99">
        <w:fldChar w:fldCharType="begin"/>
      </w:r>
      <w:r w:rsidR="00D20F47">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rsidRPr="000B2C99">
        <w:t xml:space="preserve"> suggest an innovative a data-driven algorithm, which can be summarized into four steps (for details see Appendix 1).</w:t>
      </w:r>
    </w:p>
    <w:p w14:paraId="43D9583B" w14:textId="77777777" w:rsidR="000B2C99" w:rsidRPr="000B2C99" w:rsidRDefault="000B2C99" w:rsidP="000B2C99">
      <w:pPr>
        <w:pStyle w:val="ListParagraph"/>
        <w:spacing w:line="360" w:lineRule="auto"/>
        <w:jc w:val="both"/>
      </w:pPr>
    </w:p>
    <w:p w14:paraId="718FD6AC" w14:textId="6E12FBFB" w:rsidR="000B2C99" w:rsidRPr="000B2C99" w:rsidRDefault="00F06AAD" w:rsidP="000B2C99">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Ordered logit model</w:t>
      </w:r>
    </w:p>
    <w:p w14:paraId="6F27D21D" w14:textId="27DF459C" w:rsidR="00B91CDA" w:rsidRDefault="00F04063" w:rsidP="00B91CDA">
      <w:pPr>
        <w:spacing w:after="0" w:line="360" w:lineRule="auto"/>
        <w:ind w:leftChars="321" w:left="706"/>
        <w:jc w:val="both"/>
      </w:pPr>
      <w:r w:rsidRPr="000B2C99">
        <w:t xml:space="preserve">It is clear that the convergence clubs method of </w:t>
      </w:r>
      <w:r w:rsidRPr="000B2C99">
        <w:fldChar w:fldCharType="begin"/>
      </w:r>
      <w:r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estimates the transition paths of each region and then clusters the regions accordingly. Apart of its advantage to endogenously identify convergence clubs, however, this does not provide any information about driving factors of club formation. In fact, understanding the determinants of convergence club formation is important in particular from the policy point of view. For this reason, following </w:t>
      </w:r>
      <w:r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B2C99">
        <w:fldChar w:fldCharType="separate"/>
      </w:r>
      <w:r w:rsidRPr="000B2C99">
        <w:t>Bartkowska and Riedl (2012)</w:t>
      </w:r>
      <w:r w:rsidRPr="000B2C99">
        <w:fldChar w:fldCharType="end"/>
      </w:r>
      <w:r w:rsidRPr="000B2C99">
        <w:t xml:space="preserve">, in this study we conduct ordered logit technique to examine the conditioning factors of convergence clubs formation. Since conditional convergence literatures suggest that structural characteristics play important roles in determining the long-run dynamics, we selected important variables based on theoretical backgrounds that represent province’s characteristics as explanatory variables in ordered logit estimation. </w:t>
      </w:r>
    </w:p>
    <w:p w14:paraId="3D89A114" w14:textId="4F4DC539" w:rsidR="00F04063" w:rsidRPr="000B2C99" w:rsidRDefault="00F04063" w:rsidP="00B91CDA">
      <w:pPr>
        <w:spacing w:after="0" w:line="360" w:lineRule="auto"/>
        <w:ind w:leftChars="327" w:left="719" w:firstLine="697"/>
        <w:jc w:val="both"/>
      </w:pPr>
      <w:r w:rsidRPr="000B2C99">
        <w:t xml:space="preserve">Following the general form of ordered logit model firstly introduced by </w:t>
      </w:r>
      <w:r w:rsidRPr="000B2C99">
        <w:fldChar w:fldCharType="begin"/>
      </w:r>
      <w:r w:rsidR="00D20F47">
        <w:instrText xml:space="preserve"> ADDIN ZOTERO_ITEM CSL_CITATION {"citationID":"N4NGfhPx","properties":{"formattedCitation":"(McKelvey and Zavoina 1975)","plainCitation":"(McKelvey and Zavoina 1975)","dontUpdate":true,"noteIndex":0},"citationItems":[{"id":186,"uris":["http://zotero.org/users/local/9Bu69DCL/items/8RL3W93Y"],"uri":["http://zotero.org/users/local/9Bu69DCL/items/8RL3W93Y"],"itemData":{"id":186,"type":"article-journal","container-title":"Journal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B2C99">
        <w:fldChar w:fldCharType="separate"/>
      </w:r>
      <w:r w:rsidRPr="000B2C99">
        <w:t>McKelvey and Zavoina (1975)</w:t>
      </w:r>
      <w:r w:rsidRPr="000B2C99">
        <w:fldChar w:fldCharType="end"/>
      </w:r>
      <w:r w:rsidRPr="000B2C99">
        <w:t xml:space="preserve">, in this study each region is classified into one unique convergence club, denoted </w:t>
      </w:r>
      <w:r w:rsidRPr="000B2C99">
        <w:lastRenderedPageBreak/>
        <w:t xml:space="preserve">as </w:t>
      </w:r>
      <m:oMath>
        <m:r>
          <m:rPr>
            <m:sty m:val="bi"/>
          </m:rPr>
          <w:rPr>
            <w:rFonts w:ascii="Cambria Math" w:hAnsi="Cambria Math"/>
          </w:rPr>
          <m:t>c</m:t>
        </m:r>
      </m:oMath>
      <w:r w:rsidRPr="000B2C99">
        <w:t xml:space="preserve"> = 1, ..., </w:t>
      </w:r>
      <m:oMath>
        <m:r>
          <m:rPr>
            <m:sty m:val="bi"/>
          </m:rPr>
          <w:rPr>
            <w:rFonts w:ascii="Cambria Math" w:hAnsi="Cambria Math"/>
          </w:rPr>
          <m:t>c</m:t>
        </m:r>
      </m:oMath>
      <w:r w:rsidRPr="000B2C99">
        <w:t>, where</w:t>
      </w:r>
      <w:r w:rsidRPr="00B91CDA">
        <w:rPr>
          <w:i/>
          <w:iCs/>
        </w:rPr>
        <w:t xml:space="preserve"> </w:t>
      </w:r>
      <m:oMath>
        <m:r>
          <m:rPr>
            <m:sty m:val="bi"/>
          </m:rPr>
          <w:rPr>
            <w:rFonts w:ascii="Cambria Math" w:hAnsi="Cambria Math"/>
          </w:rPr>
          <m:t>c</m:t>
        </m:r>
      </m:oMath>
      <w:r w:rsidRPr="000B2C99">
        <w:t xml:space="preserve"> is the variable to be explained and a categorical form. In this study, </w:t>
      </w:r>
      <m:oMath>
        <m:r>
          <m:rPr>
            <m:sty m:val="bi"/>
          </m:rPr>
          <w:rPr>
            <w:rFonts w:ascii="Cambria Math" w:hAnsi="Cambria Math"/>
          </w:rPr>
          <m:t>c</m:t>
        </m:r>
      </m:oMath>
      <w:r w:rsidRPr="000B2C99">
        <w:t xml:space="preserve"> takes value from 1 to 4. Since the clubs identified by the method of </w:t>
      </w:r>
      <w:r w:rsidRPr="000B2C99">
        <w:fldChar w:fldCharType="begin"/>
      </w:r>
      <w:r w:rsidRPr="000B2C99">
        <w:instrText xml:space="preserve"> ADDIN ZOTERO_ITEM CSL_CITATION {"citationID":"sg0Wk90O","properties":{"formattedCitation":"(Phillips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can be ranked according to the long-run </w:t>
      </w:r>
      <w:r w:rsidR="00B91CDA">
        <w:t>wage</w:t>
      </w:r>
      <w:r w:rsidRPr="000B2C99">
        <w:t xml:space="preserve"> levels of regions in the respective club, this </w:t>
      </w:r>
      <w:r w:rsidRPr="00B91CDA">
        <w:rPr>
          <w:i/>
          <w:iCs/>
        </w:rPr>
        <w:t>c</w:t>
      </w:r>
      <w:r w:rsidRPr="000B2C99">
        <w:t xml:space="preserve"> variable can also be arranged as an ordinal variable. It is important to assume that the possibility of provinces clustered in a certain club is related to a latent continuous metric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Pr="000B2C99">
        <w:t xml:space="preserve"> that represents a province’s individual long-run inflation dynamics. Thus, the specification can be written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194B87"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CC2FA0">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5D1264F" w14:textId="77777777" w:rsidR="00F04063" w:rsidRPr="00B91CDA" w:rsidRDefault="00F04063" w:rsidP="00B91CDA">
      <w:pPr>
        <w:pStyle w:val="BodyText"/>
        <w:spacing w:line="360" w:lineRule="auto"/>
        <w:ind w:leftChars="322" w:left="708"/>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Pr="00B91CDA">
        <w:rPr>
          <w:rFonts w:asciiTheme="minorHAnsi" w:eastAsiaTheme="minorEastAsia" w:hAnsiTheme="minorHAnsi" w:cstheme="minorBidi"/>
          <w:b w:val="0"/>
          <w:sz w:val="22"/>
          <w:szCs w:val="22"/>
          <w:lang w:val="en-US"/>
        </w:rPr>
        <w:t xml:space="preserve"> consist of explanatory variables and a constant term,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Pr="00B91CDA">
        <w:rPr>
          <w:rFonts w:asciiTheme="minorHAnsi" w:eastAsiaTheme="minorEastAsia" w:hAnsiTheme="minorHAnsi" w:cstheme="minorBidi"/>
          <w:b w:val="0"/>
          <w:sz w:val="22"/>
          <w:szCs w:val="22"/>
          <w:lang w:val="en-US"/>
        </w:rPr>
        <w:t xml:space="preserve"> have a logistic distribution. To assess the unobserved dependent variable </w:t>
      </w:r>
      <m:oMath>
        <m:sSubSup>
          <m:sSubSupPr>
            <m:ctrlPr>
              <w:rPr>
                <w:rFonts w:ascii="Cambria Math" w:eastAsiaTheme="minorEastAsia" w:hAnsi="Cambria Math" w:cstheme="minorBidi"/>
                <w:b w:val="0"/>
                <w:sz w:val="22"/>
                <w:szCs w:val="22"/>
                <w:lang w:val="en-US"/>
              </w:rPr>
            </m:ctrlPr>
          </m:sSubSup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t</m:t>
            </m:r>
          </m:sub>
          <m:sup>
            <m:r>
              <m:rPr>
                <m:sty m:val="b"/>
              </m:rPr>
              <w:rPr>
                <w:rFonts w:ascii="Cambria Math" w:eastAsiaTheme="minorEastAsia" w:hAnsi="Cambria Math" w:cstheme="minorBidi"/>
                <w:sz w:val="22"/>
                <w:szCs w:val="22"/>
                <w:lang w:val="en-US"/>
              </w:rPr>
              <m:t>*</m:t>
            </m:r>
          </m:sup>
        </m:sSubSup>
      </m:oMath>
      <w:r w:rsidRPr="00B91CDA">
        <w:rPr>
          <w:rFonts w:asciiTheme="minorHAnsi" w:eastAsiaTheme="minorEastAsia" w:hAnsiTheme="minorHAnsi" w:cstheme="minorBidi"/>
          <w:b w:val="0"/>
          <w:sz w:val="22"/>
          <w:szCs w:val="22"/>
          <w:lang w:val="en-US"/>
        </w:rPr>
        <w:t xml:space="preserve">, the model is estimated with maximum likelihood (ML) techniques where the probabilities of observing values of </w:t>
      </w:r>
      <m:oMath>
        <m:r>
          <m:rPr>
            <m:sty m:val="bi"/>
          </m:rPr>
          <w:rPr>
            <w:rFonts w:ascii="Cambria Math" w:eastAsiaTheme="minorEastAsia" w:hAnsi="Cambria Math" w:cstheme="minorBidi"/>
            <w:sz w:val="22"/>
            <w:szCs w:val="22"/>
            <w:lang w:val="en-US"/>
          </w:rPr>
          <m:t>c</m:t>
        </m:r>
      </m:oMath>
      <w:r w:rsidRPr="00B91CDA">
        <w:rPr>
          <w:rFonts w:asciiTheme="minorHAnsi" w:eastAsiaTheme="minorEastAsia" w:hAnsiTheme="minorHAnsi" w:cstheme="minorBidi"/>
          <w:b w:val="0"/>
          <w:sz w:val="22"/>
          <w:szCs w:val="22"/>
          <w:lang w:val="en-US"/>
        </w:rPr>
        <w:t xml:space="preserve"> is computed.</w:t>
      </w:r>
    </w:p>
    <w:p w14:paraId="33B76E94" w14:textId="77777777" w:rsidR="00F04063" w:rsidRPr="00B91CDA" w:rsidRDefault="00F04063" w:rsidP="00B91CDA">
      <w:pPr>
        <w:pStyle w:val="BodyText"/>
        <w:spacing w:line="360" w:lineRule="auto"/>
        <w:ind w:leftChars="327" w:left="719" w:firstLine="699"/>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While the sign of </w:t>
      </w:r>
      <m:oMath>
        <m:r>
          <m:rPr>
            <m:sty m:val="bi"/>
          </m:rPr>
          <w:rPr>
            <w:rFonts w:ascii="Cambria Math" w:eastAsiaTheme="minorEastAsia" w:hAnsi="Cambria Math" w:cstheme="minorBidi"/>
            <w:sz w:val="22"/>
            <w:szCs w:val="22"/>
            <w:lang w:val="en-US"/>
          </w:rPr>
          <m:t>β</m:t>
        </m:r>
      </m:oMath>
      <w:r w:rsidRPr="00B91CDA">
        <w:rPr>
          <w:rFonts w:asciiTheme="minorHAnsi" w:eastAsiaTheme="minorEastAsia" w:hAnsiTheme="minorHAnsi" w:cstheme="minorBidi"/>
          <w:b w:val="0"/>
          <w:sz w:val="22"/>
          <w:szCs w:val="22"/>
          <w:lang w:val="en-US"/>
        </w:rPr>
        <w:t xml:space="preserve"> coefficients is useful for explaining the directional effect of determinants variables to club membership, the magnitude does not provide any economic rationals. Thus, to further quantify the directional information, as suggested in related literature, we record marginal effects of a unit change in the mean of a single explanatory variable on predicted probability, with the mean of other variables held fixed.</w:t>
      </w:r>
    </w:p>
    <w:p w14:paraId="5E024C8E" w14:textId="77777777" w:rsidR="00F04063" w:rsidRPr="00F04063" w:rsidRDefault="00F04063"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3D196452" w14:textId="29A4C62B" w:rsidR="00511618" w:rsidRDefault="00186716" w:rsidP="00186716">
      <w:pPr>
        <w:pStyle w:val="ListParagraph"/>
        <w:spacing w:line="360" w:lineRule="auto"/>
        <w:jc w:val="both"/>
      </w:pPr>
      <w:r>
        <w:t>As a proxy of regional wage, w</w:t>
      </w:r>
      <w:r w:rsidRPr="00DC621B">
        <w:t>e use</w:t>
      </w:r>
      <w:r>
        <w:t xml:space="preserve"> provincial average of net nominal income per month (in thousand rupiahs) of employee and laborer data </w:t>
      </w:r>
      <w:r w:rsidRPr="00DC621B">
        <w:t>published by Indonesian Central Bureau of Statistics.</w:t>
      </w:r>
      <w:r>
        <w:t xml:space="preserve"> The range of our data is from January 200</w:t>
      </w:r>
      <w:r w:rsidR="00B575BE">
        <w:t>8</w:t>
      </w:r>
      <w:r>
        <w:t xml:space="preserve"> to December 2020. The original data is in nominal terms. We then deflated the data using provincial Consumer Price Index (CPI), 2005=100. </w:t>
      </w:r>
      <w:r w:rsidRPr="00186716">
        <w:t xml:space="preserve">The summary statistics of </w:t>
      </w:r>
      <w:r>
        <w:t xml:space="preserve">our data </w:t>
      </w:r>
      <w:r w:rsidRPr="00186716">
        <w:t>is provided in Appendix (Table A1).</w:t>
      </w:r>
    </w:p>
    <w:p w14:paraId="7EF4D2EB" w14:textId="02AB5938" w:rsidR="00511618" w:rsidRPr="00766F05" w:rsidRDefault="00F13372" w:rsidP="00766F05">
      <w:pPr>
        <w:pStyle w:val="ListParagraph"/>
        <w:spacing w:line="360" w:lineRule="auto"/>
        <w:jc w:val="both"/>
      </w:pPr>
      <w:r>
        <w:tab/>
        <w:t xml:space="preserve">  </w:t>
      </w:r>
    </w:p>
    <w:p w14:paraId="7A6E88CB" w14:textId="77777777" w:rsidR="00B62DAC" w:rsidRDefault="00B62DAC" w:rsidP="00EB13DE">
      <w:pPr>
        <w:pStyle w:val="ListParagraph"/>
        <w:numPr>
          <w:ilvl w:val="0"/>
          <w:numId w:val="2"/>
        </w:numPr>
        <w:rPr>
          <w:rFonts w:ascii="Bookman Old Style" w:eastAsia="Adobe Myungjo Std M" w:hAnsi="Bookman Old Style"/>
          <w:b/>
          <w:szCs w:val="18"/>
        </w:rPr>
        <w:sectPr w:rsidR="00B62DAC">
          <w:footerReference w:type="default" r:id="rId8"/>
          <w:pgSz w:w="12240" w:h="15840"/>
          <w:pgMar w:top="1440" w:right="1440" w:bottom="1440" w:left="1440" w:header="720" w:footer="720" w:gutter="0"/>
          <w:cols w:space="720"/>
          <w:docGrid w:linePitch="360"/>
        </w:sectPr>
      </w:pPr>
    </w:p>
    <w:p w14:paraId="46A1EDE7" w14:textId="067610C8"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6858DB" w14:textId="77777777"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1B90E78F" w:rsidR="00766F05" w:rsidRDefault="00766F05" w:rsidP="00766F05">
      <w:pPr>
        <w:pStyle w:val="ListParagraph"/>
        <w:spacing w:line="360" w:lineRule="auto"/>
        <w:ind w:firstLine="720"/>
        <w:jc w:val="both"/>
      </w:pPr>
      <w:r>
        <w:t>We also illustrate how regional wage disparities across provinces in Indonesia have evolved over time. Fig 2 shows how the quantiles of the distribution have evolved over time. indicates It indicates that when we evaluate the regional dynamics of wage, regional disparities have been increasing over time, similar to what is shown on Fig 1. Increasing disparities are evident not only when we measure the gap between the quantile 95 and quantile 5, but also when we measure the gap between the quantile 75 and 25. It is also worth noting the stable and large different between the quantile 95 and the rest quantiles. This implies initial conclusion of lack of convergence in regional wage across Indonesian provinces. However, this conclusion will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17DDF8AF" w:rsidR="00C05620" w:rsidRDefault="00B575BE" w:rsidP="00C05620">
      <w:pPr>
        <w:pStyle w:val="ListParagraph"/>
        <w:spacing w:line="360" w:lineRule="auto"/>
        <w:ind w:left="709"/>
        <w:jc w:val="both"/>
      </w:pPr>
      <w:r>
        <w:t>We first applied log t regression test on the wage of 34 Indonesian provinces over the period of 2008:01 to 2020:12. The results show the rejection of null hypothesis of overall convergence at the 5% significant level (</w:t>
      </w:r>
      <m:oMath>
        <m:acc>
          <m:accPr>
            <m:ctrlPr>
              <w:rPr>
                <w:rFonts w:ascii="Cambria Math" w:hAnsi="Cambria Math"/>
              </w:rPr>
            </m:ctrlPr>
          </m:accPr>
          <m:e>
            <m:r>
              <m:rPr>
                <m:sty m:val="bi"/>
              </m:rPr>
              <w:rPr>
                <w:rFonts w:ascii="Cambria Math" w:hAnsi="Cambria Math"/>
              </w:rPr>
              <m:t>b</m:t>
            </m:r>
          </m:e>
        </m:acc>
      </m:oMath>
      <w:r>
        <w:t xml:space="preserve"> is significantly &lt; 0 with </w:t>
      </w:r>
      <w:r w:rsidRPr="00B2106A">
        <w:rPr>
          <w:i/>
          <w:iCs/>
        </w:rPr>
        <w:t>t</w:t>
      </w:r>
      <w:r>
        <w:t>-statistic −</w:t>
      </w:r>
      <w:r w:rsidR="000D4F2D">
        <w:t>79</w:t>
      </w:r>
      <w:r>
        <w:t>.</w:t>
      </w:r>
      <w:r w:rsidR="000D4F2D">
        <w:t>721</w:t>
      </w:r>
      <w:r>
        <w:t xml:space="preserve">). This rejection means that the overall convergence for the entire provinces is not observed, indicating that the </w:t>
      </w:r>
      <w:r w:rsidR="000D4F2D">
        <w:t>wage</w:t>
      </w:r>
      <w:r>
        <w:t xml:space="preserve"> movements in 34 Indonesian provinces during the observation period do not move to a single equilibrium.</w:t>
      </w:r>
      <w:r w:rsidR="00731BE2">
        <w:t xml:space="preserve"> This result is consistent with the findings of </w:t>
      </w:r>
      <w:r w:rsidR="00F60C11">
        <w:fldChar w:fldCharType="begin"/>
      </w:r>
      <w:r w:rsidR="00F60C11">
        <w:instrText xml:space="preserve"> ADDIN ZOTERO_ITEM CSL_CITATION {"citationID":"iKpdXlAN","properties":{"formattedCitation":"(Aginta,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 xml:space="preserve">Aginta </w:t>
      </w:r>
      <w:r w:rsidR="00F60C11">
        <w:rPr>
          <w:rFonts w:ascii="Calibri" w:hAnsi="Calibri" w:cs="Calibri"/>
        </w:rPr>
        <w:t>(</w:t>
      </w:r>
      <w:r w:rsidR="00F60C11" w:rsidRPr="00F60C11">
        <w:rPr>
          <w:rFonts w:ascii="Calibri" w:hAnsi="Calibri" w:cs="Calibri"/>
        </w:rPr>
        <w:t>2021)</w:t>
      </w:r>
      <w:r w:rsidR="00F60C11">
        <w:fldChar w:fldCharType="end"/>
      </w:r>
      <w:r w:rsidR="00731BE2">
        <w:t xml:space="preserve"> where the overall convergence is not observed in regional price dynamics across Indonesia prices.</w:t>
      </w:r>
    </w:p>
    <w:p w14:paraId="07194A54" w14:textId="794DCBA3" w:rsidR="000D4F2D" w:rsidRDefault="000D4F2D" w:rsidP="000D4F2D">
      <w:pPr>
        <w:pStyle w:val="ListParagraph"/>
        <w:spacing w:line="360" w:lineRule="auto"/>
        <w:ind w:left="709"/>
        <w:jc w:val="center"/>
      </w:pPr>
      <w:r>
        <w:rPr>
          <w:rFonts w:hint="eastAsia"/>
        </w:rPr>
        <w:t>T</w:t>
      </w:r>
      <w:r>
        <w:t>able 1. Overall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722FF3E4"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w:t>
      </w:r>
      <w:r w:rsidR="00C05620">
        <w:t>-</w:t>
      </w:r>
      <w:r>
        <w:t>1.65.</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74DA5FD3" w:rsidR="00C05620" w:rsidRDefault="000D4F2D" w:rsidP="00C05620">
      <w:pPr>
        <w:pStyle w:val="ListParagraph"/>
        <w:spacing w:line="360" w:lineRule="auto"/>
        <w:ind w:left="709"/>
        <w:jc w:val="both"/>
      </w:pPr>
      <w:r>
        <w:rPr>
          <w:rFonts w:ascii="Bookman Old Style" w:eastAsia="Adobe Myungjo Std M" w:hAnsi="Bookman Old Style"/>
          <w:b/>
          <w:szCs w:val="18"/>
        </w:rPr>
        <w:tab/>
      </w:r>
      <w:r>
        <w:rPr>
          <w:rFonts w:ascii="Bookman Old Style" w:eastAsia="Adobe Myungjo Std M" w:hAnsi="Bookman Old Style"/>
          <w:b/>
          <w:szCs w:val="18"/>
        </w:rPr>
        <w:tab/>
      </w:r>
      <w:r w:rsidR="00731BE2">
        <w:t xml:space="preserve">However, as mentioned before, the test developed by </w:t>
      </w:r>
      <w:r w:rsidR="00E906E5">
        <w:fldChar w:fldCharType="begin"/>
      </w:r>
      <w:r w:rsidR="00E906E5">
        <w:instrText xml:space="preserve"> ADDIN ZOTERO_ITEM CSL_CITATION {"citationID":"0fCj74Ra","properties":{"formattedCitation":"(Phillips &amp; Sul, 2009)","plainCitation":"(Phillips &amp; Sul, 2009)","noteIndex":0},"citationItems":[{"id":94,"uris":["http://zotero.org/users/local/9Bu69DCL/items/E3IIME5U"],"uri":["http://zotero.org/users/local/9Bu69DCL/items/E3IIME5U"],"itemData":{"id":94,"type":"article-journal","abstract":"Abstract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can observe the existence of several convergence clubs even when we do not observe overall convergence. Therefore, we apply the test to identify convergence clubs.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299FFC7A" w14:textId="043C0F86" w:rsidR="00731BE2" w:rsidRDefault="00C05620" w:rsidP="00B2106A">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-1.65.</w:t>
      </w:r>
    </w:p>
    <w:p w14:paraId="7B23F312" w14:textId="34AA6248" w:rsidR="00947042" w:rsidRDefault="00731BE2" w:rsidP="00B2106A">
      <w:pPr>
        <w:pStyle w:val="ListParagraph"/>
        <w:spacing w:line="360" w:lineRule="auto"/>
        <w:ind w:left="709" w:firstLineChars="322" w:firstLine="708"/>
        <w:jc w:val="both"/>
      </w:pPr>
      <w:r>
        <w:lastRenderedPageBreak/>
        <w:t>We find three significant initial clubs</w:t>
      </w:r>
      <w:r w:rsidR="00B2106A">
        <w:t xml:space="preserve"> that represent the convergence dynamics of regional wage across Indonesian provinces.</w:t>
      </w:r>
      <w:r w:rsidR="00B2106A">
        <w:rPr>
          <w:rStyle w:val="FootnoteReference"/>
        </w:rPr>
        <w:footnoteReference w:id="1"/>
      </w:r>
      <w:r w:rsidR="0036179B">
        <w:t xml:space="preserve"> The first convergence club consists of 3 provinces; the second club consists of 9 provinces; and the third club consists of 22 provinces. The first two rows correspond to the fitted coefficients and t-statistic in each club. The order of the convergence clubs is sorted from the provinces with the highest to the lowest wage; club 1 refers to the highest wage and club 3 represents the lowest wage provinces. Overall, the result of this club convergence test implies that the development of wage in 34 Indonesian provinces can be grouped into three common trends during 2008–2020</w:t>
      </w:r>
      <w:r w:rsidR="00FB5375">
        <w:t xml:space="preserve"> period</w:t>
      </w:r>
      <w:r w:rsidR="00C14939">
        <w:t>.</w:t>
      </w:r>
    </w:p>
    <w:p w14:paraId="6B30302A" w14:textId="6ACB62A2" w:rsidR="00947042" w:rsidRDefault="00EB0AC1" w:rsidP="006934EF">
      <w:pPr>
        <w:pStyle w:val="ListParagraph"/>
        <w:spacing w:line="360" w:lineRule="auto"/>
        <w:ind w:left="709" w:firstLineChars="322" w:firstLine="708"/>
        <w:jc w:val="both"/>
      </w:pPr>
      <w:r>
        <w:t>I</w:t>
      </w:r>
      <w:r w:rsidR="00947042">
        <w:t>n Fig 3 we plot the transition paths of clubs over time. However, instead of using the absolute value of wage on Y axes</w:t>
      </w:r>
      <w:r>
        <w:t xml:space="preserve"> (like in Fig 2)</w:t>
      </w:r>
      <w:r w:rsidR="00947042">
        <w:t xml:space="preserve">, we compare the transition of clubs relative to the cross-sectional average of all three clubs. The parallel pattern of the clubs’ transition path indicates that the clubs do not converge over time. </w:t>
      </w:r>
      <w:r w:rsidR="00C458CC">
        <w:t>Instead of forming converging shape, that is smaller gaps between clubs over time, it</w:t>
      </w:r>
      <w:r w:rsidR="00947042">
        <w:t xml:space="preserve"> appears </w:t>
      </w:r>
      <w:r w:rsidR="00C458CC">
        <w:t xml:space="preserve">that </w:t>
      </w:r>
      <w:r w:rsidR="00947042">
        <w:t xml:space="preserve">the transition path of the clubs reflects prolonged and </w:t>
      </w:r>
      <w:r w:rsidR="00C458CC">
        <w:t>higher</w:t>
      </w:r>
      <w:r w:rsidR="00947042">
        <w:t xml:space="preserve"> dispersion between clubs, where </w:t>
      </w:r>
      <w:r w:rsidR="00C458CC">
        <w:t>c</w:t>
      </w:r>
      <w:r w:rsidR="00947042">
        <w:t xml:space="preserve">lub </w:t>
      </w:r>
      <w:r w:rsidR="00C458CC">
        <w:t>1</w:t>
      </w:r>
      <w:r w:rsidR="00947042">
        <w:t xml:space="preserve"> and </w:t>
      </w:r>
      <w:r w:rsidR="00C458CC">
        <w:t>2</w:t>
      </w:r>
      <w:r w:rsidR="00947042">
        <w:t xml:space="preserve"> are systematically </w:t>
      </w:r>
      <w:r w:rsidR="00C458CC">
        <w:t xml:space="preserve">above </w:t>
      </w:r>
      <w:r w:rsidR="00947042">
        <w:t xml:space="preserve">the average, 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We also plot the transition path of provinces in each club in Fig 4. Unlike the diverging pattern shown in Fig 3, the transition path in Fig 4 (a), (b), and (c) clearly demonstrate convergence pattern, although the gap between provinces remained.</w:t>
      </w:r>
    </w:p>
    <w:p w14:paraId="2AEDC7D8" w14:textId="7C3A65B2" w:rsidR="00947042" w:rsidRDefault="00947042" w:rsidP="00947042">
      <w:pPr>
        <w:pStyle w:val="ListParagraph"/>
        <w:spacing w:line="360" w:lineRule="auto"/>
        <w:ind w:left="709"/>
        <w:jc w:val="center"/>
        <w:rPr>
          <w:rFonts w:ascii="Bookman Old Style" w:eastAsia="Adobe Myungjo Std M" w:hAnsi="Bookman Old Style"/>
          <w:b/>
          <w:szCs w:val="18"/>
        </w:rPr>
      </w:pPr>
      <w:r>
        <w:rPr>
          <w:noProof/>
        </w:rPr>
        <w:drawing>
          <wp:inline distT="0" distB="0" distL="0" distR="0" wp14:anchorId="6BB87479" wp14:editId="367B7C6B">
            <wp:extent cx="3577589" cy="1987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714" cy="1998175"/>
                    </a:xfrm>
                    <a:prstGeom prst="rect">
                      <a:avLst/>
                    </a:prstGeom>
                    <a:noFill/>
                    <a:ln>
                      <a:noFill/>
                    </a:ln>
                  </pic:spPr>
                </pic:pic>
              </a:graphicData>
            </a:graphic>
          </wp:inline>
        </w:drawing>
      </w:r>
    </w:p>
    <w:p w14:paraId="18D12705" w14:textId="2BFCFC97" w:rsidR="00947042" w:rsidRPr="00186716" w:rsidRDefault="00947042" w:rsidP="00947042">
      <w:pPr>
        <w:pStyle w:val="ListParagraph"/>
        <w:spacing w:line="360" w:lineRule="auto"/>
        <w:jc w:val="center"/>
      </w:pPr>
      <w:r>
        <w:t>Fig. 3. The transition path of convergence clubs, 2008-2020</w:t>
      </w: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75C67D4" w14:textId="00F4CA9E" w:rsidR="00947042" w:rsidRDefault="006934EF" w:rsidP="006934EF">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4187D0A8" w14:textId="67344FC9" w:rsidR="00766F05" w:rsidRDefault="00C14939" w:rsidP="00B40673">
      <w:pPr>
        <w:pStyle w:val="ListParagraph"/>
        <w:spacing w:line="360" w:lineRule="auto"/>
        <w:ind w:firstLine="720"/>
        <w:jc w:val="both"/>
      </w:pPr>
      <w:r>
        <w:t>The results of club convergence test suggest the existence of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 xml:space="preserve">macroeconomic condition and labor market across provinces. However, by this far we do not know which components of macroeconomic and labor market condition explain regional wage disparity across Indonesian provinces. Therefore, in the next section, we will investigate the important factors that contribute to the persistent regional </w:t>
      </w:r>
      <w:r w:rsidR="00B40673">
        <w:lastRenderedPageBreak/>
        <w:t>wage disparity</w:t>
      </w:r>
      <w:r w:rsidR="00AE0B24">
        <w:t>.</w:t>
      </w:r>
      <w:r w:rsidR="00B40673">
        <w:t xml:space="preserve"> More specifically, we want to answer the following question: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3CA1ACD6"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Factors influencing the convergence clubs</w:t>
      </w:r>
    </w:p>
    <w:p w14:paraId="217068DB" w14:textId="77777777" w:rsidR="00766F05" w:rsidRDefault="00766F05" w:rsidP="00766F05">
      <w:pPr>
        <w:pStyle w:val="ListParagraph"/>
        <w:ind w:left="1440"/>
        <w:rPr>
          <w:rFonts w:ascii="Bookman Old Style" w:eastAsia="Adobe Myungjo Std M" w:hAnsi="Bookman Old Style"/>
          <w:b/>
          <w:szCs w:val="18"/>
        </w:rPr>
      </w:pPr>
    </w:p>
    <w:p w14:paraId="79B36F2F" w14:textId="2367674C" w:rsidR="00FA6ED2" w:rsidRDefault="00AE0B24" w:rsidP="00AE0B24">
      <w:pPr>
        <w:spacing w:line="360" w:lineRule="auto"/>
        <w:ind w:left="720" w:rightChars="1" w:right="2"/>
        <w:jc w:val="both"/>
      </w:pPr>
      <w:r>
        <w:t>This section examines important conditioning factors that contribute to the convergence club formation</w:t>
      </w:r>
      <w:r w:rsidR="002B2B9E">
        <w:t xml:space="preserve"> by applying ordered logit model as explained in sub section 3.1.3.  Before implementing ordered logit regression, we re-classified the clubs as the outcomes based on the value of wage in each club as mentioned before; high (Club 1), middle (Club 2), and low (Club 3). Then, following the literature, these ordered outcomes are regressed as the dependent variable against a set of independent variables </w:t>
      </w:r>
      <w:r w:rsidR="003C4CE2">
        <w:t xml:space="preserve">as the influencing factors of convergence clubs </w:t>
      </w:r>
      <w:r w:rsidR="002B2B9E">
        <w:t>described in Table 3.</w:t>
      </w:r>
    </w:p>
    <w:p w14:paraId="1A502691" w14:textId="765DA958" w:rsidR="006E79B9" w:rsidRDefault="006E79B9" w:rsidP="006E79B9">
      <w:pPr>
        <w:spacing w:line="360" w:lineRule="auto"/>
        <w:ind w:left="720" w:rightChars="1" w:right="2"/>
        <w:jc w:val="center"/>
      </w:pPr>
      <w:r>
        <w:rPr>
          <w:rFonts w:hint="eastAsia"/>
        </w:rPr>
        <w:t>T</w:t>
      </w:r>
      <w:r>
        <w:t>able 3. Variables used</w:t>
      </w:r>
      <w:r w:rsidR="003C4CE2">
        <w:t xml:space="preserve"> in ordered logit model</w:t>
      </w:r>
    </w:p>
    <w:tbl>
      <w:tblPr>
        <w:tblStyle w:val="TableGrid"/>
        <w:tblW w:w="8631" w:type="dxa"/>
        <w:tblInd w:w="720" w:type="dxa"/>
        <w:tblBorders>
          <w:left w:val="none" w:sz="0" w:space="0" w:color="auto"/>
          <w:right w:val="none" w:sz="0" w:space="0" w:color="auto"/>
        </w:tblBorders>
        <w:tblLook w:val="04A0" w:firstRow="1" w:lastRow="0" w:firstColumn="1" w:lastColumn="0" w:noHBand="0" w:noVBand="1"/>
      </w:tblPr>
      <w:tblGrid>
        <w:gridCol w:w="2002"/>
        <w:gridCol w:w="5179"/>
        <w:gridCol w:w="1450"/>
      </w:tblGrid>
      <w:tr w:rsidR="002B2B9E" w14:paraId="401B7FBC" w14:textId="77777777" w:rsidTr="003C4CE2">
        <w:tc>
          <w:tcPr>
            <w:tcW w:w="2002"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79"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1450"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3C4CE2">
        <w:tc>
          <w:tcPr>
            <w:tcW w:w="2002"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79"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1450"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3C4CE2">
        <w:tc>
          <w:tcPr>
            <w:tcW w:w="2002"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79" w:type="dxa"/>
            <w:tcBorders>
              <w:top w:val="nil"/>
              <w:left w:val="nil"/>
              <w:bottom w:val="nil"/>
              <w:right w:val="nil"/>
            </w:tcBorders>
          </w:tcPr>
          <w:p w14:paraId="6F1AB4A9" w14:textId="731394E6" w:rsidR="002B2B9E" w:rsidRPr="006E79B9" w:rsidRDefault="00194B87" w:rsidP="002B2B9E">
            <w:pPr>
              <w:ind w:rightChars="1" w:right="2"/>
              <w:rPr>
                <w:sz w:val="22"/>
                <w:szCs w:val="22"/>
              </w:rPr>
            </w:pPr>
            <m:oMathPara>
              <m:oMath>
                <m:f>
                  <m:fPr>
                    <m:ctrlPr>
                      <w:rPr>
                        <w:rFonts w:ascii="Cambria Math" w:hAnsi="Cambria Math"/>
                        <w:sz w:val="22"/>
                        <w:szCs w:val="22"/>
                      </w:rPr>
                    </m:ctrlPr>
                  </m:fPr>
                  <m:num>
                    <m:r>
                      <m:rPr>
                        <m:sty m:val="p"/>
                      </m:rPr>
                      <w:rPr>
                        <w:rFonts w:ascii="Cambria Math" w:hAnsi="Cambria Math"/>
                        <w:sz w:val="22"/>
                        <w:szCs w:val="22"/>
                      </w:rPr>
                      <m:t>Number of people employed in manufacturing sector</m:t>
                    </m:r>
                  </m:num>
                  <m:den>
                    <m:r>
                      <m:rPr>
                        <m:sty m:val="p"/>
                      </m:rPr>
                      <w:rPr>
                        <w:rFonts w:ascii="Cambria Math" w:hAnsi="Cambria Math"/>
                        <w:sz w:val="22"/>
                        <w:szCs w:val="22"/>
                      </w:rPr>
                      <m:t>Total number of people employed</m:t>
                    </m:r>
                  </m:den>
                </m:f>
              </m:oMath>
            </m:oMathPara>
          </w:p>
        </w:tc>
        <w:tc>
          <w:tcPr>
            <w:tcW w:w="1450"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3C4CE2">
        <w:tc>
          <w:tcPr>
            <w:tcW w:w="2002"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79" w:type="dxa"/>
            <w:tcBorders>
              <w:top w:val="nil"/>
              <w:left w:val="nil"/>
              <w:bottom w:val="nil"/>
              <w:right w:val="nil"/>
            </w:tcBorders>
          </w:tcPr>
          <w:p w14:paraId="4D416CDE" w14:textId="16053B8F" w:rsidR="006E79B9" w:rsidRPr="002B2B9E" w:rsidRDefault="00194B87"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1450"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3C4CE2">
        <w:tc>
          <w:tcPr>
            <w:tcW w:w="2002"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79" w:type="dxa"/>
            <w:tcBorders>
              <w:top w:val="nil"/>
              <w:left w:val="nil"/>
              <w:bottom w:val="nil"/>
              <w:right w:val="nil"/>
            </w:tcBorders>
          </w:tcPr>
          <w:p w14:paraId="6CE8FB5F" w14:textId="4F6AA0A4" w:rsidR="006E79B9" w:rsidRPr="002B2B9E" w:rsidRDefault="00194B87"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1450"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3C4CE2">
        <w:tc>
          <w:tcPr>
            <w:tcW w:w="2002"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79"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1450"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Statistik) is Indonesian Central Bureau of Statistics.</w:t>
      </w:r>
    </w:p>
    <w:p w14:paraId="41176FAD" w14:textId="77777777" w:rsidR="00F307C6" w:rsidRDefault="003C4CE2" w:rsidP="00F307C6">
      <w:pPr>
        <w:spacing w:line="360" w:lineRule="auto"/>
        <w:ind w:left="720" w:rightChars="1" w:right="2" w:firstLine="720"/>
        <w:jc w:val="both"/>
        <w:sectPr w:rsidR="00F307C6">
          <w:pgSz w:w="12240" w:h="15840"/>
          <w:pgMar w:top="1440" w:right="1440" w:bottom="1440" w:left="1440" w:header="720" w:footer="720" w:gutter="0"/>
          <w:cols w:space="720"/>
          <w:docGrid w:linePitch="360"/>
        </w:sectPr>
      </w:pPr>
      <w:r>
        <w:t xml:space="preserve">Table 4 presents the results from the ordered logit model. The second column shows the ordered logit coefficients, while the last column exhibits the marginal effects of probability that represent the individual effect of explanatory variable on the probability of a province converging to a particular club. Regarding our club convergence identification results, the selected explanatory variables largely explain the probability of membership in club 2 (middle) and club 3 (low), while the probability of membership in </w:t>
      </w:r>
      <w:r w:rsidR="00244E0E">
        <w:t>club 1 (high)</w:t>
      </w:r>
      <w:r>
        <w:t xml:space="preserve"> remain unexplained. This might be because the sample size in </w:t>
      </w:r>
      <w:r w:rsidR="00244E0E">
        <w:t>c</w:t>
      </w:r>
      <w:r>
        <w:t xml:space="preserve">lub 1 (high) </w:t>
      </w:r>
      <w:r w:rsidR="00244E0E">
        <w:t>very s</w:t>
      </w:r>
      <w:r>
        <w:t>mal</w:t>
      </w:r>
      <w:r w:rsidR="00244E0E">
        <w:t>l</w:t>
      </w:r>
      <w:r>
        <w:t>. Nonetheless, the model helps to explain how those inf</w:t>
      </w:r>
      <w:r w:rsidR="00244E0E">
        <w:t>l</w:t>
      </w:r>
      <w:r>
        <w:t>uencing factors af</w:t>
      </w:r>
      <w:r w:rsidR="00244E0E">
        <w:t>f</w:t>
      </w:r>
      <w:r>
        <w:t>ect the formation of convergence clubs</w:t>
      </w:r>
      <w:r w:rsidR="00244E0E">
        <w:t xml:space="preserve">. </w:t>
      </w:r>
    </w:p>
    <w:p w14:paraId="25ABEC17" w14:textId="76B8A3FB" w:rsidR="00F307C6" w:rsidRDefault="00F307C6" w:rsidP="00F307C6">
      <w:pPr>
        <w:spacing w:line="360" w:lineRule="auto"/>
        <w:ind w:left="720" w:rightChars="1" w:right="2" w:hanging="11"/>
        <w:jc w:val="center"/>
      </w:pPr>
      <w:r>
        <w:rPr>
          <w:rFonts w:hint="eastAsia"/>
        </w:rPr>
        <w:lastRenderedPageBreak/>
        <w:t>T</w:t>
      </w:r>
      <w:r>
        <w:t>able 4</w:t>
      </w:r>
      <w:r w:rsidR="008F5B04">
        <w:t>.</w:t>
      </w:r>
      <w:r>
        <w:t xml:space="preserve"> Results of ordered logit and marginal ef</w:t>
      </w:r>
      <w:r w:rsidR="00E965AF">
        <w:t>f</w:t>
      </w:r>
      <w:r>
        <w:t>ects on probabilities</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3247775D" w14:textId="41115956" w:rsidR="00F307C6" w:rsidRDefault="00E965AF" w:rsidP="00E965AF">
      <w:pPr>
        <w:spacing w:after="0" w:line="240" w:lineRule="auto"/>
        <w:ind w:left="720" w:rightChars="1" w:right="2" w:hanging="11"/>
      </w:pPr>
      <w:r>
        <w:rPr>
          <w:rFonts w:hint="eastAsia"/>
        </w:rPr>
        <w:t>N</w:t>
      </w:r>
      <w:r>
        <w:t>ote: Standard errors are reported in parentheses.</w:t>
      </w:r>
      <w:r w:rsidR="00157F1E">
        <w:t xml:space="preserve"> ***</w:t>
      </w:r>
      <w:r w:rsidR="00157F1E" w:rsidRPr="00157F1E">
        <w:rPr>
          <w:i/>
          <w:iCs/>
        </w:rPr>
        <w:t>p</w:t>
      </w:r>
      <w:r w:rsidR="00157F1E">
        <w:t>&lt;0.1, **</w:t>
      </w:r>
      <w:r w:rsidR="00157F1E" w:rsidRPr="00157F1E">
        <w:rPr>
          <w:i/>
          <w:iCs/>
        </w:rPr>
        <w:t>p</w:t>
      </w:r>
      <w:r w:rsidR="00157F1E">
        <w:t>&lt;0.05, *</w:t>
      </w:r>
      <w:r w:rsidR="00157F1E" w:rsidRPr="00157F1E">
        <w:rPr>
          <w:i/>
          <w:iCs/>
        </w:rPr>
        <w:t>p</w:t>
      </w:r>
      <w:r w:rsidR="00157F1E">
        <w:t>&lt;0.1</w:t>
      </w:r>
    </w:p>
    <w:p w14:paraId="15E4667C" w14:textId="0B4045F6" w:rsidR="00E965AF" w:rsidRDefault="00157F1E" w:rsidP="00E965AF">
      <w:pPr>
        <w:spacing w:after="0" w:line="240" w:lineRule="auto"/>
        <w:ind w:left="720" w:rightChars="1" w:right="2" w:hanging="11"/>
      </w:pPr>
      <w:r>
        <w:rPr>
          <w:rFonts w:hint="eastAsia"/>
        </w:rPr>
        <w:t>S</w:t>
      </w:r>
      <w:r>
        <w:t>ource: Authors’ computation</w:t>
      </w:r>
    </w:p>
    <w:p w14:paraId="0F67D46A" w14:textId="3BC8AF8E" w:rsidR="00E965AF" w:rsidRDefault="00E965AF" w:rsidP="00E965AF">
      <w:pPr>
        <w:spacing w:line="360" w:lineRule="auto"/>
        <w:ind w:left="720" w:rightChars="1" w:right="2" w:hanging="11"/>
      </w:pPr>
    </w:p>
    <w:p w14:paraId="1D03B57A" w14:textId="162DE645" w:rsidR="00157F1E" w:rsidRDefault="00452E0D" w:rsidP="00E965AF">
      <w:pPr>
        <w:spacing w:line="360" w:lineRule="auto"/>
        <w:ind w:left="720" w:rightChars="1" w:right="2" w:hanging="11"/>
      </w:pPr>
      <w:r>
        <w:rPr>
          <w:rFonts w:hint="eastAsia"/>
        </w:rPr>
        <w:t>P</w:t>
      </w:r>
      <w:r>
        <w:t>oint-point penjelasan:</w:t>
      </w:r>
    </w:p>
    <w:p w14:paraId="79E7A74D" w14:textId="245751CD" w:rsidR="00452E0D" w:rsidRDefault="00452E0D" w:rsidP="00452E0D">
      <w:pPr>
        <w:pStyle w:val="ListParagraph"/>
        <w:numPr>
          <w:ilvl w:val="0"/>
          <w:numId w:val="5"/>
        </w:numPr>
        <w:spacing w:line="360" w:lineRule="auto"/>
        <w:ind w:rightChars="1" w:right="2"/>
      </w:pPr>
      <w:r>
        <w:rPr>
          <w:rFonts w:hint="eastAsia"/>
        </w:rPr>
        <w:t>H</w:t>
      </w:r>
      <w:r>
        <w:t xml:space="preserve">igher level of initial wage in 2008 increases probability to be in higher wage clubs (club 1 and club 2) </w:t>
      </w:r>
      <w:r>
        <w:sym w:font="Wingdings" w:char="F0E0"/>
      </w:r>
      <w:r>
        <w:t xml:space="preserve"> consistent with the convergence theory</w:t>
      </w:r>
    </w:p>
    <w:p w14:paraId="6504C928" w14:textId="226029D9" w:rsidR="00452E0D" w:rsidRDefault="00452E0D" w:rsidP="00452E0D">
      <w:pPr>
        <w:pStyle w:val="ListParagraph"/>
        <w:numPr>
          <w:ilvl w:val="0"/>
          <w:numId w:val="5"/>
        </w:numPr>
        <w:spacing w:line="360" w:lineRule="auto"/>
        <w:ind w:rightChars="1" w:right="2"/>
      </w:pPr>
      <w:r>
        <w:rPr>
          <w:rFonts w:hint="eastAsia"/>
        </w:rPr>
        <w:t>H</w:t>
      </w:r>
      <w:r>
        <w:t xml:space="preserve">igher share of people employed in manufacturing sectors increases probability to be in higher wage clubs (club 1 and club 2) </w:t>
      </w:r>
      <w:r>
        <w:sym w:font="Wingdings" w:char="F0E0"/>
      </w:r>
      <w:r>
        <w:t xml:space="preserve"> reflects the higher productivity of labors in manufacturing industries</w:t>
      </w:r>
    </w:p>
    <w:p w14:paraId="481EBD62" w14:textId="1EDC9630" w:rsidR="00452E0D" w:rsidRDefault="00452E0D" w:rsidP="00452E0D">
      <w:pPr>
        <w:pStyle w:val="ListParagraph"/>
        <w:numPr>
          <w:ilvl w:val="0"/>
          <w:numId w:val="5"/>
        </w:numPr>
        <w:spacing w:line="360" w:lineRule="auto"/>
        <w:ind w:rightChars="1" w:right="2"/>
      </w:pPr>
      <w:r>
        <w:rPr>
          <w:rFonts w:hint="eastAsia"/>
        </w:rPr>
        <w:t>H</w:t>
      </w:r>
      <w:r>
        <w:t xml:space="preserve">igher </w:t>
      </w:r>
      <w:r w:rsidR="00EC785E">
        <w:t xml:space="preserve">private </w:t>
      </w:r>
      <w:r>
        <w:t xml:space="preserve">investment to GDP ratio increases probability to be in higher wage clubs (club 1 and club 2) </w:t>
      </w:r>
      <w:r>
        <w:sym w:font="Wingdings" w:char="F0E0"/>
      </w:r>
      <w:r>
        <w:t xml:space="preserve"> </w:t>
      </w:r>
      <w:r w:rsidR="00EC785E">
        <w:t>means</w:t>
      </w:r>
      <w:r w:rsidR="00D22D84">
        <w:t xml:space="preserve"> higher demand of labor force amidst the relatively higher level of wage. This </w:t>
      </w:r>
      <w:r w:rsidR="00EC785E">
        <w:t>reflects regional imbalance in economic development where investment activities are largely concentrated in few provinces that have advantage in terms of better infrastructures, strategic geographical position, and natural resource endowment.</w:t>
      </w:r>
    </w:p>
    <w:p w14:paraId="253CA4B9" w14:textId="25E14076" w:rsidR="00452E0D" w:rsidRDefault="00452E0D" w:rsidP="00452E0D">
      <w:pPr>
        <w:pStyle w:val="ListParagraph"/>
        <w:numPr>
          <w:ilvl w:val="0"/>
          <w:numId w:val="5"/>
        </w:numPr>
        <w:spacing w:line="360" w:lineRule="auto"/>
        <w:ind w:rightChars="1" w:right="2"/>
      </w:pPr>
      <w:r>
        <w:rPr>
          <w:rFonts w:hint="eastAsia"/>
        </w:rPr>
        <w:t>H</w:t>
      </w:r>
      <w:r>
        <w:t xml:space="preserve">igher labor force participation rate decreases probability to be in higher wage clubs (club 1 and club 2) </w:t>
      </w:r>
      <w:r>
        <w:sym w:font="Wingdings" w:char="F0E0"/>
      </w:r>
      <w:r>
        <w:t xml:space="preserve"> reflects the standard labor supply and demand condition. Higher labor supply</w:t>
      </w:r>
      <w:r w:rsidR="00EF7E72">
        <w:t xml:space="preserve"> relative to its demand</w:t>
      </w:r>
      <w:r>
        <w:t xml:space="preserve"> leads to</w:t>
      </w:r>
      <w:r w:rsidR="00EF7E72">
        <w:t xml:space="preserve"> downside pressure on wage.</w:t>
      </w:r>
    </w:p>
    <w:p w14:paraId="34D2CFE8" w14:textId="090B0FD1" w:rsidR="00EF7E72" w:rsidRDefault="00EF7E72" w:rsidP="00452E0D">
      <w:pPr>
        <w:pStyle w:val="ListParagraph"/>
        <w:numPr>
          <w:ilvl w:val="0"/>
          <w:numId w:val="5"/>
        </w:numPr>
        <w:spacing w:line="360" w:lineRule="auto"/>
        <w:ind w:rightChars="1" w:right="2"/>
      </w:pPr>
      <w:r>
        <w:lastRenderedPageBreak/>
        <w:t xml:space="preserve">The effect of </w:t>
      </w:r>
      <w:r>
        <w:rPr>
          <w:rFonts w:hint="eastAsia"/>
        </w:rPr>
        <w:t>G</w:t>
      </w:r>
      <w:r>
        <w:t>DP is not significant</w:t>
      </w:r>
      <w:r w:rsidR="00D22D84">
        <w:t xml:space="preserve"> implies that the size of economy is less important in explaining the regional difference in wage across Indonesian provinces.</w:t>
      </w:r>
    </w:p>
    <w:p w14:paraId="086A6D9E" w14:textId="1DF079C9" w:rsidR="00D22D84" w:rsidRDefault="00D22D84" w:rsidP="00452E0D">
      <w:pPr>
        <w:pStyle w:val="ListParagraph"/>
        <w:numPr>
          <w:ilvl w:val="0"/>
          <w:numId w:val="5"/>
        </w:numPr>
        <w:spacing w:line="360" w:lineRule="auto"/>
        <w:ind w:rightChars="1" w:right="2"/>
      </w:pPr>
      <w:r>
        <w:rPr>
          <w:rFonts w:hint="eastAsia"/>
        </w:rPr>
        <w:t>O</w:t>
      </w:r>
      <w:r>
        <w:t xml:space="preserve">verall conclusion from ordered logit model: </w:t>
      </w:r>
      <w:r w:rsidR="00DF4C7F">
        <w:t xml:space="preserve">the formation of club convergence in provincial wage is mostly explained by </w:t>
      </w:r>
      <w:r>
        <w:t>regional labor market condition</w:t>
      </w:r>
      <w:r w:rsidR="00DF4C7F">
        <w:t>.</w:t>
      </w:r>
    </w:p>
    <w:p w14:paraId="6CF75D7B" w14:textId="77777777" w:rsidR="00FA6ED2" w:rsidRPr="00DF4C7F" w:rsidRDefault="00FA6ED2" w:rsidP="00DF4C7F">
      <w:pPr>
        <w:ind w:rightChars="388" w:right="854"/>
        <w:rPr>
          <w:rFonts w:ascii="Bookman Old Style" w:eastAsia="Adobe Myungjo Std M" w:hAnsi="Bookman Old Style"/>
          <w:b/>
          <w:szCs w:val="18"/>
        </w:rPr>
      </w:pPr>
    </w:p>
    <w:p w14:paraId="0DECDBA1" w14:textId="77777777" w:rsidR="00511618" w:rsidRDefault="00511618" w:rsidP="00511618">
      <w:pPr>
        <w:pStyle w:val="ListParagraph"/>
        <w:rPr>
          <w:rFonts w:ascii="Bookman Old Style" w:eastAsia="Adobe Myungjo Std M" w:hAnsi="Bookman Old Style"/>
          <w:b/>
          <w:szCs w:val="18"/>
        </w:rPr>
      </w:pPr>
    </w:p>
    <w:p w14:paraId="5DC275CA" w14:textId="3D76B78A"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p>
    <w:p w14:paraId="1B298340" w14:textId="3446618B" w:rsidR="00FF6253" w:rsidRDefault="00FF6253" w:rsidP="00FF6253">
      <w:pPr>
        <w:pStyle w:val="ListParagraph"/>
        <w:rPr>
          <w:rFonts w:ascii="Bookman Old Style" w:eastAsia="Adobe Myungjo Std M" w:hAnsi="Bookman Old Style"/>
          <w:b/>
          <w:szCs w:val="18"/>
        </w:rPr>
      </w:pPr>
    </w:p>
    <w:p w14:paraId="0B18E86B" w14:textId="5598F8F5" w:rsidR="00FF6253" w:rsidRDefault="00FF6253" w:rsidP="00FF6253">
      <w:pPr>
        <w:pStyle w:val="ListParagraph"/>
        <w:rPr>
          <w:rFonts w:ascii="Bookman Old Style" w:eastAsia="Adobe Myungjo Std M" w:hAnsi="Bookman Old Style"/>
          <w:b/>
          <w:szCs w:val="18"/>
        </w:rPr>
      </w:pPr>
    </w:p>
    <w:p w14:paraId="6893AFA9" w14:textId="04C6CC60" w:rsidR="00FF6253" w:rsidRDefault="00FF6253" w:rsidP="00FF6253">
      <w:pPr>
        <w:pStyle w:val="ListParagraph"/>
        <w:rPr>
          <w:rFonts w:ascii="Bookman Old Style" w:eastAsia="Adobe Myungjo Std M" w:hAnsi="Bookman Old Style"/>
          <w:b/>
          <w:szCs w:val="18"/>
        </w:rPr>
      </w:pPr>
    </w:p>
    <w:p w14:paraId="599B3A84" w14:textId="77777777" w:rsidR="00FF6253" w:rsidRDefault="00FF6253" w:rsidP="00FF6253">
      <w:pPr>
        <w:pStyle w:val="ListParagraph"/>
        <w:rPr>
          <w:rFonts w:ascii="Bookman Old Style" w:eastAsia="Adobe Myungjo Std M" w:hAnsi="Bookman Old Style"/>
          <w:b/>
          <w:szCs w:val="18"/>
        </w:rPr>
      </w:pPr>
    </w:p>
    <w:p w14:paraId="773ED1BB" w14:textId="77777777" w:rsidR="00FF6253" w:rsidRDefault="00FF6253" w:rsidP="00FF6253">
      <w:pPr>
        <w:pStyle w:val="ListParagraph"/>
        <w:rPr>
          <w:rFonts w:ascii="Bookman Old Style" w:eastAsia="Adobe Myungjo Std M" w:hAnsi="Bookman Old Style"/>
          <w:b/>
          <w:szCs w:val="18"/>
        </w:rPr>
      </w:pPr>
    </w:p>
    <w:p w14:paraId="7E2625FA" w14:textId="0C4C3905" w:rsidR="00FD508A" w:rsidRPr="00FF6253" w:rsidRDefault="00FF6253" w:rsidP="00FF6253">
      <w:pPr>
        <w:pStyle w:val="ListParagraph"/>
        <w:ind w:left="426"/>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eferences</w:t>
      </w:r>
    </w:p>
    <w:p w14:paraId="27681191" w14:textId="77777777" w:rsidR="00E906E5" w:rsidRPr="00FF6253" w:rsidRDefault="00FD508A" w:rsidP="00FF6253">
      <w:pPr>
        <w:pStyle w:val="Bibliography"/>
        <w:ind w:leftChars="193" w:left="425"/>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E906E5" w:rsidRPr="00FF6253">
        <w:t>Aginta, H. (2021). Spatial dynamics of consumer price in Indonesia: Convergence clubs and conditioning factors. Asia-Pacific Journal of Regional Science, 5(2), 427–451. https://doi.org/10.1007/s41685-020-00178-0</w:t>
      </w:r>
    </w:p>
    <w:p w14:paraId="5E76AB56" w14:textId="77777777" w:rsidR="00E906E5" w:rsidRPr="00FF6253" w:rsidRDefault="00E906E5" w:rsidP="00FF6253">
      <w:pPr>
        <w:pStyle w:val="Bibliography"/>
        <w:ind w:leftChars="193" w:left="425"/>
      </w:pPr>
      <w:r w:rsidRPr="00FF6253">
        <w:t>Aginta, H., Gunawan, A. B., &amp; Mendez, C. (2020). Regional income disparities and convergence clubs in Indonesia: New district-level evidence. Journal of the Asia Pacific Economy, 1–33.</w:t>
      </w:r>
    </w:p>
    <w:p w14:paraId="0997DCE9" w14:textId="77777777" w:rsidR="00E906E5" w:rsidRPr="00FF6253" w:rsidRDefault="00E906E5" w:rsidP="00FF6253">
      <w:pPr>
        <w:pStyle w:val="Bibliography"/>
        <w:ind w:leftChars="193" w:left="425"/>
      </w:pPr>
      <w:r w:rsidRPr="00FF6253">
        <w:t>Azariadis, C., &amp; Drazen, A. (1990). Threshold Externalities in Economic Development. The Quarterly Journal of Economics, 105(2), 501–526. JSTOR. https://doi.org/10.2307/2937797</w:t>
      </w:r>
    </w:p>
    <w:p w14:paraId="220281E1" w14:textId="77777777" w:rsidR="00E906E5" w:rsidRPr="00FF6253" w:rsidRDefault="00E906E5" w:rsidP="00FF6253">
      <w:pPr>
        <w:pStyle w:val="Bibliography"/>
        <w:ind w:leftChars="193" w:left="425"/>
      </w:pPr>
      <w:r w:rsidRPr="00FF6253">
        <w:t>Bartkowska, M., &amp; Riedl, A. (2012). Regional convergence clubs in Europe: Identiﬁcation and conditioning factors. Economic Modelling, 29(1), 22–31.</w:t>
      </w:r>
    </w:p>
    <w:p w14:paraId="553D6729" w14:textId="77777777" w:rsidR="00E906E5" w:rsidRPr="00FF6253" w:rsidRDefault="00E906E5" w:rsidP="00FF6253">
      <w:pPr>
        <w:pStyle w:val="Bibliography"/>
        <w:ind w:leftChars="193" w:left="425"/>
      </w:pPr>
      <w:r w:rsidRPr="00FF6253">
        <w:t>Collin, K., Lundh, C., &amp; Prado, S. (2019). Exploring regional wage dispersion in Swedish manufacturing, 1860–2009. Scandinavian Economic History Review, 67(3), 249–268.</w:t>
      </w:r>
    </w:p>
    <w:p w14:paraId="2FAB623E" w14:textId="77777777" w:rsidR="00E906E5" w:rsidRPr="00FF6253" w:rsidRDefault="00E906E5" w:rsidP="00FF6253">
      <w:pPr>
        <w:pStyle w:val="Bibliography"/>
        <w:ind w:leftChars="193" w:left="425"/>
      </w:pPr>
      <w:r w:rsidRPr="00FF6253">
        <w:t>Corrado, L., Martin, R., &amp; Weeks, M. (2005). Identifying and Interpreting Regional Convergence Clusters across Europe*. The Economic Journal, 115(502), C133–C160. https://doi.org/10.1111/j.0013-0133.2005.00984.x</w:t>
      </w:r>
    </w:p>
    <w:p w14:paraId="5CE4AFE6" w14:textId="77777777" w:rsidR="00E906E5" w:rsidRPr="00FF6253" w:rsidRDefault="00E906E5" w:rsidP="00FF6253">
      <w:pPr>
        <w:pStyle w:val="Bibliography"/>
        <w:ind w:leftChars="193" w:left="425"/>
      </w:pPr>
      <w:r w:rsidRPr="00FF6253">
        <w:t>Federico, G. (2012). How much do we know about market integration in Europe? 1. The Economic History Review, 65(2), 470–497.</w:t>
      </w:r>
    </w:p>
    <w:p w14:paraId="4C3D006B" w14:textId="77777777" w:rsidR="00E906E5" w:rsidRPr="00FF6253" w:rsidRDefault="00E906E5" w:rsidP="00FF6253">
      <w:pPr>
        <w:pStyle w:val="Bibliography"/>
        <w:ind w:leftChars="193" w:left="425"/>
      </w:pPr>
      <w:r w:rsidRPr="00FF6253">
        <w:t>Firdaus, M., &amp; Yusop, Z. (2009). Dynamic analysis of regional convergence in Indonesia.</w:t>
      </w:r>
    </w:p>
    <w:p w14:paraId="5B45D7FE" w14:textId="77777777" w:rsidR="00E906E5" w:rsidRPr="00FF6253" w:rsidRDefault="00E906E5" w:rsidP="00FF6253">
      <w:pPr>
        <w:pStyle w:val="Bibliography"/>
        <w:ind w:leftChars="193" w:left="425"/>
      </w:pPr>
      <w:r w:rsidRPr="00FF6253">
        <w:t>Galizia, P. C. (2015). Mediterranean labor markets in the first age of globalization: An economic history of real wages and market integration. Springer.</w:t>
      </w:r>
    </w:p>
    <w:p w14:paraId="217C2449" w14:textId="77777777" w:rsidR="00E906E5" w:rsidRPr="00FF6253" w:rsidRDefault="00E906E5" w:rsidP="00FF6253">
      <w:pPr>
        <w:pStyle w:val="Bibliography"/>
        <w:ind w:leftChars="193" w:left="425"/>
      </w:pPr>
      <w:r w:rsidRPr="00FF6253">
        <w:t>Hobijn, B., &amp; Franses, P. H. (2000). Asymptotically Perfect and Relative Convergence of Productivity. Journal of Applied Econometrics, 15(1), 59–81. JSTOR.</w:t>
      </w:r>
    </w:p>
    <w:p w14:paraId="3288C569" w14:textId="77777777" w:rsidR="00E906E5" w:rsidRPr="00FF6253" w:rsidRDefault="00E906E5" w:rsidP="00FF6253">
      <w:pPr>
        <w:pStyle w:val="Bibliography"/>
        <w:ind w:leftChars="193" w:left="425"/>
      </w:pPr>
      <w:r w:rsidRPr="00FF6253">
        <w:lastRenderedPageBreak/>
        <w:t>Kharisma, B., &amp; Saleh, S. (2013). Convergence of Income Among Provinces in Indonesia 1984-2008: A Panel Data Approach. Journal of Indonesian Economy and Business, 28(2), 167–187.</w:t>
      </w:r>
    </w:p>
    <w:p w14:paraId="440A0C29" w14:textId="77777777" w:rsidR="00E906E5" w:rsidRPr="00FF6253" w:rsidRDefault="00E906E5" w:rsidP="00FF6253">
      <w:pPr>
        <w:pStyle w:val="Bibliography"/>
        <w:ind w:leftChars="193" w:left="425"/>
      </w:pPr>
      <w:r w:rsidRPr="00FF6253">
        <w:t>Mantra, I. B. (1992). Pola dan arah migrasi penduduk antar propinsi di Indonesia tahun 1990. Populasi, 3(2).</w:t>
      </w:r>
    </w:p>
    <w:p w14:paraId="50815184" w14:textId="77777777" w:rsidR="00E906E5" w:rsidRPr="00FF6253" w:rsidRDefault="00E906E5" w:rsidP="00FF6253">
      <w:pPr>
        <w:pStyle w:val="Bibliography"/>
        <w:ind w:leftChars="193" w:left="425"/>
      </w:pPr>
      <w:r w:rsidRPr="00FF6253">
        <w:t>McKelvey, R. D., &amp; Zavoina, W. (1975). A statistical model for the analysis of ordinal level dependent variables. Journal of Mathematical Sociology, 4(1), 103–120.</w:t>
      </w:r>
    </w:p>
    <w:p w14:paraId="0C211FE1" w14:textId="77777777" w:rsidR="00E906E5" w:rsidRPr="00FF6253" w:rsidRDefault="00E906E5" w:rsidP="00FF6253">
      <w:pPr>
        <w:pStyle w:val="Bibliography"/>
        <w:ind w:leftChars="193" w:left="425"/>
      </w:pPr>
      <w:r w:rsidRPr="00FF6253">
        <w:t>Phillips, P. C. B., &amp; Sul, D. (2007). Transition Modelling and Econometric Convergence Tests. Econometerica, 75(6), 1771–1855.</w:t>
      </w:r>
    </w:p>
    <w:p w14:paraId="6DD0B5EE" w14:textId="77777777" w:rsidR="00E906E5" w:rsidRPr="00FF6253" w:rsidRDefault="00E906E5" w:rsidP="00FF6253">
      <w:pPr>
        <w:pStyle w:val="Bibliography"/>
        <w:ind w:leftChars="193" w:left="425"/>
      </w:pPr>
      <w:r w:rsidRPr="00FF6253">
        <w:t>Phillips, P. C. B., &amp; Sul, D. (2009). Economic transition and growth. Journal of Applied Econometrics, 24(7), 1153–1185. https://doi.org/10.1002/jae.1080</w:t>
      </w:r>
    </w:p>
    <w:p w14:paraId="7AE05854" w14:textId="77777777" w:rsidR="00E906E5" w:rsidRPr="00FF6253" w:rsidRDefault="00E906E5" w:rsidP="00FF6253">
      <w:pPr>
        <w:pStyle w:val="Bibliography"/>
        <w:ind w:leftChars="193" w:left="425"/>
      </w:pPr>
      <w:r w:rsidRPr="00FF6253">
        <w:t>Prado, S., Lundh, C., Collin, K., &amp; Enflo, K. (2020). Labour and the ‘law of one price’: Regional wage convergence of farm workers in Sweden, 1757–1980. Scandinavian Economic History Review, 1–22.</w:t>
      </w:r>
    </w:p>
    <w:p w14:paraId="0BA98BE0" w14:textId="77777777" w:rsidR="00E906E5" w:rsidRPr="00FF6253" w:rsidRDefault="00E906E5" w:rsidP="00FF6253">
      <w:pPr>
        <w:pStyle w:val="Bibliography"/>
        <w:ind w:leftChars="193" w:left="425"/>
      </w:pPr>
      <w:r w:rsidRPr="00FF6253">
        <w:t>Rosenbloom, J. L. (1998). Strikebreaking and the labor market in the United States, 1881-1894. Journal of Economic History, 183–205.</w:t>
      </w:r>
    </w:p>
    <w:p w14:paraId="0267BF82" w14:textId="77777777" w:rsidR="00E906E5" w:rsidRPr="00FF6253" w:rsidRDefault="00E906E5" w:rsidP="00FF6253">
      <w:pPr>
        <w:pStyle w:val="Bibliography"/>
        <w:ind w:leftChars="193" w:left="425"/>
      </w:pPr>
      <w:r w:rsidRPr="00FF6253">
        <w:t>Rosenbloom, J. L., &amp; Sundstrom, W. A. (2002). The decline in hours of work in us labour markets, 1890–1903. In Labour Market Evolution (pp. 175–198). Routledge.</w:t>
      </w:r>
    </w:p>
    <w:p w14:paraId="612A9B5E" w14:textId="77777777" w:rsidR="00E906E5" w:rsidRPr="00FF6253" w:rsidRDefault="00E906E5" w:rsidP="00FF6253">
      <w:pPr>
        <w:pStyle w:val="Bibliography"/>
        <w:ind w:leftChars="193" w:left="425"/>
      </w:pPr>
      <w:r w:rsidRPr="00FF6253">
        <w:t>Vidyattama, Y. (2006). Regional Convergence and Indonesia Economic Dynamics. Economics and Finance in Indonesia, 54, 197–227.</w:t>
      </w:r>
    </w:p>
    <w:p w14:paraId="75736FFA" w14:textId="32199692" w:rsidR="00FD508A" w:rsidRPr="00EB13DE" w:rsidRDefault="00FD508A" w:rsidP="00FF6253">
      <w:pPr>
        <w:pStyle w:val="ListParagraph"/>
        <w:ind w:leftChars="193" w:left="425"/>
        <w:rPr>
          <w:rFonts w:ascii="Bookman Old Style" w:eastAsia="Adobe Myungjo Std M" w:hAnsi="Bookman Old Style"/>
          <w:b/>
          <w:szCs w:val="18"/>
        </w:rPr>
      </w:pPr>
      <w:r>
        <w:rPr>
          <w:rFonts w:ascii="Bookman Old Style" w:eastAsia="Adobe Myungjo Std M" w:hAnsi="Bookman Old Style"/>
          <w:b/>
          <w:szCs w:val="18"/>
        </w:rPr>
        <w:fldChar w:fldCharType="end"/>
      </w:r>
    </w:p>
    <w:p w14:paraId="2B6998E4" w14:textId="77777777" w:rsidR="005F5ACD" w:rsidRDefault="005F5ACD" w:rsidP="005F5ACD">
      <w:pPr>
        <w:pStyle w:val="ListParagraph"/>
        <w:rPr>
          <w:rFonts w:ascii="Bookman Old Style" w:eastAsia="Adobe Myungjo Std M" w:hAnsi="Bookman Old Style"/>
          <w:b/>
          <w:szCs w:val="18"/>
        </w:rPr>
      </w:pPr>
    </w:p>
    <w:p w14:paraId="10155E32" w14:textId="190B985F"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77777777" w:rsidR="00597509" w:rsidRPr="00597509" w:rsidRDefault="00597509" w:rsidP="00597509">
      <w:pPr>
        <w:pStyle w:val="ListParagraph"/>
        <w:ind w:left="426"/>
        <w:rPr>
          <w:rFonts w:ascii="Bookman Old Style" w:eastAsia="Adobe Myungjo Std M" w:hAnsi="Bookman Old Style"/>
          <w:b/>
          <w:szCs w:val="18"/>
        </w:rPr>
      </w:pPr>
      <w:bookmarkStart w:id="0" w:name="Xc5d69006932744313775fe901e892f4ba62d16e"/>
      <w:r w:rsidRPr="00597509">
        <w:rPr>
          <w:rFonts w:ascii="Bookman Old Style" w:eastAsia="Adobe Myungjo Std M" w:hAnsi="Bookman Old Style"/>
          <w:b/>
          <w:szCs w:val="18"/>
        </w:rPr>
        <w:t>Appendix 1: Steps of convergence clubs identification process.</w:t>
      </w:r>
      <w:bookmarkEnd w:id="0"/>
    </w:p>
    <w:p w14:paraId="74D76DD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Ordering: Sample units (provinces) are arranged in decreasing order according to their observations in the last period.</w:t>
      </w:r>
    </w:p>
    <w:p w14:paraId="079D122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Constructing the core group: A core group of sample units (provinces) is identified based on the maximum </w:t>
      </w:r>
      <w:r w:rsidRPr="007B1F71">
        <w:rPr>
          <w:rFonts w:asciiTheme="minorHAnsi" w:eastAsiaTheme="minorEastAsia" w:hAnsiTheme="minorHAnsi" w:cstheme="minorBidi"/>
          <w:b w:val="0"/>
          <w:i/>
          <w:iCs/>
          <w:sz w:val="22"/>
          <w:szCs w:val="22"/>
          <w:lang w:val="en-US"/>
        </w:rPr>
        <w:t>tk</w:t>
      </w:r>
      <w:r w:rsidRPr="00597509">
        <w:rPr>
          <w:rFonts w:asciiTheme="minorHAnsi" w:eastAsiaTheme="minorEastAsia" w:hAnsiTheme="minorHAnsi" w:cstheme="minorBidi"/>
          <w:b w:val="0"/>
          <w:sz w:val="22"/>
          <w:szCs w:val="22"/>
          <w:lang w:val="en-US"/>
        </w:rPr>
        <w:t xml:space="preserve">, which is obtained from a series of sequential estimations of equation 8 for the </w:t>
      </w:r>
      <w:r w:rsidRPr="007B1F71">
        <w:rPr>
          <w:rFonts w:asciiTheme="minorHAnsi" w:eastAsiaTheme="minorEastAsia" w:hAnsiTheme="minorHAnsi" w:cstheme="minorBidi"/>
          <w:b w:val="0"/>
          <w:i/>
          <w:iCs/>
          <w:sz w:val="22"/>
          <w:szCs w:val="22"/>
          <w:lang w:val="en-US"/>
        </w:rPr>
        <w:t>k</w:t>
      </w:r>
      <w:r w:rsidRPr="00597509">
        <w:rPr>
          <w:rFonts w:asciiTheme="minorHAnsi" w:eastAsiaTheme="minorEastAsia" w:hAnsiTheme="minorHAnsi" w:cstheme="minorBidi"/>
          <w:b w:val="0"/>
          <w:sz w:val="22"/>
          <w:szCs w:val="22"/>
          <w:lang w:val="en-US"/>
        </w:rPr>
        <w:t xml:space="preserve"> largest group (2 ≤ kN). </w:t>
      </w:r>
    </w:p>
    <w:p w14:paraId="2FCD4F63"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Deciding club membership: Sample units (provinces) not belonging to the core group are re-evaluated one at a time with log t regression. A new group is formed when the </w:t>
      </w:r>
      <w:r w:rsidRPr="007B1F71">
        <w:rPr>
          <w:rFonts w:asciiTheme="minorHAnsi" w:eastAsiaTheme="minorEastAsia" w:hAnsiTheme="minorHAnsi" w:cstheme="minorBidi"/>
          <w:b w:val="0"/>
          <w:i/>
          <w:iCs/>
          <w:sz w:val="22"/>
          <w:szCs w:val="22"/>
          <w:lang w:val="en-US"/>
        </w:rPr>
        <w:t>t</w:t>
      </w:r>
      <w:r w:rsidRPr="00597509">
        <w:rPr>
          <w:rFonts w:asciiTheme="minorHAnsi" w:eastAsiaTheme="minorEastAsia" w:hAnsiTheme="minorHAnsi" w:cstheme="minorBidi"/>
          <w:b w:val="0"/>
          <w:sz w:val="22"/>
          <w:szCs w:val="22"/>
          <w:lang w:val="en-US"/>
        </w:rPr>
        <w:t xml:space="preserve">-statistic &gt; 0. </w:t>
      </w:r>
    </w:p>
    <w:p w14:paraId="09471D76" w14:textId="3532E633" w:rsidR="00DB0A85" w:rsidRPr="003B44B0" w:rsidRDefault="00597509"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Iteration and stopping rule: The regression model of equation 7 is applied for the remaining sample units (provinces). If the process shows the rejection of null hypothesis of convergence, Steps 1 to 3 are performed again. The reaming sample units (provinces) are labeled as divergent if no core group is found, and the algorithm stops.</w:t>
      </w:r>
    </w:p>
    <w:p w14:paraId="0D15FBFE" w14:textId="64BFE51A" w:rsidR="00DB0A85" w:rsidRPr="00DB0A85" w:rsidRDefault="00DB0A85" w:rsidP="00DB0A85">
      <w:pPr>
        <w:pStyle w:val="ListParagraph"/>
        <w:ind w:left="426"/>
        <w:rPr>
          <w:rFonts w:ascii="Bookman Old Style" w:eastAsia="Adobe Myungjo Std M" w:hAnsi="Bookman Old Style"/>
          <w:b/>
          <w:szCs w:val="18"/>
        </w:rPr>
      </w:pPr>
      <w:r w:rsidRPr="00597509">
        <w:rPr>
          <w:rFonts w:ascii="Bookman Old Style" w:eastAsia="Adobe Myungjo Std M" w:hAnsi="Bookman Old Style"/>
          <w:b/>
          <w:szCs w:val="18"/>
        </w:rPr>
        <w:lastRenderedPageBreak/>
        <w:t xml:space="preserve">Appendix </w:t>
      </w:r>
      <w:r>
        <w:rPr>
          <w:rFonts w:ascii="Bookman Old Style" w:eastAsia="Adobe Myungjo Std M" w:hAnsi="Bookman Old Style"/>
          <w:b/>
          <w:szCs w:val="18"/>
        </w:rPr>
        <w:t>2</w:t>
      </w:r>
      <w:r w:rsidRPr="00597509">
        <w:rPr>
          <w:rFonts w:ascii="Bookman Old Style" w:eastAsia="Adobe Myungjo Std M" w:hAnsi="Bookman Old Style"/>
          <w:b/>
          <w:szCs w:val="18"/>
        </w:rPr>
        <w:t xml:space="preserve">: </w:t>
      </w:r>
      <w:r>
        <w:rPr>
          <w:rFonts w:ascii="Bookman Old Style" w:eastAsia="Adobe Myungjo Std M" w:hAnsi="Bookman Old Style"/>
          <w:b/>
          <w:szCs w:val="18"/>
        </w:rPr>
        <w:t>Test for clubs merging</w:t>
      </w:r>
    </w:p>
    <w:p w14:paraId="498A503A" w14:textId="58D15D63" w:rsidR="00DB0A85" w:rsidRPr="00DB0A85" w:rsidRDefault="00DB0A85" w:rsidP="00DB0A85">
      <w:pPr>
        <w:pStyle w:val="BodyText"/>
        <w:snapToGrid w:val="0"/>
        <w:spacing w:line="360" w:lineRule="auto"/>
        <w:ind w:left="425"/>
        <w:jc w:val="both"/>
        <w:rPr>
          <w:rFonts w:asciiTheme="minorHAnsi" w:eastAsiaTheme="minorEastAsia" w:hAnsiTheme="minorHAnsi" w:cstheme="minorBidi"/>
          <w:b w:val="0"/>
          <w:sz w:val="22"/>
          <w:szCs w:val="22"/>
          <w:lang w:val="en-US"/>
        </w:rPr>
      </w:pPr>
      <w:r w:rsidRPr="00DB0A85">
        <w:rPr>
          <w:rFonts w:asciiTheme="minorHAnsi" w:eastAsiaTheme="minorEastAsia" w:hAnsiTheme="minorHAnsi" w:cstheme="minorBidi"/>
          <w:b w:val="0"/>
          <w:sz w:val="22"/>
          <w:szCs w:val="22"/>
          <w:lang w:val="en-US"/>
        </w:rPr>
        <w:t>To evaluate whether the clubs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according to the clustering algorithm described in </w:t>
      </w:r>
      <w:r>
        <w:rPr>
          <w:rFonts w:asciiTheme="minorHAnsi" w:eastAsiaTheme="minorEastAsia" w:hAnsiTheme="minorHAnsi" w:cstheme="minorBidi"/>
          <w:b w:val="0"/>
          <w:sz w:val="22"/>
          <w:szCs w:val="22"/>
          <w:lang w:val="en-US"/>
        </w:rPr>
        <w:t>Section 3.1.2</w:t>
      </w:r>
      <w:r w:rsidRPr="00DB0A85">
        <w:rPr>
          <w:rFonts w:asciiTheme="minorHAnsi" w:eastAsiaTheme="minorEastAsia" w:hAnsiTheme="minorHAnsi" w:cstheme="minorBidi"/>
          <w:b w:val="0"/>
          <w:sz w:val="22"/>
          <w:szCs w:val="22"/>
          <w:lang w:val="en-US"/>
        </w:rPr>
        <w:t xml:space="preserve"> and Appendix 1 can be merged, in this study, we use a “club merging</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algorithm” by Phillips and Sul (2009). By testing for merging between adjacent clubs, the procedure works as follows: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apply log t test on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two initial groups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in the clustering mechanism. If the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-statistic</w:t>
      </w:r>
      <w:r>
        <w:rPr>
          <w:rFonts w:asciiTheme="minorHAnsi" w:eastAsiaTheme="minorEastAsia" w:hAnsiTheme="minorHAnsi" w:cstheme="minorBidi"/>
          <w:b w:val="0"/>
          <w:sz w:val="22"/>
          <w:szCs w:val="22"/>
          <w:lang w:val="en-US"/>
        </w:rPr>
        <w:t xml:space="preserve">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these two groups together form a new convergence club. Second, repeat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step by adding the next club.</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Continue this process until the condition of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c</w:t>
      </w:r>
      <w:r w:rsidR="00E815DF">
        <w:rPr>
          <w:rFonts w:asciiTheme="minorHAnsi" w:eastAsiaTheme="minorEastAsia" w:hAnsiTheme="minorHAnsi" w:cstheme="minorBidi"/>
          <w:b w:val="0"/>
          <w:sz w:val="22"/>
          <w:szCs w:val="22"/>
          <w:lang w:val="en-US"/>
        </w:rPr>
        <w:t xml:space="preserve"> &gt;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 xml:space="preserve">1.65 is achieved. Third, if convergence hypothesis is rejected, that is when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 xml:space="preserve">c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does not hold, we assume that all previous groups converge, except the last added one. Hence, we restart the merging algorithm from the club for which the hypothesis of convergence does not hold.</w:t>
      </w:r>
      <w:r>
        <w:rPr>
          <w:rFonts w:asciiTheme="minorHAnsi" w:eastAsiaTheme="minorEastAsia" w:hAnsiTheme="minorHAnsi" w:cstheme="minorBidi"/>
          <w:b w:val="0"/>
          <w:sz w:val="22"/>
          <w:szCs w:val="22"/>
          <w:lang w:val="en-US"/>
        </w:rPr>
        <w:t xml:space="preserve"> </w:t>
      </w:r>
    </w:p>
    <w:p w14:paraId="0C82EECF" w14:textId="77777777" w:rsidR="00597509" w:rsidRPr="00597509" w:rsidRDefault="00597509" w:rsidP="005F5ACD">
      <w:pPr>
        <w:pStyle w:val="ListParagraph"/>
        <w:ind w:left="426"/>
        <w:rPr>
          <w:rFonts w:ascii="Bookman Old Style" w:eastAsia="Adobe Myungjo Std M" w:hAnsi="Bookman Old Style"/>
          <w:b/>
          <w:szCs w:val="18"/>
          <w:lang w:val="en-GB"/>
        </w:rPr>
      </w:pPr>
    </w:p>
    <w:p w14:paraId="6EA38837" w14:textId="77777777" w:rsidR="003B44B0" w:rsidRDefault="003B44B0" w:rsidP="005F5ACD">
      <w:pPr>
        <w:snapToGrid w:val="0"/>
        <w:spacing w:after="0" w:line="240" w:lineRule="auto"/>
        <w:ind w:left="357"/>
        <w:jc w:val="center"/>
        <w:sectPr w:rsidR="003B44B0">
          <w:pgSz w:w="12240" w:h="15840"/>
          <w:pgMar w:top="1440" w:right="1440" w:bottom="1440" w:left="1440" w:header="720" w:footer="720" w:gutter="0"/>
          <w:cols w:space="720"/>
          <w:docGrid w:linePitch="360"/>
        </w:sectPr>
      </w:pPr>
    </w:p>
    <w:p w14:paraId="0ADE37AC" w14:textId="7CB609D1" w:rsidR="005F5ACD" w:rsidRPr="005F5ACD" w:rsidRDefault="005F5ACD" w:rsidP="005F5ACD">
      <w:pPr>
        <w:snapToGrid w:val="0"/>
        <w:spacing w:after="0" w:line="240" w:lineRule="auto"/>
        <w:ind w:left="357"/>
        <w:jc w:val="center"/>
      </w:pPr>
      <w:r w:rsidRPr="005F5ACD">
        <w:lastRenderedPageBreak/>
        <w:t xml:space="preserve">Table A1. </w:t>
      </w:r>
      <w:r>
        <w:t>Descriptive statistics of real wage in 34 Indonesian provinces</w:t>
      </w:r>
    </w:p>
    <w:p w14:paraId="4B8379B3" w14:textId="30CE7DEE" w:rsidR="005F5ACD" w:rsidRDefault="005F5ACD" w:rsidP="005F5ACD">
      <w:pPr>
        <w:snapToGrid w:val="0"/>
        <w:spacing w:after="0" w:line="240" w:lineRule="auto"/>
        <w:ind w:left="357"/>
        <w:jc w:val="center"/>
        <w:rPr>
          <w:rFonts w:eastAsia="Adobe Myungjo Std M" w:cstheme="minorHAnsi"/>
          <w:szCs w:val="18"/>
        </w:rPr>
      </w:pPr>
      <w:r w:rsidRPr="005F5ACD">
        <w:rPr>
          <w:noProof/>
        </w:rPr>
        <w:drawing>
          <wp:inline distT="0" distB="0" distL="0" distR="0" wp14:anchorId="7E1EDDA8" wp14:editId="18051540">
            <wp:extent cx="3048000" cy="6290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045" cy="6298900"/>
                    </a:xfrm>
                    <a:prstGeom prst="rect">
                      <a:avLst/>
                    </a:prstGeom>
                    <a:noFill/>
                    <a:ln>
                      <a:noFill/>
                    </a:ln>
                  </pic:spPr>
                </pic:pic>
              </a:graphicData>
            </a:graphic>
          </wp:inline>
        </w:drawing>
      </w:r>
    </w:p>
    <w:p w14:paraId="7CC1F2D7" w14:textId="1CC13938" w:rsidR="005F5ACD" w:rsidRPr="005F5ACD" w:rsidRDefault="005F5ACD" w:rsidP="005F5ACD">
      <w:pPr>
        <w:snapToGrid w:val="0"/>
        <w:spacing w:after="0" w:line="240" w:lineRule="auto"/>
        <w:ind w:leftChars="1162" w:left="2556"/>
        <w:rPr>
          <w:sz w:val="20"/>
          <w:szCs w:val="20"/>
        </w:rPr>
      </w:pPr>
      <w:r w:rsidRPr="005F5ACD">
        <w:rPr>
          <w:rFonts w:hint="eastAsia"/>
          <w:sz w:val="20"/>
          <w:szCs w:val="20"/>
        </w:rPr>
        <w:t>N</w:t>
      </w:r>
      <w:r w:rsidRPr="005F5ACD">
        <w:rPr>
          <w:sz w:val="20"/>
          <w:szCs w:val="20"/>
        </w:rPr>
        <w:t>ote: In thousands of IDR, monthly</w:t>
      </w:r>
    </w:p>
    <w:p w14:paraId="3BBCED05" w14:textId="58B6AA18" w:rsidR="005F5ACD" w:rsidRPr="005F5ACD" w:rsidRDefault="005F5ACD" w:rsidP="005F5ACD">
      <w:pPr>
        <w:snapToGrid w:val="0"/>
        <w:spacing w:after="0" w:line="240" w:lineRule="auto"/>
        <w:ind w:leftChars="1162" w:left="2556"/>
      </w:pPr>
      <w:r w:rsidRPr="005F5ACD">
        <w:rPr>
          <w:rFonts w:hint="eastAsia"/>
          <w:sz w:val="20"/>
          <w:szCs w:val="20"/>
        </w:rPr>
        <w:t>S</w:t>
      </w:r>
      <w:r w:rsidRPr="005F5ACD">
        <w:rPr>
          <w:sz w:val="20"/>
          <w:szCs w:val="20"/>
        </w:rPr>
        <w:t>ource: Authors’ computation</w:t>
      </w:r>
    </w:p>
    <w:sectPr w:rsidR="005F5ACD" w:rsidRPr="005F5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8D82" w14:textId="77777777" w:rsidR="00194B87" w:rsidRDefault="00194B87" w:rsidP="00186716">
      <w:pPr>
        <w:spacing w:after="0" w:line="240" w:lineRule="auto"/>
      </w:pPr>
      <w:r>
        <w:separator/>
      </w:r>
    </w:p>
  </w:endnote>
  <w:endnote w:type="continuationSeparator" w:id="0">
    <w:p w14:paraId="7C4B418E" w14:textId="77777777" w:rsidR="00194B87" w:rsidRDefault="00194B87"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74D7F1CD" w:rsidR="00537001" w:rsidRDefault="005370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41138A" w14:textId="77777777" w:rsidR="00537001" w:rsidRDefault="00537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87A6" w14:textId="77777777" w:rsidR="00194B87" w:rsidRDefault="00194B87" w:rsidP="00186716">
      <w:pPr>
        <w:spacing w:after="0" w:line="240" w:lineRule="auto"/>
      </w:pPr>
      <w:r>
        <w:separator/>
      </w:r>
    </w:p>
  </w:footnote>
  <w:footnote w:type="continuationSeparator" w:id="0">
    <w:p w14:paraId="39EBB834" w14:textId="77777777" w:rsidR="00194B87" w:rsidRDefault="00194B87" w:rsidP="00186716">
      <w:pPr>
        <w:spacing w:after="0" w:line="240" w:lineRule="auto"/>
      </w:pPr>
      <w:r>
        <w:continuationSeparator/>
      </w:r>
    </w:p>
  </w:footnote>
  <w:footnote w:id="1">
    <w:p w14:paraId="7D1FF065" w14:textId="70AE1B7E" w:rsidR="00B2106A" w:rsidRPr="00B2106A" w:rsidRDefault="00B2106A" w:rsidP="00BB4D91">
      <w:pPr>
        <w:pStyle w:val="ListParagraph"/>
        <w:spacing w:line="240" w:lineRule="auto"/>
        <w:ind w:leftChars="257" w:left="567" w:hanging="2"/>
        <w:jc w:val="both"/>
      </w:pPr>
      <w:r w:rsidRPr="000A1BA8">
        <w:rPr>
          <w:rStyle w:val="FootnoteReference"/>
          <w:sz w:val="20"/>
          <w:szCs w:val="20"/>
        </w:rPr>
        <w:footnoteRef/>
      </w:r>
      <w:r w:rsidRPr="000A1BA8">
        <w:rPr>
          <w:sz w:val="20"/>
          <w:szCs w:val="20"/>
        </w:rPr>
        <w:t xml:space="preserve"> We used merging algorithm described in Appendix </w:t>
      </w:r>
      <w:r w:rsidR="00DB0A85" w:rsidRPr="000A1BA8">
        <w:rPr>
          <w:sz w:val="20"/>
          <w:szCs w:val="20"/>
        </w:rPr>
        <w:t>2</w:t>
      </w:r>
      <w:r w:rsidRPr="000A1BA8">
        <w:rPr>
          <w:sz w:val="20"/>
          <w:szCs w:val="20"/>
        </w:rPr>
        <w:t xml:space="preserve"> to test whether we can form larger convergence clubs based on the formation of initial clubs. The merging test result suggests that the convergence hypothesis is rejected (</w:t>
      </w:r>
      <m:oMath>
        <m:acc>
          <m:accPr>
            <m:ctrlPr>
              <w:rPr>
                <w:rFonts w:ascii="Cambria Math" w:hAnsi="Cambria Math"/>
                <w:sz w:val="20"/>
                <w:szCs w:val="20"/>
              </w:rPr>
            </m:ctrlPr>
          </m:accPr>
          <m:e>
            <m:r>
              <m:rPr>
                <m:sty m:val="bi"/>
              </m:rPr>
              <w:rPr>
                <w:rFonts w:ascii="Cambria Math" w:hAnsi="Cambria Math"/>
                <w:sz w:val="20"/>
                <w:szCs w:val="20"/>
              </w:rPr>
              <m:t>b</m:t>
            </m:r>
          </m:e>
        </m:acc>
      </m:oMath>
      <w:r w:rsidRPr="000A1BA8">
        <w:rPr>
          <w:sz w:val="20"/>
          <w:szCs w:val="20"/>
        </w:rPr>
        <w:t xml:space="preserve">  is significantly &lt; 0 and </w:t>
      </w:r>
      <w:r w:rsidRPr="000A1BA8">
        <w:rPr>
          <w:rFonts w:hint="eastAsia"/>
          <w:i/>
          <w:iCs/>
          <w:sz w:val="20"/>
          <w:szCs w:val="20"/>
        </w:rPr>
        <w:t>t</w:t>
      </w:r>
      <w:r w:rsidRPr="000A1BA8">
        <w:rPr>
          <w:sz w:val="20"/>
          <w:szCs w:val="20"/>
        </w:rPr>
        <w:t xml:space="preserve">-statistics is smaller than -1.65). Hence, the initial </w:t>
      </w:r>
      <w:r w:rsidR="000D0857" w:rsidRPr="000A1BA8">
        <w:rPr>
          <w:sz w:val="20"/>
          <w:szCs w:val="20"/>
        </w:rPr>
        <w:t>three</w:t>
      </w:r>
      <w:r w:rsidRPr="000A1BA8">
        <w:rPr>
          <w:sz w:val="20"/>
          <w:szCs w:val="20"/>
        </w:rPr>
        <w:t xml:space="preserve"> clubs are confirmed as the final convergence clubs.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2227F"/>
    <w:rsid w:val="00024776"/>
    <w:rsid w:val="00030698"/>
    <w:rsid w:val="0004223E"/>
    <w:rsid w:val="00061029"/>
    <w:rsid w:val="00070643"/>
    <w:rsid w:val="000805A8"/>
    <w:rsid w:val="00082691"/>
    <w:rsid w:val="000A1BA8"/>
    <w:rsid w:val="000A3382"/>
    <w:rsid w:val="000B2C99"/>
    <w:rsid w:val="000D0857"/>
    <w:rsid w:val="000D3C2B"/>
    <w:rsid w:val="000D4F2D"/>
    <w:rsid w:val="000F4E8C"/>
    <w:rsid w:val="001074B1"/>
    <w:rsid w:val="00124485"/>
    <w:rsid w:val="00146EB7"/>
    <w:rsid w:val="00153300"/>
    <w:rsid w:val="0015555B"/>
    <w:rsid w:val="00157F1E"/>
    <w:rsid w:val="00175703"/>
    <w:rsid w:val="00186716"/>
    <w:rsid w:val="00194B87"/>
    <w:rsid w:val="001B4288"/>
    <w:rsid w:val="001C0B78"/>
    <w:rsid w:val="00210576"/>
    <w:rsid w:val="0021739F"/>
    <w:rsid w:val="00224483"/>
    <w:rsid w:val="002308D6"/>
    <w:rsid w:val="00244E0E"/>
    <w:rsid w:val="00244EB1"/>
    <w:rsid w:val="002500AB"/>
    <w:rsid w:val="0025643B"/>
    <w:rsid w:val="00270FF5"/>
    <w:rsid w:val="002A519B"/>
    <w:rsid w:val="002B2B9E"/>
    <w:rsid w:val="002D3C2D"/>
    <w:rsid w:val="002D5704"/>
    <w:rsid w:val="002F30D7"/>
    <w:rsid w:val="0030204C"/>
    <w:rsid w:val="003315B4"/>
    <w:rsid w:val="003402F7"/>
    <w:rsid w:val="00344CBC"/>
    <w:rsid w:val="0036179B"/>
    <w:rsid w:val="0037089E"/>
    <w:rsid w:val="003752E0"/>
    <w:rsid w:val="00380389"/>
    <w:rsid w:val="00393F16"/>
    <w:rsid w:val="003B44B0"/>
    <w:rsid w:val="003B6B07"/>
    <w:rsid w:val="003C1987"/>
    <w:rsid w:val="003C4CE2"/>
    <w:rsid w:val="003C7556"/>
    <w:rsid w:val="003D3A20"/>
    <w:rsid w:val="003E4FDC"/>
    <w:rsid w:val="004053BF"/>
    <w:rsid w:val="0040790A"/>
    <w:rsid w:val="00416E13"/>
    <w:rsid w:val="00423971"/>
    <w:rsid w:val="00452E0D"/>
    <w:rsid w:val="00462907"/>
    <w:rsid w:val="00475305"/>
    <w:rsid w:val="004828F6"/>
    <w:rsid w:val="00486773"/>
    <w:rsid w:val="00497A6F"/>
    <w:rsid w:val="004A130F"/>
    <w:rsid w:val="004A16B6"/>
    <w:rsid w:val="004C5DD3"/>
    <w:rsid w:val="004E287E"/>
    <w:rsid w:val="004F2556"/>
    <w:rsid w:val="004F514F"/>
    <w:rsid w:val="004F538E"/>
    <w:rsid w:val="00504073"/>
    <w:rsid w:val="00511618"/>
    <w:rsid w:val="005128F5"/>
    <w:rsid w:val="00521081"/>
    <w:rsid w:val="00526FEB"/>
    <w:rsid w:val="00537001"/>
    <w:rsid w:val="00562171"/>
    <w:rsid w:val="0058421E"/>
    <w:rsid w:val="00587EAC"/>
    <w:rsid w:val="00597168"/>
    <w:rsid w:val="00597509"/>
    <w:rsid w:val="005B5F59"/>
    <w:rsid w:val="005C5EAF"/>
    <w:rsid w:val="005C61A7"/>
    <w:rsid w:val="005E3D8C"/>
    <w:rsid w:val="005E5122"/>
    <w:rsid w:val="005F5ACD"/>
    <w:rsid w:val="00621329"/>
    <w:rsid w:val="00627752"/>
    <w:rsid w:val="00633D61"/>
    <w:rsid w:val="0063574E"/>
    <w:rsid w:val="00637F92"/>
    <w:rsid w:val="006529F7"/>
    <w:rsid w:val="006575AF"/>
    <w:rsid w:val="00675BBB"/>
    <w:rsid w:val="00687DA4"/>
    <w:rsid w:val="006934EF"/>
    <w:rsid w:val="006B6DC9"/>
    <w:rsid w:val="006C414A"/>
    <w:rsid w:val="006C7984"/>
    <w:rsid w:val="006D1A9E"/>
    <w:rsid w:val="006D2FB2"/>
    <w:rsid w:val="006E36B5"/>
    <w:rsid w:val="006E79B9"/>
    <w:rsid w:val="006F401A"/>
    <w:rsid w:val="007016B9"/>
    <w:rsid w:val="00703ECC"/>
    <w:rsid w:val="007056F9"/>
    <w:rsid w:val="00731BE2"/>
    <w:rsid w:val="00742888"/>
    <w:rsid w:val="00760941"/>
    <w:rsid w:val="007630F5"/>
    <w:rsid w:val="00766F05"/>
    <w:rsid w:val="007B1F71"/>
    <w:rsid w:val="007F2DDA"/>
    <w:rsid w:val="00801D5E"/>
    <w:rsid w:val="00832872"/>
    <w:rsid w:val="00842C3E"/>
    <w:rsid w:val="00853726"/>
    <w:rsid w:val="00865B3A"/>
    <w:rsid w:val="008712D7"/>
    <w:rsid w:val="00880F2C"/>
    <w:rsid w:val="00885ECF"/>
    <w:rsid w:val="00897937"/>
    <w:rsid w:val="008B4CB7"/>
    <w:rsid w:val="008D44FF"/>
    <w:rsid w:val="008F5B04"/>
    <w:rsid w:val="009012E9"/>
    <w:rsid w:val="00910021"/>
    <w:rsid w:val="00947042"/>
    <w:rsid w:val="00965BFF"/>
    <w:rsid w:val="009B0895"/>
    <w:rsid w:val="009B10A8"/>
    <w:rsid w:val="009C405D"/>
    <w:rsid w:val="009C408C"/>
    <w:rsid w:val="009E5165"/>
    <w:rsid w:val="009F059C"/>
    <w:rsid w:val="00A03A31"/>
    <w:rsid w:val="00A15AEF"/>
    <w:rsid w:val="00A2006D"/>
    <w:rsid w:val="00A31DBE"/>
    <w:rsid w:val="00A34472"/>
    <w:rsid w:val="00A67EBE"/>
    <w:rsid w:val="00A705D6"/>
    <w:rsid w:val="00A80EE2"/>
    <w:rsid w:val="00A90C0C"/>
    <w:rsid w:val="00A93D81"/>
    <w:rsid w:val="00AA048F"/>
    <w:rsid w:val="00AB3F91"/>
    <w:rsid w:val="00AD3CAB"/>
    <w:rsid w:val="00AE0B24"/>
    <w:rsid w:val="00AF01D2"/>
    <w:rsid w:val="00B16087"/>
    <w:rsid w:val="00B2106A"/>
    <w:rsid w:val="00B3241A"/>
    <w:rsid w:val="00B34EF4"/>
    <w:rsid w:val="00B40673"/>
    <w:rsid w:val="00B575BE"/>
    <w:rsid w:val="00B62DAC"/>
    <w:rsid w:val="00B73AC5"/>
    <w:rsid w:val="00B91CDA"/>
    <w:rsid w:val="00B92DC6"/>
    <w:rsid w:val="00B97059"/>
    <w:rsid w:val="00BB4D91"/>
    <w:rsid w:val="00BC6C6F"/>
    <w:rsid w:val="00BD123E"/>
    <w:rsid w:val="00BD1AEE"/>
    <w:rsid w:val="00BD52CD"/>
    <w:rsid w:val="00C00DA0"/>
    <w:rsid w:val="00C05620"/>
    <w:rsid w:val="00C136C0"/>
    <w:rsid w:val="00C14939"/>
    <w:rsid w:val="00C316BD"/>
    <w:rsid w:val="00C458CC"/>
    <w:rsid w:val="00C53FD9"/>
    <w:rsid w:val="00C73418"/>
    <w:rsid w:val="00C81CDE"/>
    <w:rsid w:val="00C91042"/>
    <w:rsid w:val="00CA0D00"/>
    <w:rsid w:val="00CB2C2F"/>
    <w:rsid w:val="00CC0532"/>
    <w:rsid w:val="00CD253C"/>
    <w:rsid w:val="00CF35FC"/>
    <w:rsid w:val="00D20F47"/>
    <w:rsid w:val="00D22D84"/>
    <w:rsid w:val="00D3468E"/>
    <w:rsid w:val="00D42CF6"/>
    <w:rsid w:val="00D5639B"/>
    <w:rsid w:val="00D613A8"/>
    <w:rsid w:val="00D9152E"/>
    <w:rsid w:val="00DB0A85"/>
    <w:rsid w:val="00DB2081"/>
    <w:rsid w:val="00DB6017"/>
    <w:rsid w:val="00DC621B"/>
    <w:rsid w:val="00DE1903"/>
    <w:rsid w:val="00DF3595"/>
    <w:rsid w:val="00DF4271"/>
    <w:rsid w:val="00DF4C7F"/>
    <w:rsid w:val="00DF5B58"/>
    <w:rsid w:val="00E05033"/>
    <w:rsid w:val="00E1186E"/>
    <w:rsid w:val="00E11B9C"/>
    <w:rsid w:val="00E169DD"/>
    <w:rsid w:val="00E405DB"/>
    <w:rsid w:val="00E45402"/>
    <w:rsid w:val="00E47339"/>
    <w:rsid w:val="00E54DDC"/>
    <w:rsid w:val="00E815DF"/>
    <w:rsid w:val="00E859D4"/>
    <w:rsid w:val="00E906E5"/>
    <w:rsid w:val="00E965AF"/>
    <w:rsid w:val="00EA155C"/>
    <w:rsid w:val="00EA27F2"/>
    <w:rsid w:val="00EB0AC1"/>
    <w:rsid w:val="00EB13DE"/>
    <w:rsid w:val="00EB4A59"/>
    <w:rsid w:val="00EB4D34"/>
    <w:rsid w:val="00EB601B"/>
    <w:rsid w:val="00EB6E93"/>
    <w:rsid w:val="00EC0311"/>
    <w:rsid w:val="00EC1ED7"/>
    <w:rsid w:val="00EC24E8"/>
    <w:rsid w:val="00EC785E"/>
    <w:rsid w:val="00EE5C2F"/>
    <w:rsid w:val="00EE788F"/>
    <w:rsid w:val="00EF47BD"/>
    <w:rsid w:val="00EF7E72"/>
    <w:rsid w:val="00F01D39"/>
    <w:rsid w:val="00F04063"/>
    <w:rsid w:val="00F06AAD"/>
    <w:rsid w:val="00F114CB"/>
    <w:rsid w:val="00F13372"/>
    <w:rsid w:val="00F232B1"/>
    <w:rsid w:val="00F307C6"/>
    <w:rsid w:val="00F3216C"/>
    <w:rsid w:val="00F53207"/>
    <w:rsid w:val="00F60C11"/>
    <w:rsid w:val="00F85833"/>
    <w:rsid w:val="00FA6ED2"/>
    <w:rsid w:val="00FB5375"/>
    <w:rsid w:val="00FD24B1"/>
    <w:rsid w:val="00FD508A"/>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00BA-80D0-4E82-94F4-5EEABC45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19</Pages>
  <Words>10141</Words>
  <Characters>57809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97</cp:revision>
  <cp:lastPrinted>2021-04-04T08:37:00Z</cp:lastPrinted>
  <dcterms:created xsi:type="dcterms:W3CDTF">2021-05-29T02:04:00Z</dcterms:created>
  <dcterms:modified xsi:type="dcterms:W3CDTF">2021-06-20T12:34:00Z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id="cFIROhvz"/&gt;&lt;style id="http://www.zotero.org/styles/apa" locale="en-US" hasBibliography="1" bibliographyStyleHasBeenSet="1"/&gt;&lt;prefs&gt;&lt;pref name="fieldType" value="Field"/&gt;&lt;/prefs&gt;&lt;/data&gt;</vt:lpwstr>
  </property>
</Properties>
</file>