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458268"/>
    <w:p w14:paraId="6042454B" w14:textId="597602E1" w:rsidR="00B34EF4" w:rsidRPr="0054671B" w:rsidRDefault="00B34EF4" w:rsidP="00B34EF4">
      <w:pPr>
        <w:rPr>
          <w:rFonts w:ascii="Bookman Old Style" w:eastAsia="Adobe Myungjo Std M" w:hAnsi="Bookman Old Style"/>
          <w:b/>
          <w:sz w:val="28"/>
        </w:rPr>
      </w:pPr>
      <w:r w:rsidRPr="0054671B">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9F54B5" w:rsidRPr="0054671B">
        <w:rPr>
          <w:rFonts w:ascii="Bookman Old Style" w:eastAsia="Adobe Myungjo Std M" w:hAnsi="Bookman Old Style"/>
          <w:b/>
          <w:sz w:val="28"/>
        </w:rPr>
        <w:t>Testing for c</w:t>
      </w:r>
      <w:r w:rsidR="004C42BA" w:rsidRPr="0054671B">
        <w:rPr>
          <w:rFonts w:ascii="Bookman Old Style" w:eastAsia="Adobe Myungjo Std M" w:hAnsi="Bookman Old Style"/>
          <w:b/>
          <w:sz w:val="28"/>
        </w:rPr>
        <w:t xml:space="preserve">onvergence </w:t>
      </w:r>
      <w:r w:rsidR="009F54B5" w:rsidRPr="0054671B">
        <w:rPr>
          <w:rFonts w:ascii="Bookman Old Style" w:eastAsia="Adobe Myungjo Std M" w:hAnsi="Bookman Old Style"/>
          <w:b/>
          <w:sz w:val="28"/>
        </w:rPr>
        <w:t xml:space="preserve">clubs </w:t>
      </w:r>
      <w:r w:rsidR="004C42BA" w:rsidRPr="0054671B">
        <w:rPr>
          <w:rFonts w:ascii="Bookman Old Style" w:eastAsia="Adobe Myungjo Std M" w:hAnsi="Bookman Old Style"/>
          <w:b/>
          <w:sz w:val="28"/>
        </w:rPr>
        <w:t>in re</w:t>
      </w:r>
      <w:r w:rsidR="00CA7CEC" w:rsidRPr="0054671B">
        <w:rPr>
          <w:rFonts w:ascii="Bookman Old Style" w:eastAsia="Adobe Myungjo Std M" w:hAnsi="Bookman Old Style"/>
          <w:b/>
          <w:sz w:val="28"/>
        </w:rPr>
        <w:t>al</w:t>
      </w:r>
      <w:r w:rsidR="004C42BA" w:rsidRPr="0054671B">
        <w:rPr>
          <w:rFonts w:ascii="Bookman Old Style" w:eastAsia="Adobe Myungjo Std M" w:hAnsi="Bookman Old Style"/>
          <w:b/>
          <w:sz w:val="28"/>
        </w:rPr>
        <w:t xml:space="preserve"> wage</w:t>
      </w:r>
      <w:r w:rsidR="009F54B5" w:rsidRPr="0054671B">
        <w:rPr>
          <w:rFonts w:ascii="Bookman Old Style" w:eastAsia="Adobe Myungjo Std M" w:hAnsi="Bookman Old Style"/>
          <w:b/>
          <w:sz w:val="28"/>
        </w:rPr>
        <w:t xml:space="preserve"> across Indo</w:t>
      </w:r>
      <w:r w:rsidR="00614B20" w:rsidRPr="0054671B">
        <w:rPr>
          <w:rFonts w:ascii="Bookman Old Style" w:eastAsia="Adobe Myungjo Std M" w:hAnsi="Bookman Old Style"/>
          <w:b/>
          <w:sz w:val="28"/>
        </w:rPr>
        <w:t>nesia</w:t>
      </w:r>
      <w:r w:rsidR="009F54B5" w:rsidRPr="0054671B">
        <w:rPr>
          <w:rFonts w:ascii="Bookman Old Style" w:eastAsia="Adobe Myungjo Std M" w:hAnsi="Bookman Old Style"/>
          <w:b/>
          <w:sz w:val="28"/>
        </w:rPr>
        <w:t>n provinces from 2008-2020</w:t>
      </w:r>
    </w:p>
    <w:p w14:paraId="69694A53" w14:textId="6F08BE46" w:rsidR="00B34EF4" w:rsidRPr="0054671B" w:rsidRDefault="00EB6E93" w:rsidP="00B34EF4">
      <w:pPr>
        <w:rPr>
          <w:rFonts w:ascii="Bookman Old Style" w:eastAsia="Adobe Myungjo Std M" w:hAnsi="Bookman Old Style"/>
          <w:b/>
          <w:sz w:val="24"/>
        </w:rPr>
      </w:pPr>
      <w:bookmarkStart w:id="1" w:name="_Hlk87458034"/>
      <w:bookmarkEnd w:id="0"/>
      <w:r w:rsidRPr="0054671B">
        <w:rPr>
          <w:rFonts w:ascii="Bookman Old Style" w:eastAsia="Adobe Myungjo Std M" w:hAnsi="Bookman Old Style"/>
          <w:sz w:val="20"/>
        </w:rPr>
        <w:t>Muhamad Rifki Maulana</w:t>
      </w:r>
      <w:bookmarkEnd w:id="1"/>
      <w:r w:rsidRPr="0054671B">
        <w:rPr>
          <w:rFonts w:ascii="Bookman Old Style" w:eastAsia="Adobe Myungjo Std M" w:hAnsi="Bookman Old Style"/>
          <w:sz w:val="20"/>
        </w:rPr>
        <w:t xml:space="preserve">*, </w:t>
      </w:r>
      <w:r w:rsidR="00B34EF4" w:rsidRPr="0054671B">
        <w:rPr>
          <w:rFonts w:ascii="Bookman Old Style" w:eastAsia="Adobe Myungjo Std M" w:hAnsi="Bookman Old Style"/>
          <w:sz w:val="20"/>
        </w:rPr>
        <w:t>Harry Aginta*</w:t>
      </w:r>
      <w:r w:rsidRPr="0054671B">
        <w:rPr>
          <w:rFonts w:ascii="Bookman Old Style" w:eastAsia="Adobe Myungjo Std M" w:hAnsi="Bookman Old Style"/>
          <w:sz w:val="20"/>
        </w:rPr>
        <w:t>*</w:t>
      </w:r>
    </w:p>
    <w:p w14:paraId="4EE98304" w14:textId="30EB4ECE" w:rsidR="00EB6E93" w:rsidRPr="0054671B" w:rsidRDefault="00B34EF4" w:rsidP="00EB6E93">
      <w:pPr>
        <w:spacing w:after="0" w:line="240" w:lineRule="auto"/>
        <w:rPr>
          <w:rFonts w:ascii="Bookman Old Style" w:eastAsia="Adobe Myungjo Std M" w:hAnsi="Bookman Old Style"/>
          <w:i/>
          <w:sz w:val="16"/>
          <w:szCs w:val="18"/>
        </w:rPr>
      </w:pPr>
      <w:r w:rsidRPr="0054671B">
        <w:rPr>
          <w:rFonts w:ascii="Bookman Old Style" w:eastAsia="Adobe Myungjo Std M" w:hAnsi="Bookman Old Style"/>
          <w:i/>
          <w:sz w:val="16"/>
          <w:szCs w:val="18"/>
        </w:rPr>
        <w:t xml:space="preserve">*    </w:t>
      </w:r>
      <w:r w:rsidR="00EB6E93" w:rsidRPr="0054671B">
        <w:rPr>
          <w:rFonts w:ascii="Bookman Old Style" w:eastAsia="Adobe Myungjo Std M" w:hAnsi="Bookman Old Style"/>
          <w:i/>
          <w:sz w:val="16"/>
          <w:szCs w:val="18"/>
        </w:rPr>
        <w:t>Bank Indonesia</w:t>
      </w:r>
      <w:r w:rsidR="00582DBB" w:rsidRPr="0054671B">
        <w:rPr>
          <w:rFonts w:ascii="Bookman Old Style" w:eastAsia="Adobe Myungjo Std M" w:hAnsi="Bookman Old Style"/>
          <w:i/>
          <w:sz w:val="16"/>
          <w:szCs w:val="18"/>
        </w:rPr>
        <w:t xml:space="preserve">, Jakarta - Indonesia. </w:t>
      </w:r>
      <w:hyperlink r:id="rId8" w:history="1">
        <w:r w:rsidR="00582DBB" w:rsidRPr="0054671B">
          <w:rPr>
            <w:rStyle w:val="Hyperlink"/>
            <w:rFonts w:ascii="Bookman Old Style" w:eastAsia="Adobe Myungjo Std M" w:hAnsi="Bookman Old Style"/>
            <w:i/>
            <w:sz w:val="16"/>
            <w:szCs w:val="18"/>
          </w:rPr>
          <w:t>muhamad_rm@bi.go.id</w:t>
        </w:r>
      </w:hyperlink>
      <w:r w:rsidR="00582DBB" w:rsidRPr="0054671B">
        <w:rPr>
          <w:rFonts w:ascii="Bookman Old Style" w:eastAsia="Adobe Myungjo Std M" w:hAnsi="Bookman Old Style"/>
          <w:i/>
          <w:sz w:val="16"/>
          <w:szCs w:val="18"/>
        </w:rPr>
        <w:t xml:space="preserve"> </w:t>
      </w:r>
    </w:p>
    <w:p w14:paraId="40AA897D" w14:textId="579AFA44" w:rsidR="00B34EF4" w:rsidRPr="0054671B" w:rsidRDefault="00EB6E93" w:rsidP="00582DBB">
      <w:pPr>
        <w:spacing w:after="0" w:line="240" w:lineRule="auto"/>
        <w:rPr>
          <w:rFonts w:ascii="Bookman Old Style" w:eastAsia="Adobe Myungjo Std M" w:hAnsi="Bookman Old Style"/>
          <w:i/>
          <w:sz w:val="16"/>
          <w:szCs w:val="18"/>
        </w:rPr>
      </w:pPr>
      <w:r w:rsidRPr="0054671B">
        <w:rPr>
          <w:rFonts w:ascii="Bookman Old Style" w:eastAsia="Adobe Myungjo Std M" w:hAnsi="Bookman Old Style"/>
          <w:i/>
          <w:sz w:val="16"/>
          <w:szCs w:val="18"/>
        </w:rPr>
        <w:t xml:space="preserve">**  </w:t>
      </w:r>
      <w:r w:rsidR="00B34EF4" w:rsidRPr="0054671B">
        <w:rPr>
          <w:rFonts w:ascii="Bookman Old Style" w:eastAsia="Adobe Myungjo Std M" w:hAnsi="Bookman Old Style"/>
          <w:i/>
          <w:sz w:val="16"/>
          <w:szCs w:val="18"/>
        </w:rPr>
        <w:t>Bank Indonesia</w:t>
      </w:r>
      <w:r w:rsidR="00582DBB" w:rsidRPr="0054671B">
        <w:rPr>
          <w:rFonts w:ascii="Bookman Old Style" w:eastAsia="Adobe Myungjo Std M" w:hAnsi="Bookman Old Style"/>
          <w:i/>
          <w:sz w:val="16"/>
          <w:szCs w:val="18"/>
        </w:rPr>
        <w:t>, Jakarta - Indonesia</w:t>
      </w:r>
      <w:r w:rsidR="00B34EF4" w:rsidRPr="0054671B">
        <w:rPr>
          <w:rFonts w:ascii="Bookman Old Style" w:eastAsia="Adobe Myungjo Std M" w:hAnsi="Bookman Old Style"/>
          <w:i/>
          <w:sz w:val="16"/>
          <w:szCs w:val="18"/>
        </w:rPr>
        <w:t xml:space="preserve"> and Nagoya Universi</w:t>
      </w:r>
      <w:r w:rsidRPr="0054671B">
        <w:rPr>
          <w:rFonts w:ascii="Bookman Old Style" w:eastAsia="Adobe Myungjo Std M" w:hAnsi="Bookman Old Style"/>
          <w:i/>
          <w:sz w:val="16"/>
          <w:szCs w:val="18"/>
        </w:rPr>
        <w:t>ty</w:t>
      </w:r>
      <w:r w:rsidR="00582DBB" w:rsidRPr="0054671B">
        <w:rPr>
          <w:rFonts w:ascii="Bookman Old Style" w:eastAsia="Adobe Myungjo Std M" w:hAnsi="Bookman Old Style"/>
          <w:i/>
          <w:sz w:val="16"/>
          <w:szCs w:val="18"/>
        </w:rPr>
        <w:t xml:space="preserve">, Nagoya - Japan </w:t>
      </w:r>
      <w:hyperlink r:id="rId9" w:history="1">
        <w:r w:rsidR="00582DBB" w:rsidRPr="0054671B">
          <w:rPr>
            <w:rStyle w:val="Hyperlink"/>
            <w:rFonts w:ascii="Bookman Old Style" w:eastAsia="Adobe Myungjo Std M" w:hAnsi="Bookman Old Style"/>
            <w:i/>
            <w:sz w:val="16"/>
            <w:szCs w:val="18"/>
          </w:rPr>
          <w:t>harry_ag@bi,go.id</w:t>
        </w:r>
      </w:hyperlink>
      <w:r w:rsidR="00582DBB" w:rsidRPr="0054671B">
        <w:rPr>
          <w:rFonts w:ascii="Bookman Old Style" w:eastAsia="Adobe Myungjo Std M" w:hAnsi="Bookman Old Style"/>
          <w:i/>
          <w:sz w:val="16"/>
          <w:szCs w:val="18"/>
        </w:rPr>
        <w:t xml:space="preserve">; </w:t>
      </w:r>
      <w:hyperlink r:id="rId10" w:history="1">
        <w:r w:rsidR="00582DBB" w:rsidRPr="0054671B">
          <w:rPr>
            <w:rStyle w:val="Hyperlink"/>
            <w:rFonts w:ascii="Bookman Old Style" w:eastAsia="Adobe Myungjo Std M" w:hAnsi="Bookman Old Style"/>
            <w:i/>
            <w:sz w:val="16"/>
            <w:szCs w:val="18"/>
          </w:rPr>
          <w:t>aginta.harry@c.mbox.nagoya-u.ac.jp</w:t>
        </w:r>
      </w:hyperlink>
      <w:r w:rsidR="00582DBB" w:rsidRPr="0054671B">
        <w:rPr>
          <w:rFonts w:ascii="Bookman Old Style" w:eastAsia="Adobe Myungjo Std M" w:hAnsi="Bookman Old Style"/>
          <w:i/>
          <w:sz w:val="16"/>
          <w:szCs w:val="18"/>
        </w:rPr>
        <w:t xml:space="preserve"> </w:t>
      </w:r>
    </w:p>
    <w:p w14:paraId="597D8E39" w14:textId="77777777" w:rsidR="00582DBB" w:rsidRPr="0054671B" w:rsidRDefault="00582DBB" w:rsidP="00582DBB">
      <w:pPr>
        <w:spacing w:after="0" w:line="240" w:lineRule="auto"/>
        <w:rPr>
          <w:rFonts w:ascii="Bookman Old Style" w:eastAsia="Adobe Myungjo Std M" w:hAnsi="Bookman Old Style"/>
          <w:i/>
          <w:sz w:val="16"/>
          <w:szCs w:val="18"/>
        </w:rPr>
      </w:pPr>
    </w:p>
    <w:p w14:paraId="56224DD0" w14:textId="77777777" w:rsidR="00C9290A" w:rsidRPr="0054671B" w:rsidRDefault="00C9290A" w:rsidP="00B34EF4">
      <w:pPr>
        <w:jc w:val="center"/>
        <w:rPr>
          <w:rFonts w:ascii="Bookman Old Style" w:eastAsia="Adobe Myungjo Std M" w:hAnsi="Bookman Old Style"/>
          <w:b/>
          <w:szCs w:val="18"/>
        </w:rPr>
      </w:pPr>
    </w:p>
    <w:p w14:paraId="696959F2" w14:textId="0EEA85F9" w:rsidR="00B34EF4" w:rsidRPr="0054671B" w:rsidRDefault="00B34EF4" w:rsidP="00B34EF4">
      <w:pPr>
        <w:jc w:val="center"/>
        <w:rPr>
          <w:rFonts w:ascii="Bookman Old Style" w:eastAsia="Adobe Myungjo Std M" w:hAnsi="Bookman Old Style"/>
          <w:b/>
          <w:szCs w:val="18"/>
        </w:rPr>
      </w:pPr>
      <w:r w:rsidRPr="0054671B">
        <w:rPr>
          <w:rFonts w:ascii="Bookman Old Style" w:eastAsia="Adobe Myungjo Std M" w:hAnsi="Bookman Old Style"/>
          <w:b/>
          <w:szCs w:val="18"/>
        </w:rPr>
        <w:t>A</w:t>
      </w:r>
      <w:r w:rsidR="00EE4B09" w:rsidRPr="0054671B">
        <w:rPr>
          <w:rFonts w:ascii="Bookman Old Style" w:eastAsia="Adobe Myungjo Std M" w:hAnsi="Bookman Old Style"/>
          <w:b/>
          <w:szCs w:val="18"/>
        </w:rPr>
        <w:t>bstract</w:t>
      </w:r>
    </w:p>
    <w:p w14:paraId="1D785E8A" w14:textId="77777777" w:rsidR="00E45402" w:rsidRPr="0054671B" w:rsidRDefault="00E45402" w:rsidP="00687DA4">
      <w:pPr>
        <w:spacing w:after="0" w:line="360" w:lineRule="auto"/>
        <w:jc w:val="both"/>
        <w:rPr>
          <w:rFonts w:eastAsia="Adobe Myungjo Std M" w:cstheme="minorHAnsi"/>
          <w:sz w:val="18"/>
          <w:szCs w:val="18"/>
        </w:rPr>
      </w:pPr>
    </w:p>
    <w:p w14:paraId="78ADF779" w14:textId="0C2FA065" w:rsidR="00AF01D2" w:rsidRPr="0054671B" w:rsidRDefault="00C52026" w:rsidP="00AF01D2">
      <w:pPr>
        <w:spacing w:after="0" w:line="360" w:lineRule="auto"/>
        <w:jc w:val="both"/>
      </w:pPr>
      <w:r w:rsidRPr="0054671B">
        <w:t>This paper aims to</w:t>
      </w:r>
      <w:r w:rsidR="00687DA4" w:rsidRPr="0054671B">
        <w:t xml:space="preserve"> empirically </w:t>
      </w:r>
      <w:r w:rsidR="00EA155C" w:rsidRPr="0054671B">
        <w:t xml:space="preserve">evaluate convergence </w:t>
      </w:r>
      <w:r w:rsidR="004C42BA" w:rsidRPr="0054671B">
        <w:t xml:space="preserve">in </w:t>
      </w:r>
      <w:r w:rsidR="00A77023" w:rsidRPr="0054671B">
        <w:t xml:space="preserve">real </w:t>
      </w:r>
      <w:r w:rsidR="004C42BA" w:rsidRPr="0054671B">
        <w:t>wage</w:t>
      </w:r>
      <w:r w:rsidR="009D4E97" w:rsidRPr="0054671B">
        <w:t>s</w:t>
      </w:r>
      <w:r w:rsidR="004C42BA" w:rsidRPr="0054671B">
        <w:t xml:space="preserve"> across </w:t>
      </w:r>
      <w:r w:rsidR="00FD24B1" w:rsidRPr="0054671B">
        <w:t xml:space="preserve">34 </w:t>
      </w:r>
      <w:r w:rsidR="00687DA4" w:rsidRPr="0054671B">
        <w:t>Indonesia</w:t>
      </w:r>
      <w:r w:rsidR="00FD24B1" w:rsidRPr="0054671B">
        <w:t>n</w:t>
      </w:r>
      <w:r w:rsidR="00687DA4" w:rsidRPr="0054671B">
        <w:t xml:space="preserve"> </w:t>
      </w:r>
      <w:r w:rsidR="00FD24B1" w:rsidRPr="0054671B">
        <w:t>province</w:t>
      </w:r>
      <w:r w:rsidR="00EA155C" w:rsidRPr="0054671B">
        <w:t>s</w:t>
      </w:r>
      <w:r w:rsidR="00EF47BD" w:rsidRPr="0054671B">
        <w:t xml:space="preserve">. </w:t>
      </w:r>
      <w:r w:rsidR="000469BE" w:rsidRPr="0054671B">
        <w:t>We</w:t>
      </w:r>
      <w:r w:rsidR="00EF47BD" w:rsidRPr="0054671B">
        <w:t xml:space="preserve"> </w:t>
      </w:r>
      <w:r w:rsidR="009C405D" w:rsidRPr="0054671B">
        <w:t>apply</w:t>
      </w:r>
      <w:r w:rsidR="00EF47BD" w:rsidRPr="0054671B">
        <w:t xml:space="preserve"> </w:t>
      </w:r>
      <w:r w:rsidR="009D4E97" w:rsidRPr="0054671B">
        <w:t xml:space="preserve">the </w:t>
      </w:r>
      <w:r w:rsidR="000469BE" w:rsidRPr="0054671B">
        <w:t>club convergence test</w:t>
      </w:r>
      <w:r w:rsidR="004C42BA" w:rsidRPr="0054671B">
        <w:t xml:space="preserve"> </w:t>
      </w:r>
      <w:r w:rsidR="004C42BA" w:rsidRPr="0054671B">
        <w:fldChar w:fldCharType="begin"/>
      </w:r>
      <w:r w:rsidR="004C42BA" w:rsidRPr="0054671B">
        <w:instrText xml:space="preserve"> ADDIN ZOTERO_ITEM CSL_CITATION {"citationID":"omOygmE7","properties":{"formattedCitation":"(Phillips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4C42BA" w:rsidRPr="0054671B">
        <w:fldChar w:fldCharType="separate"/>
      </w:r>
      <w:r w:rsidR="004C42BA" w:rsidRPr="0054671B">
        <w:rPr>
          <w:rFonts w:ascii="Calibri" w:hAnsi="Calibri" w:cs="Calibri"/>
        </w:rPr>
        <w:t>(Phillips &amp; Sul, 2007, 2009)</w:t>
      </w:r>
      <w:r w:rsidR="004C42BA" w:rsidRPr="0054671B">
        <w:fldChar w:fldCharType="end"/>
      </w:r>
      <w:r w:rsidR="00EF47BD" w:rsidRPr="0054671B">
        <w:t xml:space="preserve"> </w:t>
      </w:r>
      <w:r w:rsidR="009D4E97" w:rsidRPr="0054671B">
        <w:t xml:space="preserve">on real wage data at the province level from 2008-2020. </w:t>
      </w:r>
      <w:r w:rsidR="00C34648" w:rsidRPr="0054671B">
        <w:t xml:space="preserve">We do not find overall convergence in real wages. </w:t>
      </w:r>
      <w:r w:rsidR="009D4E97" w:rsidRPr="0054671B">
        <w:t xml:space="preserve">Instead, we identify three significant club convergence. Furthermore, using the ordered logit model, we investigate regional factors that influence the club convergence formation. </w:t>
      </w:r>
      <w:r w:rsidR="0084075B" w:rsidRPr="0084075B">
        <w:t>We find that club convergence formation is jointly influenced by the following factors: share of employment in the manufacturing sector, investment share to GDP, labor force participation rate, and the initial level of wage.</w:t>
      </w:r>
      <w:r w:rsidR="002271E1" w:rsidRPr="0054671B">
        <w:t xml:space="preserve"> Our findings support the evidence of club convergence studies that emphasize the role of the initial condition and regional characteristics on the formation of club convergence. From a policy standpoint, our results should alert national and provincial governments to synchronize policies promoting sound and competitive labor markets across provinces.</w:t>
      </w:r>
    </w:p>
    <w:p w14:paraId="09AC9B71" w14:textId="44FBCF56" w:rsidR="00687DA4" w:rsidRPr="0054671B" w:rsidRDefault="00AF01D2" w:rsidP="007016B9">
      <w:pPr>
        <w:spacing w:after="0" w:line="360" w:lineRule="auto"/>
        <w:jc w:val="both"/>
      </w:pPr>
      <w:r w:rsidRPr="0054671B">
        <w:t xml:space="preserve"> </w:t>
      </w:r>
    </w:p>
    <w:p w14:paraId="3DD40190" w14:textId="77777777" w:rsidR="00687DA4" w:rsidRPr="0054671B" w:rsidRDefault="00687DA4" w:rsidP="00146EB7">
      <w:pPr>
        <w:spacing w:after="0" w:line="240" w:lineRule="auto"/>
        <w:jc w:val="both"/>
        <w:rPr>
          <w:rFonts w:eastAsia="Adobe Myungjo Std M" w:cstheme="minorHAnsi"/>
          <w:sz w:val="18"/>
          <w:szCs w:val="18"/>
        </w:rPr>
      </w:pPr>
    </w:p>
    <w:p w14:paraId="481276A1" w14:textId="27CE2CF4" w:rsidR="00146EB7" w:rsidRPr="0054671B" w:rsidRDefault="00146EB7" w:rsidP="006D2FB2">
      <w:pPr>
        <w:jc w:val="both"/>
        <w:rPr>
          <w:rFonts w:eastAsia="Adobe Myungjo Std M" w:cstheme="minorHAnsi"/>
          <w:sz w:val="20"/>
          <w:szCs w:val="18"/>
        </w:rPr>
      </w:pPr>
      <w:r w:rsidRPr="0054671B">
        <w:rPr>
          <w:rFonts w:eastAsia="Adobe Myungjo Std M" w:cstheme="minorHAnsi"/>
          <w:sz w:val="20"/>
          <w:szCs w:val="18"/>
        </w:rPr>
        <w:t>Keywords:</w:t>
      </w:r>
      <w:r w:rsidR="00687DA4" w:rsidRPr="0054671B">
        <w:rPr>
          <w:rFonts w:eastAsia="Adobe Myungjo Std M" w:cstheme="minorHAnsi"/>
          <w:sz w:val="20"/>
          <w:szCs w:val="18"/>
        </w:rPr>
        <w:t xml:space="preserve"> </w:t>
      </w:r>
      <w:r w:rsidR="00C73499" w:rsidRPr="0054671B">
        <w:rPr>
          <w:rFonts w:eastAsia="Adobe Myungjo Std M" w:cstheme="minorHAnsi"/>
          <w:sz w:val="20"/>
          <w:szCs w:val="18"/>
        </w:rPr>
        <w:t>r</w:t>
      </w:r>
      <w:r w:rsidR="00687DA4" w:rsidRPr="0054671B">
        <w:rPr>
          <w:rFonts w:eastAsia="Adobe Myungjo Std M" w:cstheme="minorHAnsi"/>
          <w:sz w:val="20"/>
          <w:szCs w:val="18"/>
        </w:rPr>
        <w:t xml:space="preserve">egional </w:t>
      </w:r>
      <w:r w:rsidR="00C73499" w:rsidRPr="0054671B">
        <w:rPr>
          <w:rFonts w:eastAsia="Adobe Myungjo Std M" w:cstheme="minorHAnsi"/>
          <w:sz w:val="20"/>
          <w:szCs w:val="18"/>
        </w:rPr>
        <w:t>w</w:t>
      </w:r>
      <w:r w:rsidR="00687DA4" w:rsidRPr="0054671B">
        <w:rPr>
          <w:rFonts w:eastAsia="Adobe Myungjo Std M" w:cstheme="minorHAnsi"/>
          <w:sz w:val="20"/>
          <w:szCs w:val="18"/>
        </w:rPr>
        <w:t xml:space="preserve">age, </w:t>
      </w:r>
      <w:r w:rsidR="00C73499" w:rsidRPr="0054671B">
        <w:rPr>
          <w:rFonts w:eastAsia="Adobe Myungjo Std M" w:cstheme="minorHAnsi"/>
          <w:sz w:val="20"/>
          <w:szCs w:val="18"/>
        </w:rPr>
        <w:t>c</w:t>
      </w:r>
      <w:r w:rsidR="00687DA4" w:rsidRPr="0054671B">
        <w:rPr>
          <w:rFonts w:eastAsia="Adobe Myungjo Std M" w:cstheme="minorHAnsi"/>
          <w:sz w:val="20"/>
          <w:szCs w:val="18"/>
        </w:rPr>
        <w:t xml:space="preserve">lub </w:t>
      </w:r>
      <w:r w:rsidR="00C73499" w:rsidRPr="0054671B">
        <w:rPr>
          <w:rFonts w:eastAsia="Adobe Myungjo Std M" w:cstheme="minorHAnsi"/>
          <w:sz w:val="20"/>
          <w:szCs w:val="18"/>
        </w:rPr>
        <w:t>c</w:t>
      </w:r>
      <w:r w:rsidR="00687DA4" w:rsidRPr="0054671B">
        <w:rPr>
          <w:rFonts w:eastAsia="Adobe Myungjo Std M" w:cstheme="minorHAnsi"/>
          <w:sz w:val="20"/>
          <w:szCs w:val="18"/>
        </w:rPr>
        <w:t xml:space="preserve">onvergence, </w:t>
      </w:r>
      <w:r w:rsidR="00C73499" w:rsidRPr="0054671B">
        <w:rPr>
          <w:rFonts w:eastAsia="Adobe Myungjo Std M" w:cstheme="minorHAnsi"/>
          <w:sz w:val="20"/>
          <w:szCs w:val="18"/>
        </w:rPr>
        <w:t>ordered l</w:t>
      </w:r>
      <w:r w:rsidR="00687DA4" w:rsidRPr="0054671B">
        <w:rPr>
          <w:rFonts w:eastAsia="Adobe Myungjo Std M" w:cstheme="minorHAnsi"/>
          <w:sz w:val="20"/>
          <w:szCs w:val="18"/>
        </w:rPr>
        <w:t xml:space="preserve">ogit </w:t>
      </w:r>
      <w:r w:rsidR="00C73499" w:rsidRPr="0054671B">
        <w:rPr>
          <w:rFonts w:eastAsia="Adobe Myungjo Std M" w:cstheme="minorHAnsi"/>
          <w:sz w:val="20"/>
          <w:szCs w:val="18"/>
        </w:rPr>
        <w:t>m</w:t>
      </w:r>
      <w:r w:rsidR="00687DA4" w:rsidRPr="0054671B">
        <w:rPr>
          <w:rFonts w:eastAsia="Adobe Myungjo Std M" w:cstheme="minorHAnsi"/>
          <w:sz w:val="20"/>
          <w:szCs w:val="18"/>
        </w:rPr>
        <w:t>odel</w:t>
      </w:r>
      <w:r w:rsidR="006E6CC7" w:rsidRPr="0054671B">
        <w:rPr>
          <w:rFonts w:eastAsia="Adobe Myungjo Std M" w:cstheme="minorHAnsi"/>
          <w:sz w:val="20"/>
          <w:szCs w:val="18"/>
        </w:rPr>
        <w:t>, Indonesia</w:t>
      </w:r>
    </w:p>
    <w:p w14:paraId="075DD7E2" w14:textId="77777777" w:rsidR="00703ECC" w:rsidRPr="0054671B" w:rsidRDefault="00703ECC" w:rsidP="00B34EF4">
      <w:pPr>
        <w:jc w:val="center"/>
        <w:rPr>
          <w:rFonts w:ascii="Bookman Old Style" w:eastAsia="Adobe Myungjo Std M" w:hAnsi="Bookman Old Style"/>
          <w:sz w:val="18"/>
          <w:szCs w:val="18"/>
        </w:rPr>
      </w:pPr>
    </w:p>
    <w:p w14:paraId="362FA0F7" w14:textId="58656B6D" w:rsidR="00B34EF4" w:rsidRPr="0054671B" w:rsidRDefault="00B34EF4" w:rsidP="00687DA4">
      <w:pPr>
        <w:rPr>
          <w:rFonts w:ascii="Bookman Old Style" w:eastAsia="Adobe Myungjo Std M" w:hAnsi="Bookman Old Style"/>
          <w:i/>
          <w:sz w:val="18"/>
          <w:szCs w:val="18"/>
        </w:rPr>
      </w:pPr>
    </w:p>
    <w:p w14:paraId="45D71D6C" w14:textId="6890967E" w:rsidR="00CD253C" w:rsidRPr="0054671B" w:rsidRDefault="00CD253C" w:rsidP="00687DA4">
      <w:pPr>
        <w:rPr>
          <w:rFonts w:ascii="Bookman Old Style" w:eastAsia="Adobe Myungjo Std M" w:hAnsi="Bookman Old Style"/>
          <w:i/>
          <w:sz w:val="18"/>
          <w:szCs w:val="18"/>
        </w:rPr>
      </w:pPr>
    </w:p>
    <w:p w14:paraId="0DEA4CF3" w14:textId="7096AC57" w:rsidR="00CD253C" w:rsidRPr="0054671B" w:rsidRDefault="00CD253C" w:rsidP="00687DA4">
      <w:pPr>
        <w:rPr>
          <w:rFonts w:ascii="Bookman Old Style" w:eastAsia="Adobe Myungjo Std M" w:hAnsi="Bookman Old Style"/>
          <w:i/>
          <w:sz w:val="18"/>
          <w:szCs w:val="18"/>
        </w:rPr>
      </w:pPr>
    </w:p>
    <w:p w14:paraId="5F5E69EF" w14:textId="4412D80E" w:rsidR="00CD253C" w:rsidRPr="0054671B" w:rsidRDefault="00CD253C" w:rsidP="00687DA4">
      <w:pPr>
        <w:rPr>
          <w:rFonts w:ascii="Bookman Old Style" w:eastAsia="Adobe Myungjo Std M" w:hAnsi="Bookman Old Style"/>
          <w:i/>
          <w:sz w:val="18"/>
          <w:szCs w:val="18"/>
        </w:rPr>
      </w:pPr>
    </w:p>
    <w:p w14:paraId="21F76FF3" w14:textId="2C8E6F1B" w:rsidR="00CD253C" w:rsidRPr="0054671B" w:rsidRDefault="00CD253C" w:rsidP="00687DA4">
      <w:pPr>
        <w:rPr>
          <w:rFonts w:ascii="Bookman Old Style" w:eastAsia="Adobe Myungjo Std M" w:hAnsi="Bookman Old Style"/>
          <w:i/>
          <w:sz w:val="18"/>
          <w:szCs w:val="18"/>
        </w:rPr>
      </w:pPr>
    </w:p>
    <w:p w14:paraId="6F4930A1" w14:textId="65DB77D0" w:rsidR="00CD253C" w:rsidRPr="0054671B" w:rsidRDefault="00CD253C" w:rsidP="00687DA4">
      <w:pPr>
        <w:rPr>
          <w:rFonts w:ascii="Bookman Old Style" w:eastAsia="Adobe Myungjo Std M" w:hAnsi="Bookman Old Style"/>
          <w:i/>
          <w:sz w:val="18"/>
          <w:szCs w:val="18"/>
        </w:rPr>
      </w:pPr>
    </w:p>
    <w:p w14:paraId="2F9052FC" w14:textId="4ECC6104" w:rsidR="00CD253C" w:rsidRPr="0054671B" w:rsidRDefault="00CD253C" w:rsidP="00687DA4">
      <w:pPr>
        <w:rPr>
          <w:rFonts w:ascii="Bookman Old Style" w:eastAsia="Adobe Myungjo Std M" w:hAnsi="Bookman Old Style"/>
          <w:i/>
          <w:sz w:val="18"/>
          <w:szCs w:val="18"/>
        </w:rPr>
      </w:pPr>
    </w:p>
    <w:p w14:paraId="23D5B39C" w14:textId="78F3967A" w:rsidR="00CD253C" w:rsidRPr="0054671B" w:rsidRDefault="00CD253C" w:rsidP="00687DA4">
      <w:pPr>
        <w:rPr>
          <w:rFonts w:ascii="Bookman Old Style" w:eastAsia="Adobe Myungjo Std M" w:hAnsi="Bookman Old Style"/>
          <w:i/>
          <w:sz w:val="18"/>
          <w:szCs w:val="18"/>
        </w:rPr>
      </w:pPr>
    </w:p>
    <w:p w14:paraId="33E0BC2F" w14:textId="77777777" w:rsidR="00E00B0F" w:rsidRPr="0054671B" w:rsidRDefault="00E00B0F" w:rsidP="00687DA4">
      <w:pPr>
        <w:rPr>
          <w:rFonts w:ascii="Bookman Old Style" w:eastAsia="Adobe Myungjo Std M" w:hAnsi="Bookman Old Style"/>
          <w:i/>
          <w:sz w:val="18"/>
          <w:szCs w:val="18"/>
        </w:rPr>
      </w:pPr>
    </w:p>
    <w:p w14:paraId="3803CA6D" w14:textId="77777777" w:rsidR="00946C9D" w:rsidRPr="0054671B" w:rsidRDefault="00946C9D" w:rsidP="00687DA4">
      <w:pPr>
        <w:rPr>
          <w:rFonts w:ascii="Bookman Old Style" w:eastAsia="Adobe Myungjo Std M" w:hAnsi="Bookman Old Style"/>
          <w:i/>
          <w:sz w:val="18"/>
          <w:szCs w:val="18"/>
        </w:rPr>
      </w:pPr>
    </w:p>
    <w:p w14:paraId="5436DE78" w14:textId="4F1D8500" w:rsidR="002500AB" w:rsidRPr="0054671B" w:rsidRDefault="00CD253C" w:rsidP="00EB13DE">
      <w:pPr>
        <w:pStyle w:val="ListParagraph"/>
        <w:numPr>
          <w:ilvl w:val="0"/>
          <w:numId w:val="2"/>
        </w:numPr>
        <w:rPr>
          <w:rFonts w:ascii="Bookman Old Style" w:eastAsia="Adobe Myungjo Std M" w:hAnsi="Bookman Old Style"/>
          <w:b/>
          <w:szCs w:val="18"/>
        </w:rPr>
      </w:pPr>
      <w:r w:rsidRPr="0054671B">
        <w:rPr>
          <w:rFonts w:ascii="Bookman Old Style" w:eastAsia="Adobe Myungjo Std M" w:hAnsi="Bookman Old Style"/>
          <w:b/>
          <w:szCs w:val="18"/>
        </w:rPr>
        <w:lastRenderedPageBreak/>
        <w:t>Introduction</w:t>
      </w:r>
    </w:p>
    <w:p w14:paraId="273BFB06" w14:textId="77777777" w:rsidR="00511618" w:rsidRPr="0054671B" w:rsidRDefault="00511618" w:rsidP="00511618">
      <w:pPr>
        <w:pStyle w:val="ListParagraph"/>
        <w:spacing w:line="360" w:lineRule="auto"/>
        <w:jc w:val="both"/>
        <w:rPr>
          <w:rFonts w:eastAsia="Adobe Myungjo Std M" w:cstheme="minorHAnsi"/>
          <w:szCs w:val="18"/>
        </w:rPr>
      </w:pPr>
    </w:p>
    <w:p w14:paraId="6B5837A6" w14:textId="36D436C8" w:rsidR="00E24392" w:rsidRPr="0054671B" w:rsidRDefault="00E90B6F" w:rsidP="006C4923">
      <w:pPr>
        <w:pStyle w:val="ListParagraph"/>
        <w:spacing w:line="360" w:lineRule="auto"/>
        <w:jc w:val="both"/>
        <w:rPr>
          <w:rFonts w:eastAsia="Adobe Myungjo Std M" w:cstheme="minorHAnsi"/>
          <w:szCs w:val="18"/>
        </w:rPr>
      </w:pPr>
      <w:r w:rsidRPr="0054671B">
        <w:rPr>
          <w:rFonts w:eastAsia="Adobe Myungjo Std M" w:cstheme="minorHAnsi"/>
          <w:szCs w:val="18"/>
        </w:rPr>
        <w:t>According to modern economic theories, people with indistinguishable talents will obtain equal remuneration in a wholly integrated labor market</w:t>
      </w:r>
      <w:r w:rsidR="00AD3CAB" w:rsidRPr="0054671B">
        <w:rPr>
          <w:rFonts w:eastAsia="Adobe Myungjo Std M" w:cstheme="minorHAnsi"/>
          <w:szCs w:val="18"/>
        </w:rPr>
        <w:t xml:space="preserve"> </w:t>
      </w:r>
      <w:r w:rsidR="009B1E97" w:rsidRPr="0054671B">
        <w:rPr>
          <w:rFonts w:eastAsia="Adobe Myungjo Std M" w:cstheme="minorHAnsi"/>
          <w:szCs w:val="18"/>
        </w:rPr>
        <w:fldChar w:fldCharType="begin"/>
      </w:r>
      <w:r w:rsidR="009B1E97" w:rsidRPr="0054671B">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sidRPr="0054671B">
        <w:rPr>
          <w:rFonts w:eastAsia="Adobe Myungjo Std M" w:cstheme="minorHAnsi"/>
          <w:szCs w:val="18"/>
        </w:rPr>
        <w:fldChar w:fldCharType="separate"/>
      </w:r>
      <w:r w:rsidR="009B1E97" w:rsidRPr="0054671B">
        <w:rPr>
          <w:rFonts w:ascii="Calibri" w:hAnsi="Calibri" w:cs="Calibri"/>
        </w:rPr>
        <w:t>(Hicks, 1963; Marhsall, 1920)</w:t>
      </w:r>
      <w:r w:rsidR="009B1E97" w:rsidRPr="0054671B">
        <w:rPr>
          <w:rFonts w:eastAsia="Adobe Myungjo Std M" w:cstheme="minorHAnsi"/>
          <w:szCs w:val="18"/>
        </w:rPr>
        <w:fldChar w:fldCharType="end"/>
      </w:r>
      <w:r w:rsidR="009B1E97" w:rsidRPr="0054671B">
        <w:rPr>
          <w:rFonts w:eastAsia="Adobe Myungjo Std M" w:cstheme="minorHAnsi"/>
          <w:szCs w:val="18"/>
        </w:rPr>
        <w:t>.</w:t>
      </w:r>
      <w:r w:rsidR="00AD3CAB" w:rsidRPr="0054671B">
        <w:rPr>
          <w:rFonts w:eastAsia="Adobe Myungjo Std M" w:cstheme="minorHAnsi"/>
          <w:szCs w:val="18"/>
        </w:rPr>
        <w:t xml:space="preserve"> </w:t>
      </w:r>
      <w:r w:rsidR="00F33A19">
        <w:rPr>
          <w:rFonts w:eastAsia="Adobe Myungjo Std M" w:cstheme="minorHAnsi"/>
          <w:szCs w:val="18"/>
        </w:rPr>
        <w:t>A</w:t>
      </w:r>
      <w:r w:rsidR="00F33A19" w:rsidRPr="00F33A19">
        <w:rPr>
          <w:rFonts w:eastAsia="Adobe Myungjo Std M" w:cstheme="minorHAnsi"/>
          <w:szCs w:val="18"/>
        </w:rPr>
        <w:t xml:space="preserve">dhering to the same </w:t>
      </w:r>
      <w:r w:rsidR="00F33A19">
        <w:rPr>
          <w:rFonts w:eastAsia="Adobe Myungjo Std M" w:cstheme="minorHAnsi"/>
          <w:szCs w:val="18"/>
        </w:rPr>
        <w:t>premise, m</w:t>
      </w:r>
      <w:r w:rsidRPr="0054671B">
        <w:rPr>
          <w:rFonts w:eastAsia="Adobe Myungjo Std M" w:cstheme="minorHAnsi"/>
          <w:szCs w:val="18"/>
        </w:rPr>
        <w:t>any studies have tested for wage convergence in the context of broader labor market analysis, taking labor as a factor of production</w:t>
      </w:r>
      <w:r w:rsidR="00D20F47" w:rsidRPr="0054671B">
        <w:rPr>
          <w:rFonts w:eastAsia="Adobe Myungjo Std M" w:cstheme="minorHAnsi"/>
          <w:szCs w:val="18"/>
        </w:rPr>
        <w:t xml:space="preserve"> </w:t>
      </w:r>
      <w:r w:rsidR="00D20F47" w:rsidRPr="0054671B">
        <w:rPr>
          <w:rFonts w:eastAsia="Adobe Myungjo Std M" w:cstheme="minorHAnsi"/>
          <w:szCs w:val="18"/>
        </w:rPr>
        <w:fldChar w:fldCharType="begin"/>
      </w:r>
      <w:r w:rsidR="00D20F47" w:rsidRPr="0054671B">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sidRPr="0054671B">
        <w:rPr>
          <w:rFonts w:eastAsia="Adobe Myungjo Std M" w:cstheme="minorHAnsi"/>
          <w:szCs w:val="18"/>
        </w:rPr>
        <w:fldChar w:fldCharType="separate"/>
      </w:r>
      <w:r w:rsidR="00D20F47" w:rsidRPr="0054671B">
        <w:rPr>
          <w:rFonts w:ascii="Calibri" w:hAnsi="Calibri" w:cs="Calibri"/>
        </w:rPr>
        <w:t>(Galizia, 2015; Rosenbloom, 1998; Rosenbloom &amp; Sundstrom, 2002)</w:t>
      </w:r>
      <w:r w:rsidR="00D20F47" w:rsidRPr="0054671B">
        <w:rPr>
          <w:rFonts w:eastAsia="Adobe Myungjo Std M" w:cstheme="minorHAnsi"/>
          <w:szCs w:val="18"/>
        </w:rPr>
        <w:fldChar w:fldCharType="end"/>
      </w:r>
      <w:r w:rsidR="00D20F47" w:rsidRPr="0054671B">
        <w:rPr>
          <w:rFonts w:eastAsia="Adobe Myungjo Std M" w:cstheme="minorHAnsi"/>
          <w:szCs w:val="18"/>
        </w:rPr>
        <w:t>.</w:t>
      </w:r>
      <w:r w:rsidR="00D1353E" w:rsidRPr="0054671B">
        <w:rPr>
          <w:rFonts w:eastAsia="Adobe Myungjo Std M" w:cstheme="minorHAnsi" w:hint="eastAsia"/>
          <w:szCs w:val="18"/>
        </w:rPr>
        <w:t xml:space="preserve"> </w:t>
      </w:r>
      <w:r w:rsidR="00664196">
        <w:rPr>
          <w:rFonts w:eastAsia="Adobe Myungjo Std M" w:cstheme="minorHAnsi"/>
          <w:szCs w:val="18"/>
        </w:rPr>
        <w:t>According to</w:t>
      </w:r>
      <w:r w:rsidR="00335413" w:rsidRPr="0054671B">
        <w:rPr>
          <w:rFonts w:eastAsia="Adobe Myungjo Std M" w:cstheme="minorHAnsi"/>
          <w:szCs w:val="18"/>
        </w:rPr>
        <w:t xml:space="preserve"> </w:t>
      </w:r>
      <w:r w:rsidR="00335413" w:rsidRPr="0054671B">
        <w:rPr>
          <w:rFonts w:eastAsia="Adobe Myungjo Std M" w:cstheme="minorHAnsi"/>
          <w:szCs w:val="18"/>
        </w:rPr>
        <w:fldChar w:fldCharType="begin"/>
      </w:r>
      <w:r w:rsidR="00DC7519" w:rsidRPr="0054671B">
        <w:rPr>
          <w:rFonts w:eastAsia="Adobe Myungjo Std M" w:cstheme="minorHAnsi"/>
          <w:szCs w:val="18"/>
        </w:rPr>
        <w:instrText xml:space="preserve"> ADDIN ZOTERO_ITEM CSL_CITATION {"citationID":"Xs9te8Qk","properties":{"formattedCitation":"(Dayanandan &amp; Ralhan, 2005)","plainCitation":"(Dayanandan &amp; Ralhan, 2005)","dontUpdate":true,"noteIndex":0},"citationItems":[{"id":305,"uris":["http://zotero.org/users/local/9Bu69DCL/items/KS28XI2T"],"uri":["http://zotero.org/users/local/9Bu69DCL/items/KS28XI2T"],"itemData":{"id":305,"type":"article-journal","container-title":"University of Victoria Department of Economics Econometrics Working Paper","journalAbbreviation":"University of Victoria Department of Economics Econometrics Working Paper","note":"publisher: Citeseer","page":"1-15","title":"Price index convergence among provinces and cities across Canada: 1978–2001","volume":"504","author":[{"family":"Dayanandan","given":"Ajit"},{"family":"Ralhan","given":"Mukesh"}],"issued":{"date-parts":[["2005"]]}}}],"schema":"https://github.com/citation-style-language/schema/raw/master/csl-citation.json"} </w:instrText>
      </w:r>
      <w:r w:rsidR="00335413" w:rsidRPr="0054671B">
        <w:rPr>
          <w:rFonts w:eastAsia="Adobe Myungjo Std M" w:cstheme="minorHAnsi"/>
          <w:szCs w:val="18"/>
        </w:rPr>
        <w:fldChar w:fldCharType="separate"/>
      </w:r>
      <w:r w:rsidR="00335413" w:rsidRPr="0054671B">
        <w:rPr>
          <w:rFonts w:ascii="Calibri" w:hAnsi="Calibri" w:cs="Calibri"/>
        </w:rPr>
        <w:t>Dayanandan &amp; Ralhan (2005)</w:t>
      </w:r>
      <w:r w:rsidR="00335413" w:rsidRPr="0054671B">
        <w:rPr>
          <w:rFonts w:eastAsia="Adobe Myungjo Std M" w:cstheme="minorHAnsi"/>
          <w:szCs w:val="18"/>
        </w:rPr>
        <w:fldChar w:fldCharType="end"/>
      </w:r>
      <w:r w:rsidR="00335413" w:rsidRPr="0054671B">
        <w:rPr>
          <w:rFonts w:eastAsia="Adobe Myungjo Std M" w:cstheme="minorHAnsi"/>
          <w:szCs w:val="18"/>
        </w:rPr>
        <w:t>,</w:t>
      </w:r>
      <w:r w:rsidR="00664196">
        <w:rPr>
          <w:rFonts w:eastAsia="Adobe Myungjo Std M" w:cstheme="minorHAnsi"/>
          <w:szCs w:val="18"/>
        </w:rPr>
        <w:t xml:space="preserve"> </w:t>
      </w:r>
      <w:r w:rsidR="00BC31D9" w:rsidRPr="0054671B">
        <w:rPr>
          <w:rFonts w:eastAsia="Adobe Myungjo Std M" w:cstheme="minorHAnsi"/>
          <w:szCs w:val="18"/>
        </w:rPr>
        <w:t>given more unrestricted mobility of people (in addition to lower transportation costs and the use of a common currency), testing wage convergence as the price of labor within a country is more reasonable than across the countries.</w:t>
      </w:r>
      <w:r w:rsidR="00335413" w:rsidRPr="0054671B">
        <w:rPr>
          <w:rFonts w:eastAsia="Adobe Myungjo Std M" w:cstheme="minorHAnsi"/>
          <w:szCs w:val="18"/>
        </w:rPr>
        <w:t xml:space="preserve"> While the existence of </w:t>
      </w:r>
      <w:r w:rsidR="005F0FFE" w:rsidRPr="0054671B">
        <w:rPr>
          <w:rFonts w:eastAsia="Adobe Myungjo Std M" w:cstheme="minorHAnsi"/>
          <w:szCs w:val="18"/>
        </w:rPr>
        <w:t xml:space="preserve">wage convergence </w:t>
      </w:r>
      <w:r w:rsidR="006C4923" w:rsidRPr="0054671B">
        <w:rPr>
          <w:rFonts w:eastAsia="Adobe Myungjo Std M" w:cstheme="minorHAnsi"/>
          <w:szCs w:val="18"/>
        </w:rPr>
        <w:t xml:space="preserve">is generally expected, the </w:t>
      </w:r>
      <w:r w:rsidR="005F0FFE" w:rsidRPr="0054671B">
        <w:rPr>
          <w:rFonts w:eastAsia="Adobe Myungjo Std M" w:cstheme="minorHAnsi"/>
          <w:szCs w:val="18"/>
        </w:rPr>
        <w:t>absence</w:t>
      </w:r>
      <w:r w:rsidR="006C4923" w:rsidRPr="0054671B">
        <w:rPr>
          <w:rFonts w:eastAsia="Adobe Myungjo Std M" w:cstheme="minorHAnsi"/>
          <w:szCs w:val="18"/>
        </w:rPr>
        <w:t xml:space="preserve"> of</w:t>
      </w:r>
      <w:r w:rsidR="005F0FFE" w:rsidRPr="0054671B">
        <w:rPr>
          <w:rFonts w:eastAsia="Adobe Myungjo Std M" w:cstheme="minorHAnsi"/>
          <w:szCs w:val="18"/>
        </w:rPr>
        <w:t xml:space="preserve"> convergence</w:t>
      </w:r>
      <w:r w:rsidR="006C4923" w:rsidRPr="0054671B">
        <w:rPr>
          <w:rFonts w:eastAsia="Adobe Myungjo Std M" w:cstheme="minorHAnsi"/>
          <w:szCs w:val="18"/>
        </w:rPr>
        <w:t xml:space="preserve"> at the intra-national level implies the presence of regional imbalances, resources misallocation, and differences in the cost of living </w:t>
      </w:r>
      <w:r w:rsidR="006C4923" w:rsidRPr="0054671B">
        <w:rPr>
          <w:rFonts w:eastAsia="Adobe Myungjo Std M" w:cstheme="minorHAnsi"/>
          <w:szCs w:val="18"/>
        </w:rPr>
        <w:fldChar w:fldCharType="begin"/>
      </w:r>
      <w:r w:rsidR="006C4923" w:rsidRPr="0054671B">
        <w:rPr>
          <w:rFonts w:eastAsia="Adobe Myungjo Std M" w:cstheme="minorHAnsi"/>
          <w:szCs w:val="18"/>
        </w:rPr>
        <w:instrText xml:space="preserve"> ADDIN ZOTERO_ITEM CSL_CITATION {"citationID":"wpBf8FpO","properties":{"formattedCitation":"(Gonz\\uc0\\u225{}lez, 2020)","plainCitation":"(González, 2020)","noteIndex":0},"citationItems":[{"id":306,"uris":["http://zotero.org/users/local/9Bu69DCL/items/ZZ8V4VXK"],"uri":["http://zotero.org/users/local/9Bu69DCL/items/ZZ8V4VXK"],"itemData":{"id":306,"type":"article-journal","container-title":"Regional Statistics","ISSN":"2063-9538","issue":"02","journalAbbreviation":"Regional Statistics","note":"publisher: K</w:instrText>
      </w:r>
      <w:r w:rsidR="006C4923" w:rsidRPr="0054671B">
        <w:rPr>
          <w:rFonts w:eastAsia="Adobe Myungjo Std M" w:cstheme="minorHAnsi" w:hint="eastAsia"/>
          <w:szCs w:val="18"/>
        </w:rPr>
        <w:instrText>ö</w:instrText>
      </w:r>
      <w:r w:rsidR="006C4923" w:rsidRPr="0054671B">
        <w:rPr>
          <w:rFonts w:eastAsia="Adobe Myungjo Std M" w:cstheme="minorHAnsi"/>
          <w:szCs w:val="18"/>
        </w:rPr>
        <w:instrText xml:space="preserve">zponti Statisztikai Hivatal","page":"83-94","title":"Regional price dynamics in Argentina (2016–2019)","volume":"10","author":[{"family":"González","given":"Fernando Antonio Ignacio"}],"issued":{"date-parts":[["2020"]]}}}],"schema":"https://github.com/citation-style-language/schema/raw/master/csl-citation.json"} </w:instrText>
      </w:r>
      <w:r w:rsidR="006C4923" w:rsidRPr="0054671B">
        <w:rPr>
          <w:rFonts w:eastAsia="Adobe Myungjo Std M" w:cstheme="minorHAnsi"/>
          <w:szCs w:val="18"/>
        </w:rPr>
        <w:fldChar w:fldCharType="separate"/>
      </w:r>
      <w:r w:rsidR="006C4923" w:rsidRPr="0054671B">
        <w:rPr>
          <w:rFonts w:ascii="Calibri" w:hAnsi="Calibri" w:cs="Calibri"/>
          <w:szCs w:val="24"/>
        </w:rPr>
        <w:t>(</w:t>
      </w:r>
      <w:bookmarkStart w:id="2" w:name="_Hlk79524432"/>
      <w:r w:rsidR="006C4923" w:rsidRPr="0054671B">
        <w:rPr>
          <w:rFonts w:ascii="Calibri" w:hAnsi="Calibri" w:cs="Calibri"/>
          <w:szCs w:val="24"/>
        </w:rPr>
        <w:t>González, 2020)</w:t>
      </w:r>
      <w:bookmarkEnd w:id="2"/>
      <w:r w:rsidR="006C4923" w:rsidRPr="0054671B">
        <w:rPr>
          <w:rFonts w:eastAsia="Adobe Myungjo Std M" w:cstheme="minorHAnsi"/>
          <w:szCs w:val="18"/>
        </w:rPr>
        <w:fldChar w:fldCharType="end"/>
      </w:r>
      <w:r w:rsidR="006C4923" w:rsidRPr="0054671B">
        <w:rPr>
          <w:rFonts w:eastAsia="Adobe Myungjo Std M" w:cstheme="minorHAnsi"/>
          <w:szCs w:val="18"/>
        </w:rPr>
        <w:t>.</w:t>
      </w:r>
    </w:p>
    <w:p w14:paraId="5842A87B" w14:textId="0E46B8CE" w:rsidR="001F51A4" w:rsidRPr="0054671B" w:rsidRDefault="00E24392" w:rsidP="00511618">
      <w:pPr>
        <w:pStyle w:val="ListParagraph"/>
        <w:spacing w:line="360" w:lineRule="auto"/>
        <w:jc w:val="both"/>
        <w:rPr>
          <w:rFonts w:eastAsia="Adobe Myungjo Std M" w:cstheme="minorHAnsi"/>
          <w:szCs w:val="18"/>
        </w:rPr>
      </w:pPr>
      <w:r w:rsidRPr="0054671B">
        <w:rPr>
          <w:rFonts w:eastAsia="Adobe Myungjo Std M" w:cstheme="minorHAnsi"/>
          <w:szCs w:val="18"/>
        </w:rPr>
        <w:tab/>
      </w:r>
      <w:r w:rsidR="00BC31D9" w:rsidRPr="0054671B">
        <w:rPr>
          <w:rFonts w:eastAsia="Adobe Myungjo Std M" w:cstheme="minorHAnsi"/>
          <w:szCs w:val="18"/>
        </w:rPr>
        <w:t>In Indonesia, analyzing wage convergence is very relevant because it often becomes the main factor for many people to migrate</w:t>
      </w:r>
      <w:r w:rsidR="00511618" w:rsidRPr="0054671B">
        <w:rPr>
          <w:rFonts w:eastAsia="Adobe Myungjo Std M" w:cstheme="minorHAnsi"/>
          <w:szCs w:val="18"/>
        </w:rPr>
        <w:t xml:space="preserve">. </w:t>
      </w:r>
      <w:r w:rsidR="00972A9C" w:rsidRPr="0054671B">
        <w:rPr>
          <w:rFonts w:eastAsia="Adobe Myungjo Std M" w:cstheme="minorHAnsi"/>
          <w:szCs w:val="18"/>
        </w:rPr>
        <w:t xml:space="preserve">Based on theory, the economic reason is one aspect that could influence migration, and several approaches that underlie this among them were delivered by </w:t>
      </w:r>
      <w:r w:rsidR="009E5165" w:rsidRPr="0054671B">
        <w:rPr>
          <w:rFonts w:eastAsia="Adobe Myungjo Std M" w:cstheme="minorHAnsi"/>
          <w:szCs w:val="18"/>
        </w:rPr>
        <w:fldChar w:fldCharType="begin"/>
      </w:r>
      <w:r w:rsidR="009B1E97" w:rsidRPr="0054671B">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sidRPr="0054671B">
        <w:rPr>
          <w:rFonts w:eastAsia="Adobe Myungjo Std M" w:cstheme="minorHAnsi"/>
          <w:szCs w:val="18"/>
        </w:rPr>
        <w:fldChar w:fldCharType="separate"/>
      </w:r>
      <w:r w:rsidR="009E5165" w:rsidRPr="0054671B">
        <w:rPr>
          <w:rFonts w:ascii="Calibri" w:hAnsi="Calibri" w:cs="Calibri"/>
        </w:rPr>
        <w:t>Mantra (1992)</w:t>
      </w:r>
      <w:r w:rsidR="009E5165" w:rsidRPr="0054671B">
        <w:rPr>
          <w:rFonts w:eastAsia="Adobe Myungjo Std M" w:cstheme="minorHAnsi"/>
          <w:szCs w:val="18"/>
        </w:rPr>
        <w:fldChar w:fldCharType="end"/>
      </w:r>
      <w:r w:rsidR="00511618" w:rsidRPr="0054671B">
        <w:rPr>
          <w:rFonts w:eastAsia="Adobe Myungjo Std M" w:cstheme="minorHAnsi"/>
          <w:szCs w:val="18"/>
        </w:rPr>
        <w:t xml:space="preserve"> and </w:t>
      </w:r>
      <w:r w:rsidR="009B1E97" w:rsidRPr="0054671B">
        <w:rPr>
          <w:rFonts w:eastAsia="Adobe Myungjo Std M" w:cstheme="minorHAnsi"/>
          <w:szCs w:val="18"/>
        </w:rPr>
        <w:fldChar w:fldCharType="begin"/>
      </w:r>
      <w:r w:rsidR="00BF6189" w:rsidRPr="0054671B">
        <w:rPr>
          <w:rFonts w:eastAsia="Adobe Myungjo Std M" w:cstheme="minorHAnsi"/>
          <w:szCs w:val="18"/>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sidRPr="0054671B">
        <w:rPr>
          <w:rFonts w:eastAsia="Adobe Myungjo Std M" w:cstheme="minorHAnsi"/>
          <w:szCs w:val="18"/>
        </w:rPr>
        <w:fldChar w:fldCharType="separate"/>
      </w:r>
      <w:r w:rsidR="009B1E97" w:rsidRPr="0054671B">
        <w:rPr>
          <w:rFonts w:ascii="Calibri" w:hAnsi="Calibri" w:cs="Calibri"/>
        </w:rPr>
        <w:t>Todaro &amp; Smith, (2003)</w:t>
      </w:r>
      <w:r w:rsidR="009B1E97" w:rsidRPr="0054671B">
        <w:rPr>
          <w:rFonts w:eastAsia="Adobe Myungjo Std M" w:cstheme="minorHAnsi"/>
          <w:szCs w:val="18"/>
        </w:rPr>
        <w:fldChar w:fldCharType="end"/>
      </w:r>
      <w:r w:rsidR="00511618" w:rsidRPr="0054671B">
        <w:rPr>
          <w:rFonts w:eastAsia="Adobe Myungjo Std M" w:cstheme="minorHAnsi"/>
          <w:szCs w:val="18"/>
        </w:rPr>
        <w:t xml:space="preserve">. </w:t>
      </w:r>
      <w:r w:rsidR="004B5CA9" w:rsidRPr="0054671B">
        <w:rPr>
          <w:rFonts w:eastAsia="Adobe Myungjo Std M" w:cstheme="minorHAnsi"/>
          <w:szCs w:val="18"/>
        </w:rPr>
        <w:t>Both agree that economic motives are reasons to migrate, especially migration from rural to urban areas</w:t>
      </w:r>
      <w:r w:rsidR="00511618" w:rsidRPr="0054671B">
        <w:rPr>
          <w:rFonts w:eastAsia="Adobe Myungjo Std M" w:cstheme="minorHAnsi"/>
          <w:szCs w:val="18"/>
        </w:rPr>
        <w:t xml:space="preserve">. </w:t>
      </w:r>
      <w:r w:rsidR="004B5CA9" w:rsidRPr="0054671B">
        <w:rPr>
          <w:rFonts w:eastAsia="Adobe Myungjo Std M" w:cstheme="minorHAnsi"/>
          <w:szCs w:val="18"/>
        </w:rPr>
        <w:t>Indonesian Central Bureau of Statistics (hereafter, BPS) recorded that the population in urban areas in 2020 is 56.7%, increased from 2010, which is only 49.8%</w:t>
      </w:r>
      <w:r w:rsidR="00511618" w:rsidRPr="0054671B">
        <w:rPr>
          <w:rFonts w:eastAsia="Adobe Myungjo Std M" w:cstheme="minorHAnsi"/>
          <w:szCs w:val="18"/>
        </w:rPr>
        <w:t xml:space="preserve">. </w:t>
      </w:r>
      <w:r w:rsidR="003D1E6E" w:rsidRPr="0054671B">
        <w:rPr>
          <w:rFonts w:eastAsia="Adobe Myungjo Std M" w:cstheme="minorHAnsi"/>
          <w:szCs w:val="18"/>
        </w:rPr>
        <w:t>Furthermore, due to substantial urban expansion, which necessitates many workers, that figure is expected to rise to 66.6 percent by 2035.</w:t>
      </w:r>
      <w:r w:rsidR="00511618" w:rsidRPr="0054671B">
        <w:rPr>
          <w:rFonts w:eastAsia="Adobe Myungjo Std M" w:cstheme="minorHAnsi"/>
          <w:szCs w:val="18"/>
        </w:rPr>
        <w:t xml:space="preserve"> Another </w:t>
      </w:r>
      <w:r w:rsidR="00D1353E" w:rsidRPr="0054671B">
        <w:rPr>
          <w:rFonts w:eastAsia="Adobe Myungjo Std M" w:cstheme="minorHAnsi"/>
          <w:szCs w:val="18"/>
        </w:rPr>
        <w:t>report</w:t>
      </w:r>
      <w:r w:rsidR="00511618" w:rsidRPr="0054671B">
        <w:rPr>
          <w:rFonts w:eastAsia="Adobe Myungjo Std M" w:cstheme="minorHAnsi"/>
          <w:szCs w:val="18"/>
        </w:rPr>
        <w:t xml:space="preserve"> from</w:t>
      </w:r>
      <w:r w:rsidR="00A90C0C" w:rsidRPr="0054671B">
        <w:rPr>
          <w:rFonts w:eastAsia="Adobe Myungjo Std M" w:cstheme="minorHAnsi"/>
          <w:szCs w:val="18"/>
        </w:rPr>
        <w:t xml:space="preserve"> </w:t>
      </w:r>
      <w:r w:rsidR="00B329E0" w:rsidRPr="0054671B">
        <w:rPr>
          <w:rFonts w:eastAsia="Adobe Myungjo Std M" w:cstheme="minorHAnsi"/>
          <w:szCs w:val="18"/>
        </w:rPr>
        <w:t>BPS</w:t>
      </w:r>
      <w:r w:rsidR="00511618" w:rsidRPr="0054671B">
        <w:rPr>
          <w:rFonts w:eastAsia="Adobe Myungjo Std M" w:cstheme="minorHAnsi"/>
          <w:szCs w:val="18"/>
        </w:rPr>
        <w:t xml:space="preserve"> show</w:t>
      </w:r>
      <w:r w:rsidR="002F30D7" w:rsidRPr="0054671B">
        <w:rPr>
          <w:rFonts w:eastAsia="Adobe Myungjo Std M" w:cstheme="minorHAnsi"/>
          <w:szCs w:val="18"/>
        </w:rPr>
        <w:t>s</w:t>
      </w:r>
      <w:r w:rsidR="00511618" w:rsidRPr="0054671B">
        <w:rPr>
          <w:rFonts w:eastAsia="Adobe Myungjo Std M" w:cstheme="minorHAnsi"/>
          <w:szCs w:val="18"/>
        </w:rPr>
        <w:t xml:space="preserve"> that the number of lifetime migrants </w:t>
      </w:r>
      <w:r w:rsidR="00B34F0C" w:rsidRPr="0054671B">
        <w:rPr>
          <w:rFonts w:eastAsia="Adobe Myungjo Std M" w:cstheme="minorHAnsi"/>
          <w:szCs w:val="18"/>
        </w:rPr>
        <w:t>i</w:t>
      </w:r>
      <w:r w:rsidR="00511618" w:rsidRPr="0054671B">
        <w:rPr>
          <w:rFonts w:eastAsia="Adobe Myungjo Std M" w:cstheme="minorHAnsi"/>
          <w:szCs w:val="18"/>
        </w:rPr>
        <w:t xml:space="preserve">n 2019 in Indonesia is up to 29.8 million people with migrant workers of 5.4 million people. Java </w:t>
      </w:r>
      <w:r w:rsidRPr="0054671B">
        <w:rPr>
          <w:rFonts w:eastAsia="Adobe Myungjo Std M" w:cstheme="minorHAnsi"/>
          <w:szCs w:val="18"/>
        </w:rPr>
        <w:t>i</w:t>
      </w:r>
      <w:r w:rsidR="00511618" w:rsidRPr="0054671B">
        <w:rPr>
          <w:rFonts w:eastAsia="Adobe Myungjo Std M" w:cstheme="minorHAnsi"/>
          <w:szCs w:val="18"/>
        </w:rPr>
        <w:t xml:space="preserve">sland dominates the population of migrants in Indonesia, with around 51.2% of lifetime migrants and 56.5% of migrant workers residing in Java. </w:t>
      </w:r>
      <w:r w:rsidR="003A77DE" w:rsidRPr="0054671B">
        <w:rPr>
          <w:rFonts w:eastAsia="Adobe Myungjo Std M" w:cstheme="minorHAnsi"/>
          <w:szCs w:val="18"/>
        </w:rPr>
        <w:t>The high number of migrants in Java is mainly influenced by wage conditions, living costs, and living facilities' availability.</w:t>
      </w:r>
      <w:r w:rsidR="00511618" w:rsidRPr="0054671B">
        <w:rPr>
          <w:rFonts w:eastAsia="Adobe Myungjo Std M" w:cstheme="minorHAnsi"/>
          <w:szCs w:val="18"/>
        </w:rPr>
        <w:t xml:space="preserve"> </w:t>
      </w:r>
      <w:r w:rsidRPr="0054671B">
        <w:rPr>
          <w:rFonts w:eastAsia="Adobe Myungjo Std M" w:cstheme="minorHAnsi"/>
          <w:szCs w:val="18"/>
        </w:rPr>
        <w:t xml:space="preserve"> </w:t>
      </w:r>
    </w:p>
    <w:p w14:paraId="625F62CA" w14:textId="2B36C1E1" w:rsidR="00D1353E" w:rsidRPr="0054671B" w:rsidRDefault="001F51A4" w:rsidP="00511618">
      <w:pPr>
        <w:pStyle w:val="ListParagraph"/>
        <w:spacing w:line="360" w:lineRule="auto"/>
        <w:jc w:val="both"/>
        <w:rPr>
          <w:rFonts w:eastAsia="Adobe Myungjo Std M" w:cstheme="minorHAnsi"/>
          <w:szCs w:val="18"/>
        </w:rPr>
      </w:pPr>
      <w:r w:rsidRPr="0054671B">
        <w:rPr>
          <w:rFonts w:eastAsia="Adobe Myungjo Std M" w:cstheme="minorHAnsi"/>
          <w:szCs w:val="18"/>
        </w:rPr>
        <w:tab/>
      </w:r>
      <w:r w:rsidR="003D1E6E" w:rsidRPr="0054671B">
        <w:rPr>
          <w:rFonts w:eastAsia="Adobe Myungjo Std M" w:cstheme="minorHAnsi"/>
          <w:szCs w:val="18"/>
        </w:rPr>
        <w:t>Improvements in people mobility due to the rapid development of transportation infrastructure in Indonesia in the last decade add relevance to studying regional wage convergence.</w:t>
      </w:r>
      <w:r w:rsidR="003D1E6E" w:rsidRPr="0054671B">
        <w:rPr>
          <w:rFonts w:eastAsia="Adobe Myungjo Std M" w:cstheme="minorHAnsi" w:hint="eastAsia"/>
          <w:szCs w:val="18"/>
        </w:rPr>
        <w:t xml:space="preserve"> </w:t>
      </w:r>
      <w:r w:rsidRPr="0054671B">
        <w:rPr>
          <w:rFonts w:eastAsia="Adobe Myungjo Std M" w:cstheme="minorHAnsi"/>
          <w:szCs w:val="18"/>
        </w:rPr>
        <w:t xml:space="preserve">For example, </w:t>
      </w:r>
      <w:r w:rsidR="00AE39B7" w:rsidRPr="0054671B">
        <w:rPr>
          <w:rFonts w:eastAsia="Adobe Myungjo Std M" w:cstheme="minorHAnsi"/>
          <w:szCs w:val="18"/>
        </w:rPr>
        <w:t xml:space="preserve">the </w:t>
      </w:r>
      <w:r w:rsidRPr="0054671B">
        <w:rPr>
          <w:rFonts w:eastAsia="Adobe Myungjo Std M" w:cstheme="minorHAnsi"/>
          <w:szCs w:val="18"/>
        </w:rPr>
        <w:t>number of airports in Indonesia has increased from 148 unit</w:t>
      </w:r>
      <w:r w:rsidR="00AE39B7" w:rsidRPr="0054671B">
        <w:rPr>
          <w:rFonts w:eastAsia="Adobe Myungjo Std M" w:cstheme="minorHAnsi"/>
          <w:szCs w:val="18"/>
        </w:rPr>
        <w:t>s</w:t>
      </w:r>
      <w:r w:rsidRPr="0054671B">
        <w:rPr>
          <w:rFonts w:eastAsia="Adobe Myungjo Std M" w:cstheme="minorHAnsi"/>
          <w:szCs w:val="18"/>
        </w:rPr>
        <w:t xml:space="preserve"> in 2004 to 235 unit</w:t>
      </w:r>
      <w:r w:rsidR="00AE39B7" w:rsidRPr="0054671B">
        <w:rPr>
          <w:rFonts w:eastAsia="Adobe Myungjo Std M" w:cstheme="minorHAnsi"/>
          <w:szCs w:val="18"/>
        </w:rPr>
        <w:t>s</w:t>
      </w:r>
      <w:r w:rsidRPr="0054671B">
        <w:rPr>
          <w:rFonts w:eastAsia="Adobe Myungjo Std M" w:cstheme="minorHAnsi"/>
          <w:szCs w:val="18"/>
        </w:rPr>
        <w:t xml:space="preserve"> in 2018. </w:t>
      </w:r>
      <w:r w:rsidR="00225CD8" w:rsidRPr="0054671B">
        <w:rPr>
          <w:rFonts w:eastAsia="Adobe Myungjo Std M" w:cstheme="minorHAnsi"/>
          <w:szCs w:val="18"/>
        </w:rPr>
        <w:t>As a result, domestic passenger traffic increased dramatically during that period, rising from 34 million passengers per year in 2004 to 94 million passengers per year in 2018</w:t>
      </w:r>
      <w:r w:rsidRPr="0054671B">
        <w:rPr>
          <w:rFonts w:eastAsia="Adobe Myungjo Std M" w:cstheme="minorHAnsi"/>
          <w:szCs w:val="18"/>
        </w:rPr>
        <w:t xml:space="preserve">. </w:t>
      </w:r>
      <w:r w:rsidR="00127D05" w:rsidRPr="0054671B">
        <w:rPr>
          <w:rFonts w:eastAsia="Adobe Myungjo Std M" w:cstheme="minorHAnsi"/>
          <w:szCs w:val="18"/>
        </w:rPr>
        <w:t xml:space="preserve">Similarly, there has also been a rapid development in communication infrastructure due to massive base transceiver station (BTS) construction built by Indonesia's telecommunication </w:t>
      </w:r>
      <w:r w:rsidR="00127D05" w:rsidRPr="0054671B">
        <w:rPr>
          <w:rFonts w:eastAsia="Adobe Myungjo Std M" w:cstheme="minorHAnsi"/>
          <w:szCs w:val="18"/>
        </w:rPr>
        <w:lastRenderedPageBreak/>
        <w:t>state-owned enterprise from only around 26 thousand units in 2008 to 231 thousand in 2020</w:t>
      </w:r>
      <w:r w:rsidRPr="0054671B">
        <w:rPr>
          <w:rFonts w:eastAsia="Adobe Myungjo Std M" w:cstheme="minorHAnsi"/>
          <w:szCs w:val="18"/>
        </w:rPr>
        <w:t xml:space="preserve">. </w:t>
      </w:r>
      <w:r w:rsidR="00127D05" w:rsidRPr="0054671B">
        <w:rPr>
          <w:rFonts w:eastAsia="Adobe Myungjo Std M" w:cstheme="minorHAnsi"/>
          <w:szCs w:val="18"/>
        </w:rPr>
        <w:t>This improvement in connectivity is expected to reduce disparity across Indonesian regions in many economic and social dimensions, including wages.</w:t>
      </w:r>
    </w:p>
    <w:p w14:paraId="447E7AE1" w14:textId="3C154DAC" w:rsidR="00511618" w:rsidRPr="0054671B" w:rsidRDefault="00511618" w:rsidP="00511618">
      <w:pPr>
        <w:pStyle w:val="ListParagraph"/>
        <w:spacing w:line="360" w:lineRule="auto"/>
        <w:jc w:val="both"/>
        <w:rPr>
          <w:rFonts w:eastAsia="Adobe Myungjo Std M" w:cstheme="minorHAnsi"/>
          <w:szCs w:val="18"/>
        </w:rPr>
      </w:pPr>
      <w:r w:rsidRPr="0054671B">
        <w:rPr>
          <w:rFonts w:eastAsia="Adobe Myungjo Std M" w:cstheme="minorHAnsi"/>
          <w:szCs w:val="18"/>
        </w:rPr>
        <w:tab/>
      </w:r>
      <w:r w:rsidR="00A23712" w:rsidRPr="0054671B">
        <w:rPr>
          <w:rFonts w:eastAsia="Adobe Myungjo Std M" w:cstheme="minorHAnsi"/>
          <w:szCs w:val="18"/>
        </w:rPr>
        <w:t>Against this backdrop, t</w:t>
      </w:r>
      <w:r w:rsidRPr="0054671B">
        <w:rPr>
          <w:rFonts w:eastAsia="Adobe Myungjo Std M" w:cstheme="minorHAnsi"/>
          <w:szCs w:val="18"/>
        </w:rPr>
        <w:t>h</w:t>
      </w:r>
      <w:r w:rsidR="00A23712" w:rsidRPr="0054671B">
        <w:rPr>
          <w:rFonts w:eastAsia="Adobe Myungjo Std M" w:cstheme="minorHAnsi"/>
          <w:szCs w:val="18"/>
        </w:rPr>
        <w:t>e present</w:t>
      </w:r>
      <w:r w:rsidRPr="0054671B">
        <w:rPr>
          <w:rFonts w:eastAsia="Adobe Myungjo Std M" w:cstheme="minorHAnsi"/>
          <w:szCs w:val="18"/>
        </w:rPr>
        <w:t xml:space="preserve"> paper </w:t>
      </w:r>
      <w:r w:rsidR="00DD26D2" w:rsidRPr="0054671B">
        <w:rPr>
          <w:rFonts w:eastAsia="Adobe Myungjo Std M" w:cstheme="minorHAnsi"/>
          <w:szCs w:val="18"/>
        </w:rPr>
        <w:t xml:space="preserve">focuses </w:t>
      </w:r>
      <w:r w:rsidRPr="0054671B">
        <w:rPr>
          <w:rFonts w:eastAsia="Adobe Myungjo Std M" w:cstheme="minorHAnsi"/>
          <w:szCs w:val="18"/>
        </w:rPr>
        <w:t xml:space="preserve">on convergence </w:t>
      </w:r>
      <w:r w:rsidR="00DD26D2" w:rsidRPr="0054671B">
        <w:rPr>
          <w:rFonts w:eastAsia="Adobe Myungjo Std M" w:cstheme="minorHAnsi"/>
          <w:szCs w:val="18"/>
        </w:rPr>
        <w:t>patterns</w:t>
      </w:r>
      <w:r w:rsidRPr="0054671B">
        <w:rPr>
          <w:rFonts w:eastAsia="Adobe Myungjo Std M" w:cstheme="minorHAnsi"/>
          <w:szCs w:val="18"/>
        </w:rPr>
        <w:t xml:space="preserve"> of the long-run </w:t>
      </w:r>
      <w:r w:rsidR="00DD26D2" w:rsidRPr="0054671B">
        <w:rPr>
          <w:rFonts w:eastAsia="Adobe Myungjo Std M" w:cstheme="minorHAnsi"/>
          <w:szCs w:val="18"/>
        </w:rPr>
        <w:t>dynamics</w:t>
      </w:r>
      <w:r w:rsidRPr="0054671B">
        <w:rPr>
          <w:rFonts w:eastAsia="Adobe Myungjo Std M" w:cstheme="minorHAnsi"/>
          <w:szCs w:val="18"/>
        </w:rPr>
        <w:t xml:space="preserve"> </w:t>
      </w:r>
      <w:r w:rsidR="00DD26D2" w:rsidRPr="0054671B">
        <w:rPr>
          <w:rFonts w:eastAsia="Adobe Myungjo Std M" w:cstheme="minorHAnsi"/>
          <w:szCs w:val="18"/>
        </w:rPr>
        <w:t>in</w:t>
      </w:r>
      <w:r w:rsidRPr="0054671B">
        <w:rPr>
          <w:rFonts w:eastAsia="Adobe Myungjo Std M" w:cstheme="minorHAnsi"/>
          <w:szCs w:val="18"/>
        </w:rPr>
        <w:t xml:space="preserve"> wages </w:t>
      </w:r>
      <w:r w:rsidR="00E21B5A" w:rsidRPr="0054671B">
        <w:rPr>
          <w:rFonts w:eastAsia="Adobe Myungjo Std M" w:cstheme="minorHAnsi"/>
          <w:szCs w:val="18"/>
        </w:rPr>
        <w:t xml:space="preserve">across </w:t>
      </w:r>
      <w:r w:rsidRPr="0054671B">
        <w:rPr>
          <w:rFonts w:eastAsia="Adobe Myungjo Std M" w:cstheme="minorHAnsi"/>
          <w:szCs w:val="18"/>
        </w:rPr>
        <w:t>Indonesia</w:t>
      </w:r>
      <w:r w:rsidR="00E21B5A" w:rsidRPr="0054671B">
        <w:rPr>
          <w:rFonts w:eastAsia="Adobe Myungjo Std M" w:cstheme="minorHAnsi"/>
          <w:szCs w:val="18"/>
        </w:rPr>
        <w:t>n provinces</w:t>
      </w:r>
      <w:r w:rsidRPr="0054671B">
        <w:rPr>
          <w:rFonts w:eastAsia="Adobe Myungjo Std M" w:cstheme="minorHAnsi"/>
          <w:szCs w:val="18"/>
        </w:rPr>
        <w:t xml:space="preserve"> and </w:t>
      </w:r>
      <w:r w:rsidR="00E21B5A" w:rsidRPr="0054671B">
        <w:rPr>
          <w:rFonts w:eastAsia="Adobe Myungjo Std M" w:cstheme="minorHAnsi"/>
          <w:szCs w:val="18"/>
        </w:rPr>
        <w:t>the</w:t>
      </w:r>
      <w:r w:rsidRPr="0054671B">
        <w:rPr>
          <w:rFonts w:eastAsia="Adobe Myungjo Std M" w:cstheme="minorHAnsi"/>
          <w:szCs w:val="18"/>
        </w:rPr>
        <w:t xml:space="preserve"> influenc</w:t>
      </w:r>
      <w:r w:rsidR="00DD26D2" w:rsidRPr="0054671B">
        <w:rPr>
          <w:rFonts w:eastAsia="Adobe Myungjo Std M" w:cstheme="minorHAnsi"/>
          <w:szCs w:val="18"/>
        </w:rPr>
        <w:t>ing</w:t>
      </w:r>
      <w:r w:rsidRPr="0054671B">
        <w:rPr>
          <w:rFonts w:eastAsia="Adobe Myungjo Std M" w:cstheme="minorHAnsi"/>
          <w:szCs w:val="18"/>
        </w:rPr>
        <w:t xml:space="preserve"> factors</w:t>
      </w:r>
      <w:r w:rsidR="00E21B5A" w:rsidRPr="0054671B">
        <w:rPr>
          <w:rFonts w:eastAsia="Adobe Myungjo Std M" w:cstheme="minorHAnsi"/>
          <w:szCs w:val="18"/>
        </w:rPr>
        <w:t xml:space="preserve"> of the converging behavio</w:t>
      </w:r>
      <w:r w:rsidR="005E4DAC" w:rsidRPr="0054671B">
        <w:rPr>
          <w:rFonts w:eastAsia="Adobe Myungjo Std M" w:cstheme="minorHAnsi"/>
          <w:szCs w:val="18"/>
        </w:rPr>
        <w:t>r</w:t>
      </w:r>
      <w:r w:rsidRPr="0054671B">
        <w:rPr>
          <w:rFonts w:eastAsia="Adobe Myungjo Std M" w:cstheme="minorHAnsi"/>
          <w:szCs w:val="18"/>
        </w:rPr>
        <w:t xml:space="preserve">. Despite numerous studies on regional income convergence, little is known about regional wage convergence in Indonesia. </w:t>
      </w:r>
      <w:r w:rsidR="004578A8" w:rsidRPr="0054671B">
        <w:rPr>
          <w:rFonts w:eastAsia="Adobe Myungjo Std M" w:cstheme="minorHAnsi"/>
          <w:szCs w:val="18"/>
        </w:rPr>
        <w:t xml:space="preserve">Furthermore, this paper uses the average net income per month of employees and laborers in 34 provinces from 2008-2020 as the primary indicator instead of </w:t>
      </w:r>
      <w:r w:rsidR="00081C19" w:rsidRPr="0054671B">
        <w:rPr>
          <w:rFonts w:eastAsia="Adobe Myungjo Std M" w:cstheme="minorHAnsi"/>
          <w:szCs w:val="18"/>
        </w:rPr>
        <w:t xml:space="preserve">the </w:t>
      </w:r>
      <w:r w:rsidR="004578A8" w:rsidRPr="0054671B">
        <w:rPr>
          <w:rFonts w:eastAsia="Adobe Myungjo Std M" w:cstheme="minorHAnsi"/>
          <w:szCs w:val="18"/>
        </w:rPr>
        <w:t>regional minimum wage</w:t>
      </w:r>
      <w:r w:rsidRPr="0054671B">
        <w:rPr>
          <w:rFonts w:eastAsia="Adobe Myungjo Std M" w:cstheme="minorHAnsi"/>
          <w:szCs w:val="18"/>
        </w:rPr>
        <w:t xml:space="preserve"> (</w:t>
      </w:r>
      <w:r w:rsidR="00F74677" w:rsidRPr="0054671B">
        <w:rPr>
          <w:rFonts w:eastAsia="Adobe Myungjo Std M" w:cstheme="minorHAnsi"/>
          <w:i/>
          <w:iCs/>
          <w:szCs w:val="18"/>
        </w:rPr>
        <w:t xml:space="preserve">Upah Minimum </w:t>
      </w:r>
      <w:r w:rsidR="009466FA" w:rsidRPr="0054671B">
        <w:rPr>
          <w:rFonts w:eastAsia="Adobe Myungjo Std M" w:cstheme="minorHAnsi"/>
          <w:i/>
          <w:iCs/>
          <w:szCs w:val="18"/>
        </w:rPr>
        <w:t>R</w:t>
      </w:r>
      <w:r w:rsidR="00F74677" w:rsidRPr="0054671B">
        <w:rPr>
          <w:rFonts w:eastAsia="Adobe Myungjo Std M" w:cstheme="minorHAnsi"/>
          <w:i/>
          <w:iCs/>
          <w:szCs w:val="18"/>
        </w:rPr>
        <w:t>egional</w:t>
      </w:r>
      <w:r w:rsidR="00F74677" w:rsidRPr="0054671B">
        <w:rPr>
          <w:rFonts w:eastAsia="Adobe Myungjo Std M" w:cstheme="minorHAnsi"/>
          <w:szCs w:val="18"/>
        </w:rPr>
        <w:t xml:space="preserve"> - </w:t>
      </w:r>
      <w:r w:rsidRPr="0054671B">
        <w:rPr>
          <w:rFonts w:eastAsia="Adobe Myungjo Std M" w:cstheme="minorHAnsi"/>
          <w:szCs w:val="18"/>
        </w:rPr>
        <w:t xml:space="preserve">UMR). In many cases, regional minimum wage </w:t>
      </w:r>
      <w:r w:rsidR="00081C19" w:rsidRPr="0054671B">
        <w:rPr>
          <w:rFonts w:eastAsia="Adobe Myungjo Std M" w:cstheme="minorHAnsi"/>
          <w:szCs w:val="18"/>
        </w:rPr>
        <w:t xml:space="preserve">is </w:t>
      </w:r>
      <w:r w:rsidRPr="0054671B">
        <w:rPr>
          <w:rFonts w:eastAsia="Adobe Myungjo Std M" w:cstheme="minorHAnsi"/>
          <w:szCs w:val="18"/>
        </w:rPr>
        <w:t xml:space="preserve">usually influenced by local government policy and other unconditional factors, so it </w:t>
      </w:r>
      <w:r w:rsidR="00A03A31" w:rsidRPr="0054671B">
        <w:rPr>
          <w:rFonts w:eastAsia="Adobe Myungjo Std M" w:cstheme="minorHAnsi"/>
          <w:szCs w:val="18"/>
        </w:rPr>
        <w:t>does not</w:t>
      </w:r>
      <w:r w:rsidRPr="0054671B">
        <w:rPr>
          <w:rFonts w:eastAsia="Adobe Myungjo Std M" w:cstheme="minorHAnsi"/>
          <w:szCs w:val="18"/>
        </w:rPr>
        <w:t xml:space="preserve"> optimally </w:t>
      </w:r>
      <w:r w:rsidR="00A03A31" w:rsidRPr="0054671B">
        <w:rPr>
          <w:rFonts w:eastAsia="Adobe Myungjo Std M" w:cstheme="minorHAnsi"/>
          <w:szCs w:val="18"/>
        </w:rPr>
        <w:t>represent</w:t>
      </w:r>
      <w:r w:rsidRPr="0054671B">
        <w:rPr>
          <w:rFonts w:eastAsia="Adobe Myungjo Std M" w:cstheme="minorHAnsi"/>
          <w:szCs w:val="18"/>
        </w:rPr>
        <w:t xml:space="preserve"> the real market situation. We also remove the effect of inflation on regional wage by converting the data from nominal into </w:t>
      </w:r>
      <w:r w:rsidR="00D828EB" w:rsidRPr="0054671B">
        <w:rPr>
          <w:rFonts w:eastAsia="Adobe Myungjo Std M" w:cstheme="minorHAnsi"/>
          <w:szCs w:val="18"/>
        </w:rPr>
        <w:t xml:space="preserve">the </w:t>
      </w:r>
      <w:r w:rsidRPr="0054671B">
        <w:rPr>
          <w:rFonts w:eastAsia="Adobe Myungjo Std M" w:cstheme="minorHAnsi"/>
          <w:szCs w:val="18"/>
        </w:rPr>
        <w:t>real term</w:t>
      </w:r>
      <w:r w:rsidR="00DB6940" w:rsidRPr="0054671B">
        <w:rPr>
          <w:rFonts w:eastAsia="Adobe Myungjo Std M" w:cstheme="minorHAnsi"/>
          <w:szCs w:val="18"/>
        </w:rPr>
        <w:t>.</w:t>
      </w:r>
    </w:p>
    <w:p w14:paraId="433CE65A" w14:textId="76F980B4" w:rsidR="00511618" w:rsidRPr="0054671B" w:rsidRDefault="00511618" w:rsidP="00511618">
      <w:pPr>
        <w:pStyle w:val="ListParagraph"/>
        <w:spacing w:line="360" w:lineRule="auto"/>
        <w:ind w:firstLine="720"/>
        <w:jc w:val="both"/>
      </w:pPr>
      <w:r w:rsidRPr="0054671B">
        <w:rPr>
          <w:rFonts w:eastAsia="Adobe Myungjo Std M" w:cstheme="minorHAnsi"/>
          <w:szCs w:val="18"/>
        </w:rPr>
        <w:t xml:space="preserve">By applying </w:t>
      </w:r>
      <w:r w:rsidR="004578A8" w:rsidRPr="0054671B">
        <w:rPr>
          <w:rFonts w:eastAsia="Adobe Myungjo Std M" w:cstheme="minorHAnsi"/>
          <w:szCs w:val="18"/>
        </w:rPr>
        <w:t xml:space="preserve">the </w:t>
      </w:r>
      <w:r w:rsidRPr="0054671B">
        <w:rPr>
          <w:rFonts w:eastAsia="Adobe Myungjo Std M" w:cstheme="minorHAnsi"/>
          <w:szCs w:val="18"/>
        </w:rPr>
        <w:t xml:space="preserve">club convergence technique </w:t>
      </w:r>
      <w:r w:rsidR="00D5639B" w:rsidRPr="0054671B">
        <w:rPr>
          <w:rFonts w:eastAsia="Adobe Myungjo Std M" w:cstheme="minorHAnsi"/>
          <w:szCs w:val="18"/>
        </w:rPr>
        <w:fldChar w:fldCharType="begin"/>
      </w:r>
      <w:r w:rsidR="00D5639B" w:rsidRPr="0054671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sidRPr="0054671B">
        <w:rPr>
          <w:rFonts w:eastAsia="Adobe Myungjo Std M" w:cstheme="minorHAnsi"/>
          <w:szCs w:val="18"/>
        </w:rPr>
        <w:fldChar w:fldCharType="separate"/>
      </w:r>
      <w:r w:rsidR="00D5639B" w:rsidRPr="0054671B">
        <w:rPr>
          <w:rFonts w:ascii="Calibri" w:hAnsi="Calibri" w:cs="Calibri"/>
        </w:rPr>
        <w:t>(Phillips &amp; Sul, 2007)</w:t>
      </w:r>
      <w:r w:rsidR="00D5639B" w:rsidRPr="0054671B">
        <w:rPr>
          <w:rFonts w:eastAsia="Adobe Myungjo Std M" w:cstheme="minorHAnsi"/>
          <w:szCs w:val="18"/>
        </w:rPr>
        <w:fldChar w:fldCharType="end"/>
      </w:r>
      <w:r w:rsidRPr="0054671B">
        <w:rPr>
          <w:rFonts w:eastAsia="Adobe Myungjo Std M" w:cstheme="minorHAnsi"/>
          <w:szCs w:val="18"/>
        </w:rPr>
        <w:t>, we find three significant convergence clubs of regional wage. Interestingly, the composition of the clubs by using real wage is very similar to the one we obtained by using nominal wage, implying the existence of</w:t>
      </w:r>
      <w:r w:rsidR="001F188B" w:rsidRPr="0054671B">
        <w:rPr>
          <w:rFonts w:eastAsia="Adobe Myungjo Std M" w:cstheme="minorHAnsi"/>
          <w:szCs w:val="18"/>
        </w:rPr>
        <w:t xml:space="preserve"> a</w:t>
      </w:r>
      <w:r w:rsidRPr="0054671B">
        <w:rPr>
          <w:rFonts w:eastAsia="Adobe Myungjo Std M" w:cstheme="minorHAnsi"/>
          <w:szCs w:val="18"/>
        </w:rPr>
        <w:t xml:space="preserve"> price-adjusted mechanism in regional wages. </w:t>
      </w:r>
      <w:r w:rsidR="00712558" w:rsidRPr="0054671B">
        <w:rPr>
          <w:rFonts w:eastAsia="Adobe Myungjo Std M" w:cstheme="minorHAnsi"/>
          <w:szCs w:val="18"/>
        </w:rPr>
        <w:t xml:space="preserve">Provinces that converge into the higher wage clubs (club 1 and club 2) </w:t>
      </w:r>
      <w:r w:rsidR="00941FC7">
        <w:rPr>
          <w:rFonts w:eastAsia="Adobe Myungjo Std M" w:cstheme="minorHAnsi"/>
          <w:szCs w:val="18"/>
        </w:rPr>
        <w:t>share</w:t>
      </w:r>
      <w:r w:rsidR="00712558" w:rsidRPr="0054671B">
        <w:rPr>
          <w:rFonts w:eastAsia="Adobe Myungjo Std M" w:cstheme="minorHAnsi"/>
          <w:szCs w:val="18"/>
        </w:rPr>
        <w:t xml:space="preserve"> similar characteristics</w:t>
      </w:r>
      <w:r w:rsidR="003D6DD0">
        <w:rPr>
          <w:rFonts w:eastAsia="Adobe Myungjo Std M" w:cstheme="minorHAnsi"/>
          <w:szCs w:val="18"/>
        </w:rPr>
        <w:t>;</w:t>
      </w:r>
      <w:r w:rsidR="00712558" w:rsidRPr="0054671B">
        <w:rPr>
          <w:rFonts w:eastAsia="Adobe Myungjo Std M" w:cstheme="minorHAnsi"/>
          <w:szCs w:val="18"/>
        </w:rPr>
        <w:t xml:space="preserve"> </w:t>
      </w:r>
      <w:r w:rsidR="00941FC7" w:rsidRPr="00941FC7">
        <w:rPr>
          <w:rFonts w:eastAsia="Adobe Myungjo Std M" w:cstheme="minorHAnsi"/>
          <w:szCs w:val="18"/>
        </w:rPr>
        <w:t>having a large proportion of manufacturing industries</w:t>
      </w:r>
      <w:r w:rsidR="00941FC7">
        <w:rPr>
          <w:rFonts w:eastAsia="Adobe Myungjo Std M" w:cstheme="minorHAnsi"/>
          <w:szCs w:val="18"/>
        </w:rPr>
        <w:t xml:space="preserve"> </w:t>
      </w:r>
      <w:r w:rsidR="00941FC7" w:rsidRPr="0054671B">
        <w:rPr>
          <w:rFonts w:eastAsia="Adobe Myungjo Std M" w:cstheme="minorHAnsi"/>
          <w:szCs w:val="18"/>
        </w:rPr>
        <w:t>and high traffic of migrant workers</w:t>
      </w:r>
      <w:r w:rsidR="00712558" w:rsidRPr="0054671B">
        <w:rPr>
          <w:rFonts w:eastAsia="Adobe Myungjo Std M" w:cstheme="minorHAnsi"/>
          <w:szCs w:val="18"/>
        </w:rPr>
        <w:t>,</w:t>
      </w:r>
      <w:r w:rsidR="00941FC7">
        <w:rPr>
          <w:rFonts w:eastAsia="Adobe Myungjo Std M" w:cstheme="minorHAnsi"/>
          <w:szCs w:val="18"/>
        </w:rPr>
        <w:t xml:space="preserve"> and</w:t>
      </w:r>
      <w:r w:rsidR="00712558" w:rsidRPr="0054671B">
        <w:rPr>
          <w:rFonts w:eastAsia="Adobe Myungjo Std M" w:cstheme="minorHAnsi"/>
          <w:szCs w:val="18"/>
        </w:rPr>
        <w:t xml:space="preserve"> </w:t>
      </w:r>
      <w:r w:rsidR="00C2683A">
        <w:rPr>
          <w:rFonts w:eastAsia="Adobe Myungjo Std M" w:cstheme="minorHAnsi"/>
          <w:szCs w:val="18"/>
        </w:rPr>
        <w:t xml:space="preserve">locations of main national strategic infrastructure </w:t>
      </w:r>
      <w:r w:rsidR="00712558" w:rsidRPr="0054671B">
        <w:rPr>
          <w:rFonts w:eastAsia="Adobe Myungjo Std M" w:cstheme="minorHAnsi"/>
          <w:szCs w:val="18"/>
        </w:rPr>
        <w:t>projects to promote investment</w:t>
      </w:r>
      <w:r w:rsidR="00941FC7">
        <w:rPr>
          <w:rFonts w:eastAsia="Adobe Myungjo Std M" w:cstheme="minorHAnsi"/>
          <w:szCs w:val="18"/>
        </w:rPr>
        <w:t xml:space="preserve">. </w:t>
      </w:r>
      <w:r w:rsidRPr="0054671B">
        <w:rPr>
          <w:rFonts w:eastAsia="Adobe Myungjo Std M" w:cstheme="minorHAnsi"/>
          <w:szCs w:val="18"/>
        </w:rPr>
        <w:t>Our further analysis using</w:t>
      </w:r>
      <w:r w:rsidR="001F188B" w:rsidRPr="0054671B">
        <w:t xml:space="preserve"> </w:t>
      </w:r>
      <w:r w:rsidRPr="0054671B">
        <w:t xml:space="preserve">ordered logit model suggests that the formation of club convergence is significantly explained by the following variables: share of employment </w:t>
      </w:r>
      <w:r w:rsidR="00712558" w:rsidRPr="0054671B">
        <w:t xml:space="preserve">in the </w:t>
      </w:r>
      <w:r w:rsidRPr="0054671B">
        <w:t>manufacturing sector, investment share to GDP</w:t>
      </w:r>
      <w:r w:rsidR="00712558" w:rsidRPr="0054671B">
        <w:t xml:space="preserve">, </w:t>
      </w:r>
      <w:r w:rsidRPr="0054671B">
        <w:t>labor force participation rate</w:t>
      </w:r>
      <w:r w:rsidR="00712558" w:rsidRPr="0054671B">
        <w:t>, and the wage</w:t>
      </w:r>
      <w:r w:rsidR="00755FCE" w:rsidRPr="0054671B">
        <w:t xml:space="preserve"> level at the initial period</w:t>
      </w:r>
      <w:r w:rsidR="00712558" w:rsidRPr="0054671B">
        <w:t>.</w:t>
      </w:r>
      <w:r w:rsidRPr="0054671B">
        <w:t xml:space="preserve"> </w:t>
      </w:r>
      <w:r w:rsidR="00712558" w:rsidRPr="0054671B">
        <w:t>These findings also confirm the assumption of similar characteristics mentioned above.</w:t>
      </w:r>
      <w:r w:rsidR="004F2556" w:rsidRPr="0054671B">
        <w:t xml:space="preserve"> </w:t>
      </w:r>
    </w:p>
    <w:p w14:paraId="7646295A" w14:textId="25F22240" w:rsidR="00EE0849" w:rsidRPr="0054671B" w:rsidRDefault="0040038C" w:rsidP="00511618">
      <w:pPr>
        <w:pStyle w:val="ListParagraph"/>
        <w:spacing w:line="360" w:lineRule="auto"/>
        <w:ind w:firstLine="720"/>
        <w:jc w:val="both"/>
        <w:sectPr w:rsidR="00EE0849" w:rsidRPr="0054671B">
          <w:footerReference w:type="default" r:id="rId11"/>
          <w:pgSz w:w="12240" w:h="15840"/>
          <w:pgMar w:top="1440" w:right="1440" w:bottom="1440" w:left="1440" w:header="720" w:footer="720" w:gutter="0"/>
          <w:cols w:space="720"/>
          <w:docGrid w:linePitch="360"/>
        </w:sectPr>
      </w:pPr>
      <w:r w:rsidRPr="0054671B">
        <w:t>The remaining part of the paper is organized as follows</w:t>
      </w:r>
      <w:r w:rsidR="00511618" w:rsidRPr="0054671B">
        <w:t xml:space="preserve">. </w:t>
      </w:r>
      <w:r w:rsidRPr="0054671B">
        <w:t>S</w:t>
      </w:r>
      <w:r w:rsidR="00511618" w:rsidRPr="0054671B">
        <w:t>ection 2 review</w:t>
      </w:r>
      <w:r w:rsidRPr="0054671B">
        <w:t>s</w:t>
      </w:r>
      <w:r w:rsidR="00511618" w:rsidRPr="0054671B">
        <w:t xml:space="preserve"> </w:t>
      </w:r>
      <w:r w:rsidR="006455B6">
        <w:t xml:space="preserve">the </w:t>
      </w:r>
      <w:r w:rsidR="00511618" w:rsidRPr="0054671B">
        <w:t>related literature</w:t>
      </w:r>
      <w:r w:rsidR="00216075" w:rsidRPr="0054671B">
        <w:t>,</w:t>
      </w:r>
      <w:r w:rsidR="00511618" w:rsidRPr="0054671B">
        <w:t xml:space="preserve"> and Section 3 discuss</w:t>
      </w:r>
      <w:r w:rsidRPr="0054671B">
        <w:t>es</w:t>
      </w:r>
      <w:r w:rsidR="00511618" w:rsidRPr="0054671B">
        <w:t xml:space="preserve"> the methodologies and data. </w:t>
      </w:r>
      <w:r w:rsidR="005E4DAC" w:rsidRPr="0054671B">
        <w:t xml:space="preserve">We discuss the results of club convergence identification and the influencing factors in </w:t>
      </w:r>
      <w:r w:rsidR="00511618" w:rsidRPr="0054671B">
        <w:t>Section 4</w:t>
      </w:r>
      <w:r w:rsidR="005E4DAC" w:rsidRPr="0054671B">
        <w:t>.</w:t>
      </w:r>
      <w:r w:rsidR="00511618" w:rsidRPr="0054671B">
        <w:t xml:space="preserve"> Finally, </w:t>
      </w:r>
      <w:r w:rsidRPr="0054671B">
        <w:t xml:space="preserve">Section 5 concludes </w:t>
      </w:r>
      <w:r w:rsidR="005E4DAC" w:rsidRPr="0054671B">
        <w:t>the paper.</w:t>
      </w:r>
    </w:p>
    <w:p w14:paraId="0A0883A9" w14:textId="336CB2FB" w:rsidR="00CC0532" w:rsidRPr="0054671B" w:rsidRDefault="00216075" w:rsidP="00687E6C">
      <w:pPr>
        <w:pStyle w:val="ListParagraph"/>
        <w:numPr>
          <w:ilvl w:val="0"/>
          <w:numId w:val="2"/>
        </w:numPr>
        <w:rPr>
          <w:rFonts w:ascii="Bookman Old Style" w:eastAsia="Adobe Myungjo Std M" w:hAnsi="Bookman Old Style"/>
          <w:b/>
          <w:szCs w:val="18"/>
        </w:rPr>
      </w:pPr>
      <w:r w:rsidRPr="0054671B">
        <w:rPr>
          <w:rFonts w:ascii="Bookman Old Style" w:eastAsia="Adobe Myungjo Std M" w:hAnsi="Bookman Old Style"/>
          <w:b/>
          <w:szCs w:val="18"/>
        </w:rPr>
        <w:lastRenderedPageBreak/>
        <w:t>A b</w:t>
      </w:r>
      <w:r w:rsidR="00687E6C" w:rsidRPr="0054671B">
        <w:rPr>
          <w:rFonts w:ascii="Bookman Old Style" w:eastAsia="Adobe Myungjo Std M" w:hAnsi="Bookman Old Style"/>
          <w:b/>
          <w:szCs w:val="18"/>
        </w:rPr>
        <w:t>rief review on wage convergence studies and contribution of</w:t>
      </w:r>
      <w:r w:rsidR="00951BFF" w:rsidRPr="0054671B">
        <w:rPr>
          <w:rFonts w:ascii="Bookman Old Style" w:eastAsia="Adobe Myungjo Std M" w:hAnsi="Bookman Old Style"/>
          <w:b/>
          <w:szCs w:val="18"/>
        </w:rPr>
        <w:t xml:space="preserve"> </w:t>
      </w:r>
      <w:r w:rsidR="008711ED" w:rsidRPr="0054671B">
        <w:rPr>
          <w:rFonts w:ascii="Bookman Old Style" w:eastAsia="Adobe Myungjo Std M" w:hAnsi="Bookman Old Style"/>
          <w:b/>
          <w:szCs w:val="18"/>
        </w:rPr>
        <w:t xml:space="preserve">the </w:t>
      </w:r>
      <w:r w:rsidR="00951BFF" w:rsidRPr="0054671B">
        <w:rPr>
          <w:rFonts w:ascii="Bookman Old Style" w:eastAsia="Adobe Myungjo Std M" w:hAnsi="Bookman Old Style"/>
          <w:b/>
          <w:szCs w:val="18"/>
        </w:rPr>
        <w:t>present</w:t>
      </w:r>
      <w:r w:rsidR="00687E6C" w:rsidRPr="0054671B">
        <w:rPr>
          <w:rFonts w:ascii="Bookman Old Style" w:eastAsia="Adobe Myungjo Std M" w:hAnsi="Bookman Old Style"/>
          <w:b/>
          <w:szCs w:val="18"/>
        </w:rPr>
        <w:t xml:space="preserve"> </w:t>
      </w:r>
      <w:r w:rsidR="00910C9D" w:rsidRPr="0054671B">
        <w:rPr>
          <w:rFonts w:ascii="Bookman Old Style" w:eastAsia="Adobe Myungjo Std M" w:hAnsi="Bookman Old Style"/>
          <w:b/>
          <w:szCs w:val="18"/>
        </w:rPr>
        <w:t>paper</w:t>
      </w:r>
    </w:p>
    <w:p w14:paraId="32D8E454" w14:textId="77777777" w:rsidR="00687E6C" w:rsidRPr="0054671B" w:rsidRDefault="00687E6C" w:rsidP="00687E6C">
      <w:pPr>
        <w:pStyle w:val="ListParagraph"/>
        <w:rPr>
          <w:rFonts w:ascii="Bookman Old Style" w:eastAsia="Adobe Myungjo Std M" w:hAnsi="Bookman Old Style"/>
          <w:b/>
          <w:szCs w:val="18"/>
        </w:rPr>
      </w:pPr>
    </w:p>
    <w:p w14:paraId="624ABB9E" w14:textId="79779F75" w:rsidR="003C63A1" w:rsidRPr="0054671B" w:rsidRDefault="00520FF3" w:rsidP="00CC0532">
      <w:pPr>
        <w:pStyle w:val="ListParagraph"/>
        <w:spacing w:line="360" w:lineRule="auto"/>
        <w:ind w:left="709"/>
        <w:jc w:val="both"/>
        <w:rPr>
          <w:rFonts w:eastAsia="Adobe Myungjo Std M" w:cstheme="minorHAnsi"/>
          <w:szCs w:val="18"/>
        </w:rPr>
      </w:pPr>
      <w:r w:rsidRPr="0054671B">
        <w:rPr>
          <w:rFonts w:eastAsia="Adobe Myungjo Std M" w:cstheme="minorHAnsi"/>
          <w:szCs w:val="18"/>
        </w:rPr>
        <w:t>In labor market literature, wage convergence is generally evaluated from two perspectives: first, convergence in wage across workers and, second, across locations.</w:t>
      </w:r>
      <w:r w:rsidR="008D3FE5" w:rsidRPr="0054671B">
        <w:rPr>
          <w:rFonts w:eastAsia="Adobe Myungjo Std M" w:cstheme="minorHAnsi"/>
          <w:szCs w:val="18"/>
        </w:rPr>
        <w:t xml:space="preserve"> Among others, the </w:t>
      </w:r>
      <w:r w:rsidR="00FF2146" w:rsidRPr="0054671B">
        <w:rPr>
          <w:rFonts w:eastAsia="Adobe Myungjo Std M" w:cstheme="minorHAnsi"/>
          <w:szCs w:val="18"/>
        </w:rPr>
        <w:t xml:space="preserve">study </w:t>
      </w:r>
      <w:r w:rsidR="008D3FE5" w:rsidRPr="0054671B">
        <w:rPr>
          <w:rFonts w:eastAsia="Adobe Myungjo Std M" w:cstheme="minorHAnsi"/>
          <w:szCs w:val="18"/>
        </w:rPr>
        <w:t xml:space="preserve">of </w:t>
      </w:r>
      <w:r w:rsidR="00C27D5D" w:rsidRPr="0054671B">
        <w:rPr>
          <w:rFonts w:eastAsia="Adobe Myungjo Std M" w:cstheme="minorHAnsi"/>
          <w:szCs w:val="18"/>
        </w:rPr>
        <w:fldChar w:fldCharType="begin"/>
      </w:r>
      <w:r w:rsidR="008B6240" w:rsidRPr="0054671B">
        <w:rPr>
          <w:rFonts w:eastAsia="Adobe Myungjo Std M" w:cstheme="minorHAnsi"/>
          <w:szCs w:val="18"/>
        </w:rPr>
        <w:instrText xml:space="preserve"> ADDIN ZOTERO_ITEM CSL_CITATION {"citationID":"pb2sZOE3","properties":{"formattedCitation":"(Fang &amp; Yang, 2011)","plainCitation":"(Fang &amp; Yang, 2011)","dontUpdate":true,"noteIndex":0},"citationItems":[{"id":363,"uris":["http://zotero.org/users/local/9Bu69DCL/items/PRKHZ9RW"],"uri":["http://zotero.org/users/local/9Bu69DCL/items/PRKHZ9RW"],"itemData":{"id":363,"type":"article-journal","container-title":"China economic review","ISSN":"1043-951X","issue":"4","journalAbbreviation":"China economic review","note":"publisher: Elsevier","page":"601-610","title":"Wage increases, wage convergence, and the Lewis turning point in China","volume":"22","author":[{"family":"Fang","given":"Cai"},{"family":"Yang","given":"Du"}],"issued":{"date-parts":[["2011"]]}}}],"schema":"https://github.com/citation-style-language/schema/raw/master/csl-citation.json"} </w:instrText>
      </w:r>
      <w:r w:rsidR="00C27D5D" w:rsidRPr="0054671B">
        <w:rPr>
          <w:rFonts w:eastAsia="Adobe Myungjo Std M" w:cstheme="minorHAnsi"/>
          <w:szCs w:val="18"/>
        </w:rPr>
        <w:fldChar w:fldCharType="separate"/>
      </w:r>
      <w:r w:rsidR="00C27D5D" w:rsidRPr="0054671B">
        <w:rPr>
          <w:rFonts w:ascii="Calibri" w:hAnsi="Calibri" w:cs="Calibri"/>
        </w:rPr>
        <w:t>Fang &amp; Yang (2011)</w:t>
      </w:r>
      <w:r w:rsidR="00C27D5D" w:rsidRPr="0054671B">
        <w:rPr>
          <w:rFonts w:eastAsia="Adobe Myungjo Std M" w:cstheme="minorHAnsi"/>
          <w:szCs w:val="18"/>
        </w:rPr>
        <w:fldChar w:fldCharType="end"/>
      </w:r>
      <w:r w:rsidR="00CC0532" w:rsidRPr="0054671B">
        <w:rPr>
          <w:rFonts w:eastAsia="Adobe Myungjo Std M" w:cstheme="minorHAnsi"/>
          <w:szCs w:val="18"/>
        </w:rPr>
        <w:t xml:space="preserve"> </w:t>
      </w:r>
      <w:r w:rsidRPr="0054671B">
        <w:rPr>
          <w:rFonts w:eastAsia="Adobe Myungjo Std M" w:cstheme="minorHAnsi"/>
          <w:szCs w:val="18"/>
        </w:rPr>
        <w:t>is one of the well-appreciated works evaluating wage convergence across unskilled and skilled workers in China.</w:t>
      </w:r>
      <w:r w:rsidR="00E93C15" w:rsidRPr="0054671B">
        <w:rPr>
          <w:rFonts w:eastAsia="Adobe Myungjo Std M" w:cstheme="minorHAnsi"/>
          <w:szCs w:val="18"/>
        </w:rPr>
        <w:t xml:space="preserve"> Their results indicate that </w:t>
      </w:r>
      <w:r w:rsidR="008711ED" w:rsidRPr="0054671B">
        <w:rPr>
          <w:rFonts w:eastAsia="Adobe Myungjo Std M" w:cstheme="minorHAnsi"/>
          <w:szCs w:val="18"/>
        </w:rPr>
        <w:t xml:space="preserve">the </w:t>
      </w:r>
      <w:r w:rsidR="00E93C15" w:rsidRPr="0054671B">
        <w:rPr>
          <w:rFonts w:eastAsia="Adobe Myungjo Std M" w:cstheme="minorHAnsi"/>
          <w:szCs w:val="18"/>
        </w:rPr>
        <w:t>wage of unskilled and skilled workers in China has converged, mainly due to the acceleration of structural change in</w:t>
      </w:r>
      <w:r w:rsidR="008711ED" w:rsidRPr="0054671B">
        <w:rPr>
          <w:rFonts w:eastAsia="Adobe Myungjo Std M" w:cstheme="minorHAnsi"/>
          <w:szCs w:val="18"/>
        </w:rPr>
        <w:t xml:space="preserve"> the</w:t>
      </w:r>
      <w:r w:rsidR="00E93C15" w:rsidRPr="0054671B">
        <w:rPr>
          <w:rFonts w:eastAsia="Adobe Myungjo Std M" w:cstheme="minorHAnsi"/>
          <w:szCs w:val="18"/>
        </w:rPr>
        <w:t xml:space="preserve"> Chinese economy. Furthermore, the rapid growth in labor</w:t>
      </w:r>
      <w:r w:rsidR="00AB39F9" w:rsidRPr="0054671B">
        <w:rPr>
          <w:rFonts w:eastAsia="Adobe Myungjo Std M" w:cstheme="minorHAnsi"/>
          <w:szCs w:val="18"/>
        </w:rPr>
        <w:t xml:space="preserve"> demand</w:t>
      </w:r>
      <w:r w:rsidR="00E93C15" w:rsidRPr="0054671B">
        <w:rPr>
          <w:rFonts w:eastAsia="Adobe Myungjo Std M" w:cstheme="minorHAnsi"/>
          <w:szCs w:val="18"/>
        </w:rPr>
        <w:t xml:space="preserve"> in China</w:t>
      </w:r>
      <w:r w:rsidR="00AB39F9" w:rsidRPr="0054671B">
        <w:rPr>
          <w:rFonts w:eastAsia="Adobe Myungjo Std M" w:cstheme="minorHAnsi"/>
          <w:szCs w:val="18"/>
        </w:rPr>
        <w:t xml:space="preserve"> has exceeded the capacity of </w:t>
      </w:r>
      <w:r w:rsidR="008711ED" w:rsidRPr="0054671B">
        <w:rPr>
          <w:rFonts w:eastAsia="Adobe Myungjo Std M" w:cstheme="minorHAnsi"/>
          <w:szCs w:val="18"/>
        </w:rPr>
        <w:t xml:space="preserve">the </w:t>
      </w:r>
      <w:r w:rsidR="00AB39F9" w:rsidRPr="0054671B">
        <w:rPr>
          <w:rFonts w:eastAsia="Adobe Myungjo Std M" w:cstheme="minorHAnsi"/>
          <w:szCs w:val="18"/>
        </w:rPr>
        <w:t>labor market to supply,</w:t>
      </w:r>
      <w:r w:rsidR="00E93C15" w:rsidRPr="0054671B">
        <w:rPr>
          <w:rFonts w:eastAsia="Adobe Myungjo Std M" w:cstheme="minorHAnsi"/>
          <w:szCs w:val="18"/>
        </w:rPr>
        <w:t xml:space="preserve"> </w:t>
      </w:r>
      <w:r w:rsidR="00367849" w:rsidRPr="0054671B">
        <w:rPr>
          <w:rFonts w:eastAsia="Adobe Myungjo Std M" w:cstheme="minorHAnsi"/>
          <w:szCs w:val="18"/>
        </w:rPr>
        <w:t>causing</w:t>
      </w:r>
      <w:r w:rsidR="00E93C15" w:rsidRPr="0054671B">
        <w:rPr>
          <w:rFonts w:eastAsia="Adobe Myungjo Std M" w:cstheme="minorHAnsi"/>
          <w:szCs w:val="18"/>
        </w:rPr>
        <w:t xml:space="preserve"> the wage of unskilled workers</w:t>
      </w:r>
      <w:r w:rsidR="00367849" w:rsidRPr="0054671B">
        <w:rPr>
          <w:rFonts w:eastAsia="Adobe Myungjo Std M" w:cstheme="minorHAnsi"/>
          <w:szCs w:val="18"/>
        </w:rPr>
        <w:t xml:space="preserve"> to escalate</w:t>
      </w:r>
      <w:r w:rsidR="00AB39F9" w:rsidRPr="0054671B">
        <w:rPr>
          <w:rFonts w:eastAsia="Adobe Myungjo Std M" w:cstheme="minorHAnsi"/>
          <w:szCs w:val="18"/>
        </w:rPr>
        <w:t>, known as the Lewis turning point.</w:t>
      </w:r>
    </w:p>
    <w:p w14:paraId="1C091E3D" w14:textId="50B0EFE5" w:rsidR="0095037C" w:rsidRPr="0054671B" w:rsidRDefault="003C63A1" w:rsidP="00CC0532">
      <w:pPr>
        <w:pStyle w:val="ListParagraph"/>
        <w:spacing w:line="360" w:lineRule="auto"/>
        <w:ind w:left="709"/>
        <w:jc w:val="both"/>
        <w:rPr>
          <w:rFonts w:eastAsia="Adobe Myungjo Std M" w:cstheme="minorHAnsi"/>
          <w:szCs w:val="18"/>
        </w:rPr>
      </w:pPr>
      <w:r w:rsidRPr="0054671B">
        <w:rPr>
          <w:rFonts w:eastAsia="Adobe Myungjo Std M" w:cstheme="minorHAnsi"/>
          <w:szCs w:val="18"/>
        </w:rPr>
        <w:tab/>
      </w:r>
      <w:r w:rsidRPr="0054671B">
        <w:rPr>
          <w:rFonts w:eastAsia="Adobe Myungjo Std M" w:cstheme="minorHAnsi"/>
          <w:szCs w:val="18"/>
        </w:rPr>
        <w:tab/>
      </w:r>
      <w:r w:rsidR="009851FF" w:rsidRPr="0054671B">
        <w:rPr>
          <w:rFonts w:eastAsia="Adobe Myungjo Std M" w:cstheme="minorHAnsi"/>
          <w:szCs w:val="18"/>
        </w:rPr>
        <w:t>On the other hand, however, studies</w:t>
      </w:r>
      <w:r w:rsidR="00EE7702" w:rsidRPr="0054671B">
        <w:rPr>
          <w:rFonts w:eastAsia="Adobe Myungjo Std M" w:cstheme="minorHAnsi"/>
          <w:szCs w:val="18"/>
        </w:rPr>
        <w:t xml:space="preserve"> </w:t>
      </w:r>
      <w:r w:rsidR="009851FF" w:rsidRPr="0054671B">
        <w:rPr>
          <w:rFonts w:eastAsia="Adobe Myungjo Std M" w:cstheme="minorHAnsi"/>
          <w:szCs w:val="18"/>
        </w:rPr>
        <w:t>investigat</w:t>
      </w:r>
      <w:r w:rsidR="00724573" w:rsidRPr="0054671B">
        <w:rPr>
          <w:rFonts w:eastAsia="Adobe Myungjo Std M" w:cstheme="minorHAnsi"/>
          <w:szCs w:val="18"/>
        </w:rPr>
        <w:t>ing</w:t>
      </w:r>
      <w:r w:rsidR="009851FF" w:rsidRPr="0054671B">
        <w:rPr>
          <w:rFonts w:eastAsia="Adobe Myungjo Std M" w:cstheme="minorHAnsi"/>
          <w:szCs w:val="18"/>
        </w:rPr>
        <w:t xml:space="preserve"> wage convergence across locations</w:t>
      </w:r>
      <w:r w:rsidR="00EE7702" w:rsidRPr="0054671B">
        <w:rPr>
          <w:rFonts w:eastAsia="Adobe Myungjo Std M" w:cstheme="minorHAnsi"/>
          <w:szCs w:val="18"/>
        </w:rPr>
        <w:t xml:space="preserve"> have been gaining popularity since the advancements in transportations and communication technologies increase labor mobility </w:t>
      </w:r>
      <w:r w:rsidR="00EE7702" w:rsidRPr="0054671B">
        <w:rPr>
          <w:rFonts w:eastAsia="Adobe Myungjo Std M" w:cstheme="minorHAnsi"/>
          <w:szCs w:val="18"/>
        </w:rPr>
        <w:fldChar w:fldCharType="begin"/>
      </w:r>
      <w:r w:rsidR="00EE7702" w:rsidRPr="0054671B">
        <w:rPr>
          <w:rFonts w:eastAsia="Adobe Myungjo Std M" w:cstheme="minorHAnsi"/>
          <w:szCs w:val="18"/>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EE7702" w:rsidRPr="0054671B">
        <w:rPr>
          <w:rFonts w:eastAsia="Adobe Myungjo Std M" w:cstheme="minorHAnsi"/>
          <w:szCs w:val="18"/>
        </w:rPr>
        <w:fldChar w:fldCharType="separate"/>
      </w:r>
      <w:r w:rsidR="00EE7702" w:rsidRPr="0054671B">
        <w:rPr>
          <w:rFonts w:ascii="Calibri" w:hAnsi="Calibri" w:cs="Calibri"/>
        </w:rPr>
        <w:t>(Prado et al., 2020)</w:t>
      </w:r>
      <w:r w:rsidR="00EE7702" w:rsidRPr="0054671B">
        <w:rPr>
          <w:rFonts w:eastAsia="Adobe Myungjo Std M" w:cstheme="minorHAnsi"/>
          <w:szCs w:val="18"/>
        </w:rPr>
        <w:fldChar w:fldCharType="end"/>
      </w:r>
      <w:r w:rsidR="009851FF" w:rsidRPr="0054671B">
        <w:rPr>
          <w:rFonts w:eastAsia="Adobe Myungjo Std M" w:cstheme="minorHAnsi"/>
          <w:szCs w:val="18"/>
        </w:rPr>
        <w:t>.</w:t>
      </w:r>
      <w:r w:rsidR="00EE7702" w:rsidRPr="0054671B">
        <w:rPr>
          <w:rFonts w:eastAsia="Adobe Myungjo Std M" w:cstheme="minorHAnsi"/>
          <w:szCs w:val="18"/>
        </w:rPr>
        <w:t xml:space="preserve"> The notion</w:t>
      </w:r>
      <w:r w:rsidR="009851FF" w:rsidRPr="0054671B">
        <w:rPr>
          <w:rFonts w:eastAsia="Adobe Myungjo Std M" w:cstheme="minorHAnsi"/>
          <w:szCs w:val="18"/>
        </w:rPr>
        <w:t xml:space="preserve"> </w:t>
      </w:r>
      <w:r w:rsidR="00EE7702" w:rsidRPr="0054671B">
        <w:rPr>
          <w:rFonts w:eastAsia="Adobe Myungjo Std M" w:cstheme="minorHAnsi"/>
          <w:szCs w:val="18"/>
        </w:rPr>
        <w:t xml:space="preserve">of free labor mobility across </w:t>
      </w:r>
      <w:r w:rsidR="0095037C" w:rsidRPr="0054671B">
        <w:rPr>
          <w:rFonts w:eastAsia="Adobe Myungjo Std M" w:cstheme="minorHAnsi"/>
          <w:szCs w:val="18"/>
        </w:rPr>
        <w:t>administrative borders</w:t>
      </w:r>
      <w:r w:rsidR="00EE7702" w:rsidRPr="0054671B">
        <w:rPr>
          <w:rFonts w:eastAsia="Adobe Myungjo Std M" w:cstheme="minorHAnsi"/>
          <w:szCs w:val="18"/>
        </w:rPr>
        <w:t xml:space="preserve"> is the </w:t>
      </w:r>
      <w:r w:rsidR="00520FF3" w:rsidRPr="0054671B">
        <w:rPr>
          <w:rFonts w:eastAsia="Adobe Myungjo Std M" w:cstheme="minorHAnsi"/>
          <w:szCs w:val="18"/>
        </w:rPr>
        <w:t>necessary</w:t>
      </w:r>
      <w:r w:rsidR="00EE7702" w:rsidRPr="0054671B">
        <w:rPr>
          <w:rFonts w:eastAsia="Adobe Myungjo Std M" w:cstheme="minorHAnsi"/>
          <w:szCs w:val="18"/>
        </w:rPr>
        <w:t xml:space="preserve"> </w:t>
      </w:r>
      <w:r w:rsidR="0095037C" w:rsidRPr="0054671B">
        <w:rPr>
          <w:rFonts w:eastAsia="Adobe Myungjo Std M" w:cstheme="minorHAnsi"/>
          <w:szCs w:val="18"/>
        </w:rPr>
        <w:t>condition</w:t>
      </w:r>
      <w:r w:rsidR="00EE7702" w:rsidRPr="0054671B">
        <w:rPr>
          <w:rFonts w:eastAsia="Adobe Myungjo Std M" w:cstheme="minorHAnsi"/>
          <w:szCs w:val="18"/>
        </w:rPr>
        <w:t xml:space="preserve"> </w:t>
      </w:r>
      <w:r w:rsidR="0095037C" w:rsidRPr="0054671B">
        <w:rPr>
          <w:rFonts w:eastAsia="Adobe Myungjo Std M" w:cstheme="minorHAnsi"/>
          <w:szCs w:val="18"/>
        </w:rPr>
        <w:t>for wage convergence</w:t>
      </w:r>
      <w:r w:rsidR="009851FF" w:rsidRPr="0054671B">
        <w:rPr>
          <w:rFonts w:eastAsia="Adobe Myungjo Std M" w:cstheme="minorHAnsi"/>
          <w:szCs w:val="18"/>
        </w:rPr>
        <w:t xml:space="preserve"> mechanism</w:t>
      </w:r>
      <w:r w:rsidR="0095037C" w:rsidRPr="0054671B">
        <w:rPr>
          <w:rFonts w:eastAsia="Adobe Myungjo Std M" w:cstheme="minorHAnsi"/>
          <w:szCs w:val="18"/>
        </w:rPr>
        <w:t xml:space="preserve"> to work. </w:t>
      </w:r>
      <w:r w:rsidR="00520FF3" w:rsidRPr="0054671B">
        <w:rPr>
          <w:rFonts w:eastAsia="Adobe Myungjo Std M" w:cstheme="minorHAnsi"/>
          <w:szCs w:val="18"/>
        </w:rPr>
        <w:t>Regional wage differentials tend to decrease when there are no migration barriers, particularly from low-wage to high-wage regions</w:t>
      </w:r>
      <w:r w:rsidR="009851FF" w:rsidRPr="0054671B">
        <w:rPr>
          <w:rFonts w:eastAsia="Adobe Myungjo Std M" w:cstheme="minorHAnsi"/>
          <w:szCs w:val="18"/>
        </w:rPr>
        <w:t xml:space="preserve"> </w:t>
      </w:r>
      <w:r w:rsidR="009851FF" w:rsidRPr="0054671B">
        <w:rPr>
          <w:rFonts w:eastAsia="Adobe Myungjo Std M" w:cstheme="minorHAnsi"/>
          <w:szCs w:val="18"/>
        </w:rPr>
        <w:fldChar w:fldCharType="begin"/>
      </w:r>
      <w:r w:rsidR="009851FF" w:rsidRPr="0054671B">
        <w:rPr>
          <w:rFonts w:eastAsia="Adobe Myungjo Std M" w:cstheme="minorHAnsi"/>
          <w:szCs w:val="18"/>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9851FF" w:rsidRPr="0054671B">
        <w:rPr>
          <w:rFonts w:eastAsia="Adobe Myungjo Std M" w:cstheme="minorHAnsi"/>
          <w:szCs w:val="18"/>
        </w:rPr>
        <w:fldChar w:fldCharType="separate"/>
      </w:r>
      <w:r w:rsidR="009851FF" w:rsidRPr="0054671B">
        <w:rPr>
          <w:rFonts w:ascii="Calibri" w:hAnsi="Calibri" w:cs="Calibri"/>
        </w:rPr>
        <w:t>(Collin et al., 2019)</w:t>
      </w:r>
      <w:r w:rsidR="009851FF" w:rsidRPr="0054671B">
        <w:rPr>
          <w:rFonts w:eastAsia="Adobe Myungjo Std M" w:cstheme="minorHAnsi"/>
          <w:szCs w:val="18"/>
        </w:rPr>
        <w:fldChar w:fldCharType="end"/>
      </w:r>
      <w:r w:rsidR="009851FF" w:rsidRPr="0054671B">
        <w:rPr>
          <w:rFonts w:eastAsia="Adobe Myungjo Std M" w:cstheme="minorHAnsi"/>
          <w:szCs w:val="18"/>
        </w:rPr>
        <w:t>.</w:t>
      </w:r>
      <w:r w:rsidRPr="0054671B">
        <w:rPr>
          <w:rFonts w:eastAsia="Adobe Myungjo Std M" w:cstheme="minorHAnsi" w:hint="eastAsia"/>
          <w:szCs w:val="18"/>
        </w:rPr>
        <w:t xml:space="preserve"> </w:t>
      </w:r>
    </w:p>
    <w:p w14:paraId="0D7832A7" w14:textId="4AB3FD77" w:rsidR="0095037C" w:rsidRPr="0054671B" w:rsidRDefault="0095037C" w:rsidP="00CC0532">
      <w:pPr>
        <w:pStyle w:val="ListParagraph"/>
        <w:spacing w:line="360" w:lineRule="auto"/>
        <w:ind w:left="709"/>
        <w:jc w:val="both"/>
        <w:rPr>
          <w:rFonts w:eastAsia="Adobe Myungjo Std M" w:cstheme="minorHAnsi"/>
          <w:szCs w:val="18"/>
        </w:rPr>
      </w:pPr>
      <w:r w:rsidRPr="0054671B">
        <w:rPr>
          <w:rFonts w:eastAsia="Adobe Myungjo Std M" w:cstheme="minorHAnsi"/>
          <w:szCs w:val="18"/>
        </w:rPr>
        <w:tab/>
      </w:r>
      <w:r w:rsidRPr="0054671B">
        <w:rPr>
          <w:rFonts w:eastAsia="Adobe Myungjo Std M" w:cstheme="minorHAnsi"/>
          <w:szCs w:val="18"/>
        </w:rPr>
        <w:tab/>
        <w:t>A</w:t>
      </w:r>
      <w:r w:rsidR="006F27D7" w:rsidRPr="0054671B">
        <w:rPr>
          <w:rFonts w:eastAsia="Adobe Myungjo Std M" w:cstheme="minorHAnsi"/>
          <w:szCs w:val="18"/>
        </w:rPr>
        <w:t xml:space="preserve"> collection of </w:t>
      </w:r>
      <w:r w:rsidR="00CC0532" w:rsidRPr="0054671B">
        <w:rPr>
          <w:rFonts w:eastAsia="Adobe Myungjo Std M" w:cstheme="minorHAnsi"/>
          <w:szCs w:val="18"/>
        </w:rPr>
        <w:t>studies</w:t>
      </w:r>
      <w:r w:rsidR="006F27D7" w:rsidRPr="0054671B">
        <w:rPr>
          <w:rFonts w:eastAsia="Adobe Myungjo Std M" w:cstheme="minorHAnsi"/>
          <w:szCs w:val="18"/>
        </w:rPr>
        <w:t xml:space="preserve"> show</w:t>
      </w:r>
      <w:r w:rsidR="009F66CE" w:rsidRPr="0054671B">
        <w:rPr>
          <w:rFonts w:eastAsia="Adobe Myungjo Std M" w:cstheme="minorHAnsi"/>
          <w:szCs w:val="18"/>
        </w:rPr>
        <w:t>s</w:t>
      </w:r>
      <w:r w:rsidR="00CC0532" w:rsidRPr="0054671B">
        <w:rPr>
          <w:rFonts w:eastAsia="Adobe Myungjo Std M" w:cstheme="minorHAnsi"/>
          <w:szCs w:val="18"/>
        </w:rPr>
        <w:t xml:space="preserve"> evidence </w:t>
      </w:r>
      <w:r w:rsidR="006F27D7" w:rsidRPr="0054671B">
        <w:rPr>
          <w:rFonts w:eastAsia="Adobe Myungjo Std M" w:cstheme="minorHAnsi"/>
          <w:szCs w:val="18"/>
        </w:rPr>
        <w:t xml:space="preserve">of </w:t>
      </w:r>
      <w:r w:rsidR="00CC0532" w:rsidRPr="0054671B">
        <w:rPr>
          <w:rFonts w:eastAsia="Adobe Myungjo Std M" w:cstheme="minorHAnsi"/>
          <w:szCs w:val="18"/>
        </w:rPr>
        <w:t xml:space="preserve">regional wages </w:t>
      </w:r>
      <w:r w:rsidR="006F27D7" w:rsidRPr="0054671B">
        <w:rPr>
          <w:rFonts w:eastAsia="Adobe Myungjo Std M" w:cstheme="minorHAnsi"/>
          <w:szCs w:val="18"/>
        </w:rPr>
        <w:t xml:space="preserve">convergence </w:t>
      </w:r>
      <w:r w:rsidR="00724573" w:rsidRPr="0054671B">
        <w:rPr>
          <w:rFonts w:eastAsia="Adobe Myungjo Std M" w:cstheme="minorHAnsi"/>
          <w:szCs w:val="18"/>
        </w:rPr>
        <w:t>concerning</w:t>
      </w:r>
      <w:r w:rsidR="009F66CE" w:rsidRPr="0054671B">
        <w:rPr>
          <w:rFonts w:eastAsia="Adobe Myungjo Std M" w:cstheme="minorHAnsi"/>
          <w:szCs w:val="18"/>
        </w:rPr>
        <w:t xml:space="preserve"> flexible labor mobility.</w:t>
      </w:r>
      <w:r w:rsidR="00CC0532" w:rsidRPr="0054671B">
        <w:rPr>
          <w:rFonts w:eastAsia="Adobe Myungjo Std M" w:cstheme="minorHAnsi"/>
          <w:szCs w:val="18"/>
        </w:rPr>
        <w:t xml:space="preserve"> </w:t>
      </w:r>
      <w:r w:rsidRPr="0054671B">
        <w:rPr>
          <w:rFonts w:eastAsia="Adobe Myungjo Std M" w:cstheme="minorHAnsi"/>
          <w:szCs w:val="18"/>
        </w:rPr>
        <w:t>For</w:t>
      </w:r>
      <w:r w:rsidR="009F66CE" w:rsidRPr="0054671B">
        <w:rPr>
          <w:rFonts w:eastAsia="Adobe Myungjo Std M" w:cstheme="minorHAnsi"/>
          <w:szCs w:val="18"/>
        </w:rPr>
        <w:t xml:space="preserve"> example, using panel data covering 203 </w:t>
      </w:r>
      <w:r w:rsidR="0039608D" w:rsidRPr="0054671B">
        <w:rPr>
          <w:rFonts w:eastAsia="Adobe Myungjo Std M" w:cstheme="minorHAnsi"/>
          <w:szCs w:val="18"/>
        </w:rPr>
        <w:t>NUTS</w:t>
      </w:r>
      <w:r w:rsidR="009F66CE" w:rsidRPr="0054671B">
        <w:rPr>
          <w:rFonts w:eastAsia="Adobe Myungjo Std M" w:cstheme="minorHAnsi"/>
          <w:szCs w:val="18"/>
        </w:rPr>
        <w:t>-2 level regions</w:t>
      </w:r>
      <w:r w:rsidR="0039608D" w:rsidRPr="0054671B">
        <w:rPr>
          <w:rFonts w:eastAsia="Adobe Myungjo Std M" w:cstheme="minorHAnsi"/>
          <w:szCs w:val="18"/>
        </w:rPr>
        <w:t xml:space="preserve"> in European Union</w:t>
      </w:r>
      <w:r w:rsidR="009F66CE" w:rsidRPr="0054671B">
        <w:rPr>
          <w:rFonts w:eastAsia="Adobe Myungjo Std M" w:cstheme="minorHAnsi"/>
          <w:szCs w:val="18"/>
        </w:rPr>
        <w:t xml:space="preserve"> from 1996 to 2006</w:t>
      </w:r>
      <w:r w:rsidR="0039608D" w:rsidRPr="0054671B">
        <w:rPr>
          <w:rFonts w:eastAsia="Adobe Myungjo Std M" w:cstheme="minorHAnsi"/>
          <w:szCs w:val="18"/>
        </w:rPr>
        <w:t>,</w:t>
      </w:r>
      <w:r w:rsidR="009F66CE" w:rsidRPr="0054671B">
        <w:rPr>
          <w:rFonts w:eastAsia="Adobe Myungjo Std M" w:cstheme="minorHAnsi"/>
          <w:szCs w:val="18"/>
        </w:rPr>
        <w:t xml:space="preserve"> </w:t>
      </w:r>
      <w:r w:rsidR="009F66CE" w:rsidRPr="0054671B">
        <w:rPr>
          <w:rFonts w:eastAsia="Adobe Myungjo Std M" w:cstheme="minorHAnsi"/>
          <w:szCs w:val="18"/>
        </w:rPr>
        <w:fldChar w:fldCharType="begin"/>
      </w:r>
      <w:r w:rsidR="00B04A04" w:rsidRPr="0054671B">
        <w:rPr>
          <w:rFonts w:eastAsia="Adobe Myungjo Std M" w:cstheme="minorHAnsi"/>
          <w:szCs w:val="18"/>
        </w:rPr>
        <w:instrText xml:space="preserve"> ADDIN ZOTERO_ITEM CSL_CITATION {"citationID":"JJIm8AgK","properties":{"formattedCitation":"(Naz et al., 2017)","plainCitation":"(Naz et al., 2017)","dontUpdate":true,"noteIndex":0},"citationItems":[{"id":364,"uris":["http://zotero.org/users/local/9Bu69DCL/items/GEZM5CEQ"],"uri":["http://zotero.org/users/local/9Bu69DCL/items/GEZM5CEQ"],"itemData":{"id":364,"type":"article-journal","container-title":"Journal of Economic Integration","ISSN":"1225-651X","journalAbbreviation":"Journal of Economic Integration","note":"publisher: JSTOR","page":"35-64","title":"Wage convergence across European regions: do international borders matter?","author":[{"family":"Naz","given":"Amber"},{"family":"Ahmad","given":"Nisar"},{"family":"Naveed","given":"Amjad"}],"issued":{"date-parts":[["2017"]]}}}],"schema":"https://github.com/citation-style-language/schema/raw/master/csl-citation.json"} </w:instrText>
      </w:r>
      <w:r w:rsidR="009F66CE" w:rsidRPr="0054671B">
        <w:rPr>
          <w:rFonts w:eastAsia="Adobe Myungjo Std M" w:cstheme="minorHAnsi"/>
          <w:szCs w:val="18"/>
        </w:rPr>
        <w:fldChar w:fldCharType="separate"/>
      </w:r>
      <w:r w:rsidR="009F66CE" w:rsidRPr="0054671B">
        <w:rPr>
          <w:rFonts w:ascii="Calibri" w:hAnsi="Calibri" w:cs="Calibri"/>
        </w:rPr>
        <w:t>Naz et al., (2017)</w:t>
      </w:r>
      <w:r w:rsidR="009F66CE" w:rsidRPr="0054671B">
        <w:rPr>
          <w:rFonts w:eastAsia="Adobe Myungjo Std M" w:cstheme="minorHAnsi"/>
          <w:szCs w:val="18"/>
        </w:rPr>
        <w:fldChar w:fldCharType="end"/>
      </w:r>
      <w:r w:rsidRPr="0054671B">
        <w:rPr>
          <w:rFonts w:eastAsia="Adobe Myungjo Std M" w:cstheme="minorHAnsi"/>
          <w:szCs w:val="18"/>
        </w:rPr>
        <w:t xml:space="preserve"> f</w:t>
      </w:r>
      <w:r w:rsidR="0039608D" w:rsidRPr="0054671B">
        <w:rPr>
          <w:rFonts w:eastAsia="Adobe Myungjo Std M" w:cstheme="minorHAnsi"/>
          <w:szCs w:val="18"/>
        </w:rPr>
        <w:t>ind</w:t>
      </w:r>
      <w:r w:rsidRPr="0054671B">
        <w:rPr>
          <w:rFonts w:eastAsia="Adobe Myungjo Std M" w:cstheme="minorHAnsi"/>
          <w:szCs w:val="18"/>
        </w:rPr>
        <w:t xml:space="preserve"> wage convergence</w:t>
      </w:r>
      <w:r w:rsidR="0039608D" w:rsidRPr="0054671B">
        <w:rPr>
          <w:rFonts w:eastAsia="Adobe Myungjo Std M" w:cstheme="minorHAnsi"/>
          <w:szCs w:val="18"/>
        </w:rPr>
        <w:t xml:space="preserve"> only across</w:t>
      </w:r>
      <w:r w:rsidRPr="0054671B">
        <w:rPr>
          <w:rFonts w:eastAsia="Adobe Myungjo Std M" w:cstheme="minorHAnsi"/>
          <w:szCs w:val="18"/>
        </w:rPr>
        <w:t xml:space="preserve"> </w:t>
      </w:r>
      <w:r w:rsidR="0039608D" w:rsidRPr="0054671B">
        <w:rPr>
          <w:rFonts w:eastAsia="Adobe Myungjo Std M" w:cstheme="minorHAnsi"/>
          <w:szCs w:val="18"/>
        </w:rPr>
        <w:t>i</w:t>
      </w:r>
      <w:r w:rsidRPr="0054671B">
        <w:rPr>
          <w:rFonts w:eastAsia="Adobe Myungjo Std M" w:cstheme="minorHAnsi"/>
          <w:szCs w:val="18"/>
        </w:rPr>
        <w:t>nternal regions (regions within the same country) but no evidence of convergence for border regions (neighboring regions across international borders).</w:t>
      </w:r>
      <w:r w:rsidR="001B7AA4" w:rsidRPr="0054671B">
        <w:rPr>
          <w:rFonts w:eastAsia="Adobe Myungjo Std M" w:cstheme="minorHAnsi"/>
          <w:szCs w:val="18"/>
        </w:rPr>
        <w:t xml:space="preserve"> With </w:t>
      </w:r>
      <w:r w:rsidR="00DA1B7F" w:rsidRPr="0054671B">
        <w:rPr>
          <w:rFonts w:eastAsia="Adobe Myungjo Std M" w:cstheme="minorHAnsi"/>
          <w:szCs w:val="18"/>
        </w:rPr>
        <w:t xml:space="preserve">a </w:t>
      </w:r>
      <w:r w:rsidR="001B7AA4" w:rsidRPr="0054671B">
        <w:rPr>
          <w:rFonts w:eastAsia="Adobe Myungjo Std M" w:cstheme="minorHAnsi"/>
          <w:szCs w:val="18"/>
        </w:rPr>
        <w:t xml:space="preserve">similar approach, </w:t>
      </w:r>
      <w:r w:rsidR="00B04A04" w:rsidRPr="0054671B">
        <w:rPr>
          <w:rFonts w:eastAsia="Adobe Myungjo Std M" w:cstheme="minorHAnsi"/>
          <w:szCs w:val="18"/>
        </w:rPr>
        <w:fldChar w:fldCharType="begin"/>
      </w:r>
      <w:r w:rsidR="00B04A04" w:rsidRPr="0054671B">
        <w:rPr>
          <w:rFonts w:eastAsia="Adobe Myungjo Std M" w:cstheme="minorHAnsi"/>
          <w:szCs w:val="18"/>
        </w:rPr>
        <w:instrText xml:space="preserve"> ADDIN ZOTERO_ITEM CSL_CITATION {"citationID":"Qay8pUTW","properties":{"formattedCitation":"(Enflo et al., 2014)","plainCitation":"(Enflo et al., 2014)","dontUpdate":true,"noteIndex":0},"citationItems":[{"id":365,"uris":["http://zotero.org/users/local/9Bu69DCL/items/9UXE6VQE"],"uri":["http://zotero.org/users/local/9Bu69DCL/items/9UXE6VQE"],"itemData":{"id":365,"type":"article-journal","container-title":"Explorations in Economic History","ISSN":"0014-4983","journalAbbreviation":"Explorations in Economic History","note":"publisher: Elsevier","page":"93-110","title":"The role of migration in regional wage convergence: Evidence from Sweden 1860–1940","volume":"52","author":[{"family":"Enflo","given":"Kerstin"},{"family":"Lundh","given":"Christer"},{"family":"Prado","given":"Svante"}],"issued":{"date-parts":[["2014"]]}}}],"schema":"https://github.com/citation-style-language/schema/raw/master/csl-citation.json"} </w:instrText>
      </w:r>
      <w:r w:rsidR="00B04A04" w:rsidRPr="0054671B">
        <w:rPr>
          <w:rFonts w:eastAsia="Adobe Myungjo Std M" w:cstheme="minorHAnsi"/>
          <w:szCs w:val="18"/>
        </w:rPr>
        <w:fldChar w:fldCharType="separate"/>
      </w:r>
      <w:r w:rsidR="00B04A04" w:rsidRPr="0054671B">
        <w:rPr>
          <w:rFonts w:ascii="Calibri" w:hAnsi="Calibri" w:cs="Calibri"/>
        </w:rPr>
        <w:t>Enflo et al., (2014)</w:t>
      </w:r>
      <w:r w:rsidR="00B04A04" w:rsidRPr="0054671B">
        <w:rPr>
          <w:rFonts w:eastAsia="Adobe Myungjo Std M" w:cstheme="minorHAnsi"/>
          <w:szCs w:val="18"/>
        </w:rPr>
        <w:fldChar w:fldCharType="end"/>
      </w:r>
      <w:r w:rsidR="00B04A04" w:rsidRPr="0054671B">
        <w:rPr>
          <w:rFonts w:eastAsia="Adobe Myungjo Std M" w:cstheme="minorHAnsi"/>
          <w:szCs w:val="18"/>
        </w:rPr>
        <w:t xml:space="preserve"> </w:t>
      </w:r>
      <w:r w:rsidR="00724573" w:rsidRPr="0054671B">
        <w:rPr>
          <w:rFonts w:eastAsia="Adobe Myungjo Std M" w:cstheme="minorHAnsi"/>
          <w:szCs w:val="18"/>
        </w:rPr>
        <w:t>apply panel fixed effect models and show that internal and external migrations contributed to wage convergence across Swedish counties before World War I, where the internal migration mainly during the interwar years.</w:t>
      </w:r>
      <w:r w:rsidR="003C298B" w:rsidRPr="0054671B">
        <w:rPr>
          <w:rFonts w:eastAsia="Adobe Myungjo Std M" w:cstheme="minorHAnsi"/>
          <w:szCs w:val="18"/>
        </w:rPr>
        <w:t xml:space="preserve"> </w:t>
      </w:r>
    </w:p>
    <w:p w14:paraId="0C6BAF57" w14:textId="63A8C51F" w:rsidR="00687E6C" w:rsidRPr="0054671B" w:rsidRDefault="0095037C" w:rsidP="00687E6C">
      <w:pPr>
        <w:pStyle w:val="ListParagraph"/>
        <w:spacing w:line="360" w:lineRule="auto"/>
        <w:ind w:left="709"/>
        <w:jc w:val="both"/>
        <w:rPr>
          <w:rFonts w:eastAsia="Adobe Myungjo Std M" w:cstheme="minorHAnsi"/>
          <w:szCs w:val="18"/>
        </w:rPr>
      </w:pPr>
      <w:r w:rsidRPr="0054671B">
        <w:rPr>
          <w:rFonts w:eastAsia="Adobe Myungjo Std M" w:cstheme="minorHAnsi"/>
          <w:szCs w:val="18"/>
        </w:rPr>
        <w:tab/>
      </w:r>
      <w:r w:rsidRPr="0054671B">
        <w:rPr>
          <w:rFonts w:eastAsia="Adobe Myungjo Std M" w:cstheme="minorHAnsi"/>
          <w:szCs w:val="18"/>
        </w:rPr>
        <w:tab/>
      </w:r>
      <w:r w:rsidR="007F1991" w:rsidRPr="0054671B">
        <w:rPr>
          <w:rFonts w:eastAsia="Adobe Myungjo Std M" w:cstheme="minorHAnsi"/>
          <w:szCs w:val="18"/>
        </w:rPr>
        <w:t>As shown in other empirical studies, the mechanism of wage convergence across regions assumes that there is a significant advancement in transportation and communications that can enlarge the scope of the labor market across geographical boundaries.</w:t>
      </w:r>
      <w:r w:rsidRPr="0054671B">
        <w:rPr>
          <w:rFonts w:eastAsia="Adobe Myungjo Std M" w:cstheme="minorHAnsi" w:hint="eastAsia"/>
          <w:szCs w:val="18"/>
        </w:rPr>
        <w:t xml:space="preserve"> </w:t>
      </w:r>
      <w:r w:rsidR="007F1991" w:rsidRPr="0054671B">
        <w:rPr>
          <w:rFonts w:eastAsia="Adobe Myungjo Std M" w:cstheme="minorHAnsi"/>
          <w:szCs w:val="18"/>
        </w:rPr>
        <w:t xml:space="preserve">With these theories and empirical backgrounds, it is natural to expect </w:t>
      </w:r>
      <w:r w:rsidR="0035161C" w:rsidRPr="0054671B">
        <w:rPr>
          <w:rFonts w:eastAsia="Adobe Myungjo Std M" w:cstheme="minorHAnsi"/>
          <w:szCs w:val="18"/>
        </w:rPr>
        <w:t>appealing</w:t>
      </w:r>
      <w:r w:rsidR="007F1991" w:rsidRPr="0054671B">
        <w:rPr>
          <w:rFonts w:eastAsia="Adobe Myungjo Std M" w:cstheme="minorHAnsi"/>
          <w:szCs w:val="18"/>
        </w:rPr>
        <w:t xml:space="preserve"> finding</w:t>
      </w:r>
      <w:r w:rsidR="0035161C" w:rsidRPr="0054671B">
        <w:rPr>
          <w:rFonts w:eastAsia="Adobe Myungjo Std M" w:cstheme="minorHAnsi"/>
          <w:szCs w:val="18"/>
        </w:rPr>
        <w:t>s</w:t>
      </w:r>
      <w:r w:rsidR="007F1991" w:rsidRPr="0054671B">
        <w:rPr>
          <w:rFonts w:eastAsia="Adobe Myungjo Std M" w:cstheme="minorHAnsi"/>
          <w:szCs w:val="18"/>
        </w:rPr>
        <w:t xml:space="preserve"> from the analys</w:t>
      </w:r>
      <w:r w:rsidR="0035161C" w:rsidRPr="0054671B">
        <w:rPr>
          <w:rFonts w:eastAsia="Adobe Myungjo Std M" w:cstheme="minorHAnsi"/>
          <w:szCs w:val="18"/>
        </w:rPr>
        <w:t>e</w:t>
      </w:r>
      <w:r w:rsidR="007F1991" w:rsidRPr="0054671B">
        <w:rPr>
          <w:rFonts w:eastAsia="Adobe Myungjo Std M" w:cstheme="minorHAnsi"/>
          <w:szCs w:val="18"/>
        </w:rPr>
        <w:t>s on regional wage convergence in Indonesia due to the development of transportation and communications infrastructure in the last decade.</w:t>
      </w:r>
    </w:p>
    <w:p w14:paraId="7453311D" w14:textId="78CC9800" w:rsidR="00DE248D" w:rsidRPr="0054671B" w:rsidRDefault="00687E6C" w:rsidP="00DE248D">
      <w:pPr>
        <w:pStyle w:val="ListParagraph"/>
        <w:spacing w:line="360" w:lineRule="auto"/>
        <w:ind w:left="709"/>
        <w:jc w:val="both"/>
        <w:rPr>
          <w:rFonts w:eastAsia="Adobe Myungjo Std M" w:cstheme="minorHAnsi"/>
          <w:szCs w:val="18"/>
        </w:rPr>
      </w:pPr>
      <w:r w:rsidRPr="0054671B">
        <w:rPr>
          <w:rFonts w:eastAsia="Adobe Myungjo Std M" w:cstheme="minorHAnsi"/>
          <w:szCs w:val="18"/>
        </w:rPr>
        <w:lastRenderedPageBreak/>
        <w:tab/>
      </w:r>
      <w:r w:rsidRPr="0054671B">
        <w:rPr>
          <w:rFonts w:eastAsia="Adobe Myungjo Std M" w:cstheme="minorHAnsi"/>
          <w:szCs w:val="18"/>
        </w:rPr>
        <w:tab/>
      </w:r>
      <w:r w:rsidR="00760941" w:rsidRPr="0054671B">
        <w:rPr>
          <w:rFonts w:eastAsia="Adobe Myungjo Std M" w:cstheme="minorHAnsi"/>
          <w:szCs w:val="18"/>
        </w:rPr>
        <w:t>The present paper contribut</w:t>
      </w:r>
      <w:r w:rsidR="00086888" w:rsidRPr="0054671B">
        <w:rPr>
          <w:rFonts w:eastAsia="Adobe Myungjo Std M" w:cstheme="minorHAnsi"/>
          <w:szCs w:val="18"/>
        </w:rPr>
        <w:t>es</w:t>
      </w:r>
      <w:r w:rsidR="00760941" w:rsidRPr="0054671B">
        <w:rPr>
          <w:rFonts w:eastAsia="Adobe Myungjo Std M" w:cstheme="minorHAnsi"/>
          <w:szCs w:val="18"/>
        </w:rPr>
        <w:t xml:space="preserve"> </w:t>
      </w:r>
      <w:r w:rsidR="00086888" w:rsidRPr="0054671B">
        <w:rPr>
          <w:rFonts w:eastAsia="Adobe Myungjo Std M" w:cstheme="minorHAnsi"/>
          <w:szCs w:val="18"/>
        </w:rPr>
        <w:t>to</w:t>
      </w:r>
      <w:r w:rsidR="00760941" w:rsidRPr="0054671B">
        <w:rPr>
          <w:rFonts w:eastAsia="Adobe Myungjo Std M" w:cstheme="minorHAnsi"/>
          <w:szCs w:val="18"/>
        </w:rPr>
        <w:t xml:space="preserve"> the existing literature </w:t>
      </w:r>
      <w:r w:rsidR="00086888" w:rsidRPr="0054671B">
        <w:rPr>
          <w:rFonts w:eastAsia="Adobe Myungjo Std M" w:cstheme="minorHAnsi"/>
          <w:szCs w:val="18"/>
        </w:rPr>
        <w:t>by focusing on wage convergence analysis across regions that can be used to evaluate the degree of labor market integration in Indonesia.</w:t>
      </w:r>
      <w:r w:rsidR="00760941" w:rsidRPr="0054671B">
        <w:rPr>
          <w:rFonts w:eastAsia="Adobe Myungjo Std M" w:cstheme="minorHAnsi"/>
          <w:szCs w:val="18"/>
        </w:rPr>
        <w:t xml:space="preserve"> </w:t>
      </w:r>
      <w:r w:rsidR="009232A3" w:rsidRPr="0054671B">
        <w:rPr>
          <w:rFonts w:eastAsia="Adobe Myungjo Std M" w:cstheme="minorHAnsi"/>
          <w:szCs w:val="18"/>
        </w:rPr>
        <w:t xml:space="preserve">Previously, several studies have examined convergence in Indonesia but mainly focused on </w:t>
      </w:r>
      <w:r w:rsidR="00BE53AF">
        <w:rPr>
          <w:rFonts w:eastAsia="Adobe Myungjo Std M" w:cstheme="minorHAnsi"/>
          <w:szCs w:val="18"/>
        </w:rPr>
        <w:t xml:space="preserve">variables related to income, such as GDP, </w:t>
      </w:r>
      <w:r w:rsidR="009232A3" w:rsidRPr="0054671B">
        <w:rPr>
          <w:rFonts w:eastAsia="Adobe Myungjo Std M" w:cstheme="minorHAnsi"/>
          <w:szCs w:val="18"/>
        </w:rPr>
        <w:t xml:space="preserve">GDP per capita and </w:t>
      </w:r>
      <w:r w:rsidR="0020617F">
        <w:rPr>
          <w:rFonts w:eastAsia="Adobe Myungjo Std M" w:cstheme="minorHAnsi"/>
          <w:szCs w:val="18"/>
        </w:rPr>
        <w:t>t</w:t>
      </w:r>
      <w:r w:rsidR="00BE53AF">
        <w:rPr>
          <w:rFonts w:eastAsia="Adobe Myungjo Std M" w:cstheme="minorHAnsi"/>
          <w:szCs w:val="18"/>
        </w:rPr>
        <w:t xml:space="preserve">otal </w:t>
      </w:r>
      <w:r w:rsidR="0020617F">
        <w:rPr>
          <w:rFonts w:eastAsia="Adobe Myungjo Std M" w:cstheme="minorHAnsi"/>
          <w:szCs w:val="18"/>
        </w:rPr>
        <w:t>f</w:t>
      </w:r>
      <w:r w:rsidR="00BE53AF">
        <w:rPr>
          <w:rFonts w:eastAsia="Adobe Myungjo Std M" w:cstheme="minorHAnsi"/>
          <w:szCs w:val="18"/>
        </w:rPr>
        <w:t xml:space="preserve">actor </w:t>
      </w:r>
      <w:r w:rsidR="0020617F">
        <w:rPr>
          <w:rFonts w:eastAsia="Adobe Myungjo Std M" w:cstheme="minorHAnsi"/>
          <w:szCs w:val="18"/>
        </w:rPr>
        <w:t>p</w:t>
      </w:r>
      <w:r w:rsidR="00BE53AF">
        <w:rPr>
          <w:rFonts w:eastAsia="Adobe Myungjo Std M" w:cstheme="minorHAnsi"/>
          <w:szCs w:val="18"/>
        </w:rPr>
        <w:t>roductivity (TFP)</w:t>
      </w:r>
      <w:r w:rsidR="009232A3" w:rsidRPr="0054671B">
        <w:rPr>
          <w:rFonts w:eastAsia="Adobe Myungjo Std M" w:cstheme="minorHAnsi"/>
          <w:szCs w:val="18"/>
        </w:rPr>
        <w:t>.</w:t>
      </w:r>
      <w:r w:rsidR="00760941" w:rsidRPr="0054671B">
        <w:rPr>
          <w:rFonts w:eastAsia="Adobe Myungjo Std M" w:cstheme="minorHAnsi"/>
          <w:szCs w:val="18"/>
        </w:rPr>
        <w:t xml:space="preserve"> </w:t>
      </w:r>
      <w:r w:rsidR="00086888" w:rsidRPr="0054671B">
        <w:rPr>
          <w:rFonts w:eastAsia="Adobe Myungjo Std M" w:cstheme="minorHAnsi"/>
          <w:szCs w:val="18"/>
        </w:rPr>
        <w:t xml:space="preserve">For example, applying dynamic </w:t>
      </w:r>
      <w:r w:rsidR="00477084" w:rsidRPr="0054671B">
        <w:rPr>
          <w:rFonts w:eastAsia="Adobe Myungjo Std M" w:cstheme="minorHAnsi"/>
          <w:szCs w:val="18"/>
        </w:rPr>
        <w:t xml:space="preserve">the </w:t>
      </w:r>
      <w:r w:rsidR="00086888" w:rsidRPr="0054671B">
        <w:rPr>
          <w:rFonts w:eastAsia="Adobe Myungjo Std M" w:cstheme="minorHAnsi"/>
          <w:szCs w:val="18"/>
        </w:rPr>
        <w:t xml:space="preserve">panel data approach, </w:t>
      </w:r>
      <w:r w:rsidR="00BD1AEE" w:rsidRPr="0054671B">
        <w:rPr>
          <w:rFonts w:eastAsia="Adobe Myungjo Std M" w:cstheme="minorHAnsi"/>
          <w:szCs w:val="18"/>
        </w:rPr>
        <w:fldChar w:fldCharType="begin"/>
      </w:r>
      <w:r w:rsidR="009B1E97" w:rsidRPr="0054671B">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sidRPr="0054671B">
        <w:rPr>
          <w:rFonts w:eastAsia="Adobe Myungjo Std M" w:cstheme="minorHAnsi"/>
          <w:szCs w:val="18"/>
        </w:rPr>
        <w:fldChar w:fldCharType="separate"/>
      </w:r>
      <w:r w:rsidR="00BD1AEE" w:rsidRPr="0054671B">
        <w:rPr>
          <w:rFonts w:ascii="Calibri" w:hAnsi="Calibri" w:cs="Calibri"/>
        </w:rPr>
        <w:t>Firdaus &amp; Yusop (2009)</w:t>
      </w:r>
      <w:r w:rsidR="00BD1AEE" w:rsidRPr="0054671B">
        <w:rPr>
          <w:rFonts w:eastAsia="Adobe Myungjo Std M" w:cstheme="minorHAnsi"/>
          <w:szCs w:val="18"/>
        </w:rPr>
        <w:fldChar w:fldCharType="end"/>
      </w:r>
      <w:r w:rsidR="00BD1AEE" w:rsidRPr="0054671B">
        <w:rPr>
          <w:rFonts w:eastAsia="Adobe Myungjo Std M" w:cstheme="minorHAnsi"/>
          <w:szCs w:val="18"/>
        </w:rPr>
        <w:t xml:space="preserve"> </w:t>
      </w:r>
      <w:r w:rsidR="00086888" w:rsidRPr="0054671B">
        <w:rPr>
          <w:rFonts w:eastAsia="Adobe Myungjo Std M" w:cstheme="minorHAnsi"/>
          <w:szCs w:val="18"/>
        </w:rPr>
        <w:t>analyze</w:t>
      </w:r>
      <w:r w:rsidR="00760941" w:rsidRPr="0054671B">
        <w:rPr>
          <w:rFonts w:eastAsia="Adobe Myungjo Std M" w:cstheme="minorHAnsi"/>
          <w:szCs w:val="18"/>
        </w:rPr>
        <w:t xml:space="preserve"> convergence</w:t>
      </w:r>
      <w:r w:rsidR="00086888" w:rsidRPr="0054671B">
        <w:rPr>
          <w:rFonts w:eastAsia="Adobe Myungjo Std M" w:cstheme="minorHAnsi"/>
          <w:szCs w:val="18"/>
        </w:rPr>
        <w:t xml:space="preserve"> in income using</w:t>
      </w:r>
      <w:r w:rsidR="00760941" w:rsidRPr="0054671B">
        <w:rPr>
          <w:rFonts w:eastAsia="Adobe Myungjo Std M" w:cstheme="minorHAnsi"/>
          <w:szCs w:val="18"/>
        </w:rPr>
        <w:t xml:space="preserve"> province</w:t>
      </w:r>
      <w:r w:rsidR="00477084" w:rsidRPr="0054671B">
        <w:rPr>
          <w:rFonts w:eastAsia="Adobe Myungjo Std M" w:cstheme="minorHAnsi"/>
          <w:szCs w:val="18"/>
        </w:rPr>
        <w:t>-</w:t>
      </w:r>
      <w:r w:rsidR="00086888" w:rsidRPr="0054671B">
        <w:rPr>
          <w:rFonts w:eastAsia="Adobe Myungjo Std M" w:cstheme="minorHAnsi"/>
          <w:szCs w:val="18"/>
        </w:rPr>
        <w:t>level data of Indonesia</w:t>
      </w:r>
      <w:r w:rsidR="00395DE2" w:rsidRPr="0054671B">
        <w:rPr>
          <w:rFonts w:eastAsia="Adobe Myungjo Std M" w:cstheme="minorHAnsi"/>
          <w:szCs w:val="18"/>
        </w:rPr>
        <w:t xml:space="preserve">. </w:t>
      </w:r>
      <w:r w:rsidR="009232A3" w:rsidRPr="0054671B">
        <w:rPr>
          <w:rFonts w:eastAsia="Adobe Myungjo Std M" w:cstheme="minorHAnsi"/>
          <w:szCs w:val="18"/>
        </w:rPr>
        <w:t>Applying the system GMM estimation technique, they show convergence among Indonesian provinces during the 1983 – 2003 period.</w:t>
      </w:r>
      <w:r w:rsidR="00395DE2" w:rsidRPr="0054671B">
        <w:rPr>
          <w:rFonts w:eastAsia="Adobe Myungjo Std M" w:cstheme="minorHAnsi"/>
          <w:szCs w:val="18"/>
        </w:rPr>
        <w:t xml:space="preserve"> </w:t>
      </w:r>
      <w:r w:rsidR="009232A3" w:rsidRPr="0054671B">
        <w:rPr>
          <w:rFonts w:eastAsia="Adobe Myungjo Std M" w:cstheme="minorHAnsi"/>
          <w:szCs w:val="18"/>
        </w:rPr>
        <w:t>However, the convergence speed is relatively very slow (0.29%), much lower than the convergence speed observed in most regional convergence studies: 2%</w:t>
      </w:r>
      <w:r w:rsidR="00775108" w:rsidRPr="0054671B">
        <w:rPr>
          <w:rFonts w:eastAsia="Adobe Myungjo Std M" w:cstheme="minorHAnsi"/>
          <w:szCs w:val="18"/>
        </w:rPr>
        <w:t xml:space="preserve"> </w:t>
      </w:r>
      <w:r w:rsidR="00775108" w:rsidRPr="0054671B">
        <w:rPr>
          <w:rFonts w:eastAsia="Adobe Myungjo Std M" w:cstheme="minorHAnsi"/>
          <w:szCs w:val="18"/>
        </w:rPr>
        <w:fldChar w:fldCharType="begin"/>
      </w:r>
      <w:r w:rsidR="00775108" w:rsidRPr="0054671B">
        <w:rPr>
          <w:rFonts w:eastAsia="Adobe Myungjo Std M" w:cstheme="minorHAnsi"/>
          <w:szCs w:val="18"/>
        </w:rPr>
        <w:instrText xml:space="preserve"> ADDIN ZOTERO_ITEM CSL_CITATION {"citationID":"hBeJRs7r","properties":{"formattedCitation":"(Barro et al., 1991; Barro &amp; Xavier Sala-i-Martin, 1992)","plainCitation":"(Barro et al., 1991; Barro &amp; Xavier Sala-i-Martin, 1992)","noteIndex":0},"citationItems":[{"id":193,"uris":["http://zotero.org/users/local/9Bu69DCL/items/4TBKQL6T"],"uri":["http://zotero.org/users/local/9Bu69DCL/items/4TBKQL6T"],"itemData":{"id":193,"type":"article-journal","container-title":"Brookings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00775108" w:rsidRPr="0054671B">
        <w:rPr>
          <w:rFonts w:eastAsia="Adobe Myungjo Std M" w:cstheme="minorHAnsi"/>
          <w:szCs w:val="18"/>
        </w:rPr>
        <w:fldChar w:fldCharType="separate"/>
      </w:r>
      <w:r w:rsidR="00775108" w:rsidRPr="0054671B">
        <w:rPr>
          <w:rFonts w:ascii="Calibri" w:hAnsi="Calibri" w:cs="Calibri"/>
        </w:rPr>
        <w:t>(Barro et al., 1991; Barro &amp; Xavier Sala-i-Martin, 1992)</w:t>
      </w:r>
      <w:r w:rsidR="00775108" w:rsidRPr="0054671B">
        <w:rPr>
          <w:rFonts w:eastAsia="Adobe Myungjo Std M" w:cstheme="minorHAnsi"/>
          <w:szCs w:val="18"/>
        </w:rPr>
        <w:fldChar w:fldCharType="end"/>
      </w:r>
      <w:r w:rsidR="00760941" w:rsidRPr="0054671B">
        <w:rPr>
          <w:rFonts w:eastAsia="Adobe Myungjo Std M" w:cstheme="minorHAnsi"/>
          <w:szCs w:val="18"/>
        </w:rPr>
        <w:t xml:space="preserve">. </w:t>
      </w:r>
      <w:r w:rsidR="00086888" w:rsidRPr="0054671B">
        <w:rPr>
          <w:rFonts w:eastAsia="Adobe Myungjo Std M" w:cstheme="minorHAnsi"/>
          <w:szCs w:val="18"/>
        </w:rPr>
        <w:t>Using classical absolute and conditional convergence frameworks,</w:t>
      </w:r>
      <w:r w:rsidR="00BD1AEE" w:rsidRPr="0054671B">
        <w:rPr>
          <w:rFonts w:eastAsia="Adobe Myungjo Std M" w:cstheme="minorHAnsi"/>
          <w:szCs w:val="18"/>
        </w:rPr>
        <w:t xml:space="preserve"> </w:t>
      </w:r>
      <w:r w:rsidR="00BD1AEE" w:rsidRPr="0054671B">
        <w:rPr>
          <w:rFonts w:eastAsia="Adobe Myungjo Std M" w:cstheme="minorHAnsi"/>
          <w:szCs w:val="18"/>
        </w:rPr>
        <w:fldChar w:fldCharType="begin"/>
      </w:r>
      <w:r w:rsidR="009B1E97" w:rsidRPr="0054671B">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sidRPr="0054671B">
        <w:rPr>
          <w:rFonts w:eastAsia="Adobe Myungjo Std M" w:cstheme="minorHAnsi"/>
          <w:szCs w:val="18"/>
        </w:rPr>
        <w:fldChar w:fldCharType="separate"/>
      </w:r>
      <w:r w:rsidR="00BD1AEE" w:rsidRPr="0054671B">
        <w:rPr>
          <w:rFonts w:ascii="Calibri" w:hAnsi="Calibri" w:cs="Calibri"/>
        </w:rPr>
        <w:t>Kharisma &amp; Saleh (2013)</w:t>
      </w:r>
      <w:r w:rsidR="00BD1AEE" w:rsidRPr="0054671B">
        <w:rPr>
          <w:rFonts w:eastAsia="Adobe Myungjo Std M" w:cstheme="minorHAnsi"/>
          <w:szCs w:val="18"/>
        </w:rPr>
        <w:fldChar w:fldCharType="end"/>
      </w:r>
      <w:r w:rsidR="00760941" w:rsidRPr="0054671B">
        <w:rPr>
          <w:rFonts w:eastAsia="Adobe Myungjo Std M" w:cstheme="minorHAnsi"/>
          <w:szCs w:val="18"/>
        </w:rPr>
        <w:t xml:space="preserve"> analyze income </w:t>
      </w:r>
      <w:r w:rsidR="00086888" w:rsidRPr="0054671B">
        <w:rPr>
          <w:rFonts w:eastAsia="Adobe Myungjo Std M" w:cstheme="minorHAnsi"/>
          <w:szCs w:val="18"/>
        </w:rPr>
        <w:t>convergence</w:t>
      </w:r>
      <w:r w:rsidR="00760941" w:rsidRPr="0054671B">
        <w:rPr>
          <w:rFonts w:eastAsia="Adobe Myungjo Std M" w:cstheme="minorHAnsi"/>
          <w:szCs w:val="18"/>
        </w:rPr>
        <w:t xml:space="preserve"> among 26 provinces in Indonesia during 1984-2008. </w:t>
      </w:r>
      <w:r w:rsidR="009232A3" w:rsidRPr="0054671B">
        <w:rPr>
          <w:rFonts w:eastAsia="Adobe Myungjo Std M" w:cstheme="minorHAnsi"/>
          <w:szCs w:val="18"/>
        </w:rPr>
        <w:t>They find a strong indication of absolute convergence and conditional convergence and refer to this evidence as the catching-up process where provinces with lower income levels in 1984 tend to grow faster relative to the provinces with higher levels of income.</w:t>
      </w:r>
      <w:r w:rsidR="00760941" w:rsidRPr="0054671B">
        <w:rPr>
          <w:rFonts w:eastAsia="Adobe Myungjo Std M" w:cstheme="minorHAnsi"/>
          <w:szCs w:val="18"/>
        </w:rPr>
        <w:t xml:space="preserve"> Based on the system GMM estimation, </w:t>
      </w:r>
      <w:r w:rsidR="00C85850" w:rsidRPr="0054671B">
        <w:rPr>
          <w:rFonts w:eastAsia="Adobe Myungjo Std M" w:cstheme="minorHAnsi"/>
          <w:szCs w:val="18"/>
        </w:rPr>
        <w:t xml:space="preserve">they also find </w:t>
      </w:r>
      <w:r w:rsidR="00760941" w:rsidRPr="0054671B">
        <w:rPr>
          <w:rFonts w:eastAsia="Adobe Myungjo Std M" w:cstheme="minorHAnsi"/>
          <w:szCs w:val="18"/>
        </w:rPr>
        <w:t>that the</w:t>
      </w:r>
      <w:r w:rsidR="00C85850" w:rsidRPr="0054671B">
        <w:rPr>
          <w:rFonts w:eastAsia="Adobe Myungjo Std M" w:cstheme="minorHAnsi"/>
          <w:szCs w:val="18"/>
        </w:rPr>
        <w:t xml:space="preserve"> speed of convergence </w:t>
      </w:r>
      <w:r w:rsidR="00760941" w:rsidRPr="0054671B">
        <w:rPr>
          <w:rFonts w:eastAsia="Adobe Myungjo Std M" w:cstheme="minorHAnsi"/>
          <w:szCs w:val="18"/>
        </w:rPr>
        <w:t xml:space="preserve">in Java </w:t>
      </w:r>
      <w:r w:rsidR="00C85850" w:rsidRPr="0054671B">
        <w:rPr>
          <w:rFonts w:eastAsia="Adobe Myungjo Std M" w:cstheme="minorHAnsi"/>
          <w:szCs w:val="18"/>
        </w:rPr>
        <w:t>is</w:t>
      </w:r>
      <w:r w:rsidR="00760941" w:rsidRPr="0054671B">
        <w:rPr>
          <w:rFonts w:eastAsia="Adobe Myungjo Std M" w:cstheme="minorHAnsi"/>
          <w:szCs w:val="18"/>
        </w:rPr>
        <w:t xml:space="preserve"> faster </w:t>
      </w:r>
      <w:r w:rsidR="00C85850" w:rsidRPr="0054671B">
        <w:rPr>
          <w:rFonts w:eastAsia="Adobe Myungjo Std M" w:cstheme="minorHAnsi"/>
          <w:szCs w:val="18"/>
        </w:rPr>
        <w:t xml:space="preserve">than </w:t>
      </w:r>
      <w:r w:rsidR="00760941" w:rsidRPr="0054671B">
        <w:rPr>
          <w:rFonts w:eastAsia="Adobe Myungjo Std M" w:cstheme="minorHAnsi"/>
          <w:szCs w:val="18"/>
        </w:rPr>
        <w:t xml:space="preserve">those outside Java. </w:t>
      </w:r>
      <w:r w:rsidR="00481E07" w:rsidRPr="0054671B">
        <w:rPr>
          <w:rFonts w:eastAsia="Adobe Myungjo Std M" w:cstheme="minorHAnsi"/>
          <w:szCs w:val="18"/>
        </w:rPr>
        <w:t xml:space="preserve">The other </w:t>
      </w:r>
      <w:r w:rsidR="00760941" w:rsidRPr="0054671B">
        <w:rPr>
          <w:rFonts w:eastAsia="Adobe Myungjo Std M" w:cstheme="minorHAnsi"/>
          <w:szCs w:val="18"/>
        </w:rPr>
        <w:t xml:space="preserve">study </w:t>
      </w:r>
      <w:r w:rsidR="00481E07" w:rsidRPr="0054671B">
        <w:rPr>
          <w:rFonts w:eastAsia="Adobe Myungjo Std M" w:cstheme="minorHAnsi"/>
          <w:szCs w:val="18"/>
        </w:rPr>
        <w:t xml:space="preserve">has been implemented </w:t>
      </w:r>
      <w:r w:rsidR="00760941" w:rsidRPr="0054671B">
        <w:rPr>
          <w:rFonts w:eastAsia="Adobe Myungjo Std M" w:cstheme="minorHAnsi"/>
          <w:szCs w:val="18"/>
        </w:rPr>
        <w:t>by</w:t>
      </w:r>
      <w:r w:rsidR="00BD1AEE" w:rsidRPr="0054671B">
        <w:rPr>
          <w:rFonts w:eastAsia="Adobe Myungjo Std M" w:cstheme="minorHAnsi"/>
          <w:szCs w:val="18"/>
        </w:rPr>
        <w:t xml:space="preserve"> </w:t>
      </w:r>
      <w:r w:rsidR="00BD1AEE" w:rsidRPr="0054671B">
        <w:rPr>
          <w:rFonts w:eastAsia="Adobe Myungjo Std M" w:cstheme="minorHAnsi"/>
          <w:szCs w:val="18"/>
        </w:rPr>
        <w:fldChar w:fldCharType="begin"/>
      </w:r>
      <w:r w:rsidR="009B1E97" w:rsidRPr="0054671B">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4671B">
        <w:rPr>
          <w:rFonts w:eastAsia="Adobe Myungjo Std M" w:cstheme="minorHAnsi"/>
          <w:szCs w:val="18"/>
        </w:rPr>
        <w:fldChar w:fldCharType="separate"/>
      </w:r>
      <w:r w:rsidR="00BD1AEE" w:rsidRPr="0054671B">
        <w:rPr>
          <w:rFonts w:ascii="Calibri" w:hAnsi="Calibri" w:cs="Calibri"/>
        </w:rPr>
        <w:t>Vidyattama (2006)</w:t>
      </w:r>
      <w:r w:rsidR="00BD1AEE" w:rsidRPr="0054671B">
        <w:rPr>
          <w:rFonts w:eastAsia="Adobe Myungjo Std M" w:cstheme="minorHAnsi"/>
          <w:szCs w:val="18"/>
        </w:rPr>
        <w:fldChar w:fldCharType="end"/>
      </w:r>
      <w:r w:rsidR="00760941" w:rsidRPr="0054671B">
        <w:rPr>
          <w:rFonts w:eastAsia="Adobe Myungjo Std M" w:cstheme="minorHAnsi"/>
          <w:szCs w:val="18"/>
        </w:rPr>
        <w:t xml:space="preserve"> </w:t>
      </w:r>
      <w:r w:rsidR="00B064C6" w:rsidRPr="0054671B">
        <w:rPr>
          <w:rFonts w:eastAsia="Adobe Myungjo Std M" w:cstheme="minorHAnsi"/>
          <w:szCs w:val="18"/>
        </w:rPr>
        <w:t>using a more extended data set since the 1970's</w:t>
      </w:r>
      <w:r w:rsidR="00481E07" w:rsidRPr="0054671B">
        <w:rPr>
          <w:rFonts w:eastAsia="Adobe Myungjo Std M" w:cstheme="minorHAnsi"/>
          <w:szCs w:val="18"/>
        </w:rPr>
        <w:t xml:space="preserve">. Evidence from his studies </w:t>
      </w:r>
      <w:r w:rsidR="00760941" w:rsidRPr="0054671B">
        <w:rPr>
          <w:rFonts w:eastAsia="Adobe Myungjo Std M" w:cstheme="minorHAnsi"/>
          <w:szCs w:val="18"/>
        </w:rPr>
        <w:t>show</w:t>
      </w:r>
      <w:r w:rsidR="004C2FDB" w:rsidRPr="0054671B">
        <w:rPr>
          <w:rFonts w:eastAsia="Adobe Myungjo Std M" w:cstheme="minorHAnsi"/>
          <w:szCs w:val="18"/>
        </w:rPr>
        <w:t>s</w:t>
      </w:r>
      <w:r w:rsidR="00C85850" w:rsidRPr="0054671B">
        <w:rPr>
          <w:rFonts w:eastAsia="Adobe Myungjo Std M" w:cstheme="minorHAnsi"/>
          <w:szCs w:val="18"/>
        </w:rPr>
        <w:t xml:space="preserve"> that</w:t>
      </w:r>
      <w:r w:rsidR="00760941" w:rsidRPr="0054671B">
        <w:rPr>
          <w:rFonts w:eastAsia="Adobe Myungjo Std M" w:cstheme="minorHAnsi"/>
          <w:szCs w:val="18"/>
        </w:rPr>
        <w:t xml:space="preserve"> </w:t>
      </w:r>
      <w:r w:rsidR="00481E07" w:rsidRPr="0054671B">
        <w:rPr>
          <w:rFonts w:eastAsia="Adobe Myungjo Std M" w:cstheme="minorHAnsi"/>
          <w:szCs w:val="18"/>
        </w:rPr>
        <w:t xml:space="preserve">significant changes in specific policies and economic development in Indonesia, including macroeconomic conditions and structural change, affect </w:t>
      </w:r>
      <w:r w:rsidR="00760941" w:rsidRPr="0054671B">
        <w:rPr>
          <w:rFonts w:eastAsia="Adobe Myungjo Std M" w:cstheme="minorHAnsi"/>
          <w:szCs w:val="18"/>
        </w:rPr>
        <w:t>the pattern</w:t>
      </w:r>
      <w:r w:rsidR="00C85850" w:rsidRPr="0054671B">
        <w:rPr>
          <w:rFonts w:eastAsia="Adobe Myungjo Std M" w:cstheme="minorHAnsi"/>
          <w:szCs w:val="18"/>
        </w:rPr>
        <w:t xml:space="preserve"> of </w:t>
      </w:r>
      <w:r w:rsidR="00481E07" w:rsidRPr="0054671B">
        <w:rPr>
          <w:rFonts w:eastAsia="Adobe Myungjo Std M" w:cstheme="minorHAnsi"/>
          <w:szCs w:val="18"/>
        </w:rPr>
        <w:t xml:space="preserve">regional income </w:t>
      </w:r>
      <w:r w:rsidR="00C85850" w:rsidRPr="0054671B">
        <w:rPr>
          <w:rFonts w:eastAsia="Adobe Myungjo Std M" w:cstheme="minorHAnsi"/>
          <w:szCs w:val="18"/>
        </w:rPr>
        <w:t>convergence</w:t>
      </w:r>
      <w:r w:rsidR="00760941" w:rsidRPr="0054671B">
        <w:rPr>
          <w:rFonts w:eastAsia="Adobe Myungjo Std M" w:cstheme="minorHAnsi"/>
          <w:szCs w:val="18"/>
        </w:rPr>
        <w:t xml:space="preserve">. </w:t>
      </w:r>
      <w:r w:rsidR="009B4AB8">
        <w:rPr>
          <w:rFonts w:eastAsia="Adobe Myungjo Std M" w:cstheme="minorHAnsi"/>
          <w:szCs w:val="18"/>
        </w:rPr>
        <w:t>U</w:t>
      </w:r>
      <w:r w:rsidR="00B17503" w:rsidRPr="0054671B">
        <w:rPr>
          <w:rFonts w:eastAsia="Adobe Myungjo Std M" w:cstheme="minorHAnsi"/>
          <w:szCs w:val="18"/>
        </w:rPr>
        <w:t xml:space="preserve">sing the most recent data available, </w:t>
      </w:r>
      <w:r w:rsidR="00B17503" w:rsidRPr="0054671B">
        <w:rPr>
          <w:rFonts w:eastAsia="Adobe Myungjo Std M" w:cstheme="minorHAnsi"/>
          <w:szCs w:val="18"/>
        </w:rPr>
        <w:fldChar w:fldCharType="begin"/>
      </w:r>
      <w:r w:rsidR="00B17503" w:rsidRPr="0054671B">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B17503" w:rsidRPr="0054671B">
        <w:rPr>
          <w:rFonts w:eastAsia="Adobe Myungjo Std M" w:cstheme="minorHAnsi"/>
          <w:szCs w:val="18"/>
        </w:rPr>
        <w:fldChar w:fldCharType="separate"/>
      </w:r>
      <w:r w:rsidR="00B17503" w:rsidRPr="0054671B">
        <w:rPr>
          <w:rFonts w:ascii="Calibri" w:hAnsi="Calibri" w:cs="Calibri"/>
        </w:rPr>
        <w:t>Aginta et al. (2020)</w:t>
      </w:r>
      <w:r w:rsidR="00B17503" w:rsidRPr="0054671B">
        <w:rPr>
          <w:rFonts w:eastAsia="Adobe Myungjo Std M" w:cstheme="minorHAnsi"/>
          <w:szCs w:val="18"/>
        </w:rPr>
        <w:fldChar w:fldCharType="end"/>
      </w:r>
      <w:r w:rsidR="00B17503" w:rsidRPr="0054671B">
        <w:rPr>
          <w:rFonts w:eastAsia="Adobe Myungjo Std M" w:cstheme="minorHAnsi"/>
          <w:szCs w:val="18"/>
        </w:rPr>
        <w:t xml:space="preserve"> analyze </w:t>
      </w:r>
      <w:r w:rsidR="005C61A7" w:rsidRPr="0054671B">
        <w:rPr>
          <w:rFonts w:eastAsia="Adobe Myungjo Std M" w:cstheme="minorHAnsi"/>
          <w:szCs w:val="18"/>
        </w:rPr>
        <w:t xml:space="preserve">income convergence across 514 Indonesian districts from 2000-2017 using </w:t>
      </w:r>
      <w:r w:rsidR="00B064C6" w:rsidRPr="0054671B">
        <w:rPr>
          <w:rFonts w:eastAsia="Adobe Myungjo Std M" w:cstheme="minorHAnsi"/>
          <w:szCs w:val="18"/>
        </w:rPr>
        <w:t xml:space="preserve">the </w:t>
      </w:r>
      <w:r w:rsidR="005C61A7" w:rsidRPr="0054671B">
        <w:rPr>
          <w:rFonts w:eastAsia="Adobe Myungjo Std M" w:cstheme="minorHAnsi"/>
          <w:szCs w:val="18"/>
        </w:rPr>
        <w:t>club convergence framework</w:t>
      </w:r>
      <w:r w:rsidR="00B17503" w:rsidRPr="0054671B">
        <w:rPr>
          <w:rFonts w:eastAsia="Adobe Myungjo Std M" w:cstheme="minorHAnsi"/>
          <w:szCs w:val="18"/>
        </w:rPr>
        <w:t>.</w:t>
      </w:r>
      <w:r w:rsidR="005C61A7" w:rsidRPr="0054671B">
        <w:rPr>
          <w:rFonts w:eastAsia="Adobe Myungjo Std M" w:cstheme="minorHAnsi"/>
          <w:szCs w:val="18"/>
        </w:rPr>
        <w:t xml:space="preserve"> </w:t>
      </w:r>
      <w:r w:rsidR="00B17503" w:rsidRPr="0054671B">
        <w:rPr>
          <w:rFonts w:eastAsia="Adobe Myungjo Std M" w:cstheme="minorHAnsi"/>
          <w:szCs w:val="18"/>
        </w:rPr>
        <w:t>Their findings</w:t>
      </w:r>
      <w:r w:rsidR="005C61A7" w:rsidRPr="0054671B">
        <w:rPr>
          <w:rFonts w:eastAsia="Adobe Myungjo Std M" w:cstheme="minorHAnsi"/>
          <w:szCs w:val="18"/>
        </w:rPr>
        <w:t xml:space="preserve"> </w:t>
      </w:r>
      <w:r w:rsidR="00B17503" w:rsidRPr="0054671B">
        <w:rPr>
          <w:rFonts w:eastAsia="Adobe Myungjo Std M" w:cstheme="minorHAnsi"/>
          <w:szCs w:val="18"/>
        </w:rPr>
        <w:t>support</w:t>
      </w:r>
      <w:r w:rsidR="005C61A7" w:rsidRPr="0054671B">
        <w:rPr>
          <w:rFonts w:eastAsia="Adobe Myungjo Std M" w:cstheme="minorHAnsi"/>
          <w:szCs w:val="18"/>
        </w:rPr>
        <w:t xml:space="preserve"> the</w:t>
      </w:r>
      <w:r w:rsidR="00080BCB">
        <w:rPr>
          <w:rFonts w:eastAsia="Adobe Myungjo Std M" w:cstheme="minorHAnsi"/>
          <w:szCs w:val="18"/>
        </w:rPr>
        <w:t xml:space="preserve"> view of</w:t>
      </w:r>
      <w:r w:rsidR="005C61A7" w:rsidRPr="0054671B">
        <w:rPr>
          <w:rFonts w:eastAsia="Adobe Myungjo Std M" w:cstheme="minorHAnsi"/>
          <w:szCs w:val="18"/>
        </w:rPr>
        <w:t xml:space="preserve"> lack of convergence in per capita income during </w:t>
      </w:r>
      <w:r w:rsidR="00B064C6" w:rsidRPr="0054671B">
        <w:rPr>
          <w:rFonts w:eastAsia="Adobe Myungjo Std M" w:cstheme="minorHAnsi"/>
          <w:szCs w:val="18"/>
        </w:rPr>
        <w:t xml:space="preserve">the </w:t>
      </w:r>
      <w:r w:rsidR="005C61A7" w:rsidRPr="0054671B">
        <w:rPr>
          <w:rFonts w:eastAsia="Adobe Myungjo Std M" w:cstheme="minorHAnsi"/>
          <w:szCs w:val="18"/>
        </w:rPr>
        <w:t>post-decentralization</w:t>
      </w:r>
      <w:r w:rsidR="005C61A7" w:rsidRPr="005776F8">
        <w:rPr>
          <w:rFonts w:eastAsia="Adobe Myungjo Std M" w:cstheme="minorHAnsi"/>
          <w:szCs w:val="18"/>
        </w:rPr>
        <w:t xml:space="preserve"> era. </w:t>
      </w:r>
      <w:r w:rsidR="009B4AB8" w:rsidRPr="005776F8">
        <w:rPr>
          <w:rFonts w:eastAsia="Adobe Myungjo Std M" w:cstheme="minorHAnsi"/>
          <w:szCs w:val="18"/>
        </w:rPr>
        <w:t xml:space="preserve">Finally, </w:t>
      </w:r>
      <w:r w:rsidR="009B4AB8" w:rsidRPr="005776F8">
        <w:rPr>
          <w:rFonts w:eastAsia="Adobe Myungjo Std M" w:cstheme="minorHAnsi"/>
          <w:szCs w:val="18"/>
        </w:rPr>
        <w:fldChar w:fldCharType="begin"/>
      </w:r>
      <w:r w:rsidR="00C65449" w:rsidRPr="005776F8">
        <w:rPr>
          <w:rFonts w:eastAsia="Adobe Myungjo Std M" w:cstheme="minorHAnsi"/>
          <w:szCs w:val="18"/>
        </w:rPr>
        <w:instrText xml:space="preserve"> ADDIN ZOTERO_ITEM CSL_CITATION {"citationID":"LY1aXPy3","properties":{"formattedCitation":"(Purwono et al., 2021)","plainCitation":"(Purwono et al., 2021)","dontUpdate":true,"noteIndex":0},"citationItems":[{"id":379,"uris":["http://zotero.org/users/local/9Bu69DCL/items/XP9EGXKK"],"uri":["http://zotero.org/users/local/9Bu69DCL/items/XP9EGXKK"],"itemData":{"id":379,"type":"article-journal","container-title":"Regional Statistics","issue":"4","journalAbbreviation":"Regional Statistics","page":"57-78","title":"Total factor productivity convergence of Indonesia’s provincial economies, 2011–2017","volume":"11","author":[{"family":"Purwono","given":"Rudi"},{"family":"Yasin","given":"Mohammad Zeqi"},{"family":"Hamzah","given":"Ibnu Nur"},{"family":"Arifin","given":"Nur"}],"issued":{"date-parts":[["2021"]]}}}],"schema":"https://github.com/citation-style-language/schema/raw/master/csl-citation.json"} </w:instrText>
      </w:r>
      <w:r w:rsidR="009B4AB8" w:rsidRPr="005776F8">
        <w:rPr>
          <w:rFonts w:eastAsia="Adobe Myungjo Std M" w:cstheme="minorHAnsi"/>
          <w:szCs w:val="18"/>
        </w:rPr>
        <w:fldChar w:fldCharType="separate"/>
      </w:r>
      <w:r w:rsidR="0020617F" w:rsidRPr="005776F8">
        <w:rPr>
          <w:rFonts w:ascii="Calibri" w:hAnsi="Calibri" w:cs="Calibri"/>
        </w:rPr>
        <w:t>Purwono et al. (2021)</w:t>
      </w:r>
      <w:r w:rsidR="009B4AB8" w:rsidRPr="005776F8">
        <w:rPr>
          <w:rFonts w:eastAsia="Adobe Myungjo Std M" w:cstheme="minorHAnsi"/>
          <w:szCs w:val="18"/>
        </w:rPr>
        <w:fldChar w:fldCharType="end"/>
      </w:r>
      <w:r w:rsidR="0020617F" w:rsidRPr="005776F8">
        <w:rPr>
          <w:rFonts w:eastAsia="Adobe Myungjo Std M" w:cstheme="minorHAnsi"/>
          <w:szCs w:val="18"/>
        </w:rPr>
        <w:t xml:space="preserve"> show </w:t>
      </w:r>
      <w:r w:rsidR="002B3A59" w:rsidRPr="005776F8">
        <w:rPr>
          <w:rFonts w:eastAsia="Adobe Myungjo Std M" w:cstheme="minorHAnsi"/>
          <w:szCs w:val="18"/>
        </w:rPr>
        <w:t>that between 2011 and 2017, TFP convergence occurred in 33 Indonesian provinces, with intra-provincial exports having a greater impact on TFP convergence than international exports.</w:t>
      </w:r>
      <w:r w:rsidR="0020617F" w:rsidRPr="005776F8">
        <w:rPr>
          <w:rFonts w:eastAsia="Adobe Myungjo Std M" w:cstheme="minorHAnsi"/>
          <w:szCs w:val="18"/>
        </w:rPr>
        <w:t xml:space="preserve"> </w:t>
      </w:r>
      <w:r w:rsidR="00B17503" w:rsidRPr="0054671B">
        <w:rPr>
          <w:rFonts w:eastAsia="Adobe Myungjo Std M" w:cstheme="minorHAnsi"/>
          <w:szCs w:val="18"/>
        </w:rPr>
        <w:t>Probably</w:t>
      </w:r>
      <w:r w:rsidR="00044A06" w:rsidRPr="0054671B">
        <w:rPr>
          <w:rFonts w:eastAsia="Adobe Myungjo Std M" w:cstheme="minorHAnsi"/>
          <w:szCs w:val="18"/>
        </w:rPr>
        <w:t xml:space="preserve"> </w:t>
      </w:r>
      <w:r w:rsidR="00B17503" w:rsidRPr="0054671B">
        <w:rPr>
          <w:rFonts w:eastAsia="Adobe Myungjo Std M" w:cstheme="minorHAnsi"/>
          <w:szCs w:val="18"/>
        </w:rPr>
        <w:t xml:space="preserve">the closest study to our paper is the analysis by </w:t>
      </w:r>
      <w:r w:rsidR="00B17503" w:rsidRPr="0054671B">
        <w:rPr>
          <w:rFonts w:eastAsia="Adobe Myungjo Std M" w:cstheme="minorHAnsi"/>
          <w:szCs w:val="18"/>
        </w:rPr>
        <w:fldChar w:fldCharType="begin"/>
      </w:r>
      <w:r w:rsidR="00B17503" w:rsidRPr="0054671B">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B17503" w:rsidRPr="0054671B">
        <w:rPr>
          <w:rFonts w:eastAsia="Adobe Myungjo Std M" w:cstheme="minorHAnsi"/>
          <w:szCs w:val="18"/>
        </w:rPr>
        <w:fldChar w:fldCharType="separate"/>
      </w:r>
      <w:r w:rsidR="00B17503" w:rsidRPr="0054671B">
        <w:rPr>
          <w:rFonts w:ascii="Calibri" w:hAnsi="Calibri" w:cs="Calibri"/>
        </w:rPr>
        <w:t>Aginta (2021)</w:t>
      </w:r>
      <w:r w:rsidR="00B17503" w:rsidRPr="0054671B">
        <w:rPr>
          <w:rFonts w:eastAsia="Adobe Myungjo Std M" w:cstheme="minorHAnsi"/>
          <w:szCs w:val="18"/>
        </w:rPr>
        <w:fldChar w:fldCharType="end"/>
      </w:r>
      <w:r w:rsidR="001F3940" w:rsidRPr="0054671B">
        <w:rPr>
          <w:rFonts w:eastAsia="Adobe Myungjo Std M" w:cstheme="minorHAnsi"/>
          <w:szCs w:val="18"/>
        </w:rPr>
        <w:t>, where h</w:t>
      </w:r>
      <w:r w:rsidR="00B17503" w:rsidRPr="0054671B">
        <w:rPr>
          <w:rFonts w:eastAsia="Adobe Myungjo Std M" w:cstheme="minorHAnsi"/>
          <w:szCs w:val="18"/>
        </w:rPr>
        <w:t xml:space="preserve">e </w:t>
      </w:r>
      <w:r w:rsidR="00760941" w:rsidRPr="0054671B">
        <w:rPr>
          <w:rFonts w:eastAsia="Adobe Myungjo Std M" w:cstheme="minorHAnsi"/>
          <w:szCs w:val="18"/>
        </w:rPr>
        <w:t>identif</w:t>
      </w:r>
      <w:r w:rsidR="001F3940" w:rsidRPr="0054671B">
        <w:rPr>
          <w:rFonts w:eastAsia="Adobe Myungjo Std M" w:cstheme="minorHAnsi"/>
          <w:szCs w:val="18"/>
        </w:rPr>
        <w:t>ies</w:t>
      </w:r>
      <w:r w:rsidR="00760941" w:rsidRPr="0054671B">
        <w:rPr>
          <w:rFonts w:eastAsia="Adobe Myungjo Std M" w:cstheme="minorHAnsi"/>
          <w:szCs w:val="18"/>
        </w:rPr>
        <w:t xml:space="preserve"> </w:t>
      </w:r>
      <w:r w:rsidR="00B17503" w:rsidRPr="0054671B">
        <w:rPr>
          <w:rFonts w:eastAsia="Adobe Myungjo Std M" w:cstheme="minorHAnsi"/>
          <w:szCs w:val="18"/>
        </w:rPr>
        <w:t xml:space="preserve">club </w:t>
      </w:r>
      <w:r w:rsidR="00760941" w:rsidRPr="0054671B">
        <w:rPr>
          <w:rFonts w:eastAsia="Adobe Myungjo Std M" w:cstheme="minorHAnsi"/>
          <w:szCs w:val="18"/>
        </w:rPr>
        <w:t>convergence in</w:t>
      </w:r>
      <w:r w:rsidR="001F3940" w:rsidRPr="0054671B">
        <w:rPr>
          <w:rFonts w:eastAsia="Adobe Myungjo Std M" w:cstheme="minorHAnsi"/>
          <w:szCs w:val="18"/>
        </w:rPr>
        <w:t xml:space="preserve"> </w:t>
      </w:r>
      <w:r w:rsidR="00760941" w:rsidRPr="0054671B">
        <w:rPr>
          <w:rFonts w:eastAsia="Adobe Myungjo Std M" w:cstheme="minorHAnsi"/>
          <w:szCs w:val="18"/>
        </w:rPr>
        <w:t>regional price</w:t>
      </w:r>
      <w:r w:rsidR="001F3940" w:rsidRPr="0054671B">
        <w:rPr>
          <w:rFonts w:eastAsia="Adobe Myungjo Std M" w:cstheme="minorHAnsi"/>
          <w:szCs w:val="18"/>
        </w:rPr>
        <w:t xml:space="preserve"> across provinces in Indonesia </w:t>
      </w:r>
      <w:r w:rsidR="00760941" w:rsidRPr="0054671B">
        <w:rPr>
          <w:rFonts w:eastAsia="Adobe Myungjo Std M" w:cstheme="minorHAnsi"/>
          <w:szCs w:val="18"/>
        </w:rPr>
        <w:t xml:space="preserve">and </w:t>
      </w:r>
      <w:r w:rsidR="00B17503" w:rsidRPr="0054671B">
        <w:rPr>
          <w:rFonts w:eastAsia="Adobe Myungjo Std M" w:cstheme="minorHAnsi"/>
          <w:szCs w:val="18"/>
        </w:rPr>
        <w:t xml:space="preserve">further </w:t>
      </w:r>
      <w:r w:rsidR="00760941" w:rsidRPr="0054671B">
        <w:rPr>
          <w:rFonts w:eastAsia="Adobe Myungjo Std M" w:cstheme="minorHAnsi"/>
          <w:szCs w:val="18"/>
        </w:rPr>
        <w:t>investigate</w:t>
      </w:r>
      <w:r w:rsidR="00B17503" w:rsidRPr="0054671B">
        <w:rPr>
          <w:rFonts w:eastAsia="Adobe Myungjo Std M" w:cstheme="minorHAnsi"/>
          <w:szCs w:val="18"/>
        </w:rPr>
        <w:t>s the</w:t>
      </w:r>
      <w:r w:rsidR="00760941" w:rsidRPr="0054671B">
        <w:rPr>
          <w:rFonts w:eastAsia="Adobe Myungjo Std M" w:cstheme="minorHAnsi"/>
          <w:szCs w:val="18"/>
        </w:rPr>
        <w:t xml:space="preserve"> conditioning factors </w:t>
      </w:r>
      <w:r w:rsidR="001F3940" w:rsidRPr="0054671B">
        <w:rPr>
          <w:rFonts w:eastAsia="Adobe Myungjo Std M" w:cstheme="minorHAnsi"/>
          <w:szCs w:val="18"/>
        </w:rPr>
        <w:t>influencing</w:t>
      </w:r>
      <w:r w:rsidR="00760941" w:rsidRPr="0054671B">
        <w:rPr>
          <w:rFonts w:eastAsia="Adobe Myungjo Std M" w:cstheme="minorHAnsi"/>
          <w:szCs w:val="18"/>
        </w:rPr>
        <w:t xml:space="preserve"> club</w:t>
      </w:r>
      <w:r w:rsidR="00B064C6" w:rsidRPr="0054671B">
        <w:rPr>
          <w:rFonts w:eastAsia="Adobe Myungjo Std M" w:cstheme="minorHAnsi"/>
          <w:szCs w:val="18"/>
        </w:rPr>
        <w:t xml:space="preserve"> convergence</w:t>
      </w:r>
      <w:r w:rsidR="00760941" w:rsidRPr="0054671B">
        <w:rPr>
          <w:rFonts w:eastAsia="Adobe Myungjo Std M" w:cstheme="minorHAnsi"/>
          <w:szCs w:val="18"/>
        </w:rPr>
        <w:t xml:space="preserve"> formation. </w:t>
      </w:r>
      <w:r w:rsidR="00B17503" w:rsidRPr="0054671B">
        <w:rPr>
          <w:rFonts w:eastAsia="Adobe Myungjo Std M" w:cstheme="minorHAnsi"/>
          <w:szCs w:val="18"/>
        </w:rPr>
        <w:t>Using</w:t>
      </w:r>
      <w:r w:rsidR="00760941" w:rsidRPr="0054671B">
        <w:rPr>
          <w:rFonts w:eastAsia="Adobe Myungjo Std M" w:cstheme="minorHAnsi"/>
          <w:szCs w:val="18"/>
        </w:rPr>
        <w:t xml:space="preserve"> </w:t>
      </w:r>
      <w:r w:rsidR="001F3940" w:rsidRPr="0054671B">
        <w:rPr>
          <w:rFonts w:eastAsia="Adobe Myungjo Std M" w:cstheme="minorHAnsi"/>
          <w:szCs w:val="18"/>
        </w:rPr>
        <w:t>CPI</w:t>
      </w:r>
      <w:r w:rsidR="00760941" w:rsidRPr="0054671B">
        <w:rPr>
          <w:rFonts w:eastAsia="Adobe Myungjo Std M" w:cstheme="minorHAnsi"/>
          <w:szCs w:val="18"/>
        </w:rPr>
        <w:t xml:space="preserve"> data </w:t>
      </w:r>
      <w:r w:rsidR="00B064C6" w:rsidRPr="0054671B">
        <w:rPr>
          <w:rFonts w:eastAsia="Adobe Myungjo Std M" w:cstheme="minorHAnsi"/>
          <w:szCs w:val="18"/>
        </w:rPr>
        <w:t>from</w:t>
      </w:r>
      <w:r w:rsidR="001F3940" w:rsidRPr="0054671B">
        <w:rPr>
          <w:rFonts w:eastAsia="Adobe Myungjo Std M" w:cstheme="minorHAnsi"/>
          <w:szCs w:val="18"/>
        </w:rPr>
        <w:t xml:space="preserve"> </w:t>
      </w:r>
      <w:r w:rsidR="00760941" w:rsidRPr="0054671B">
        <w:rPr>
          <w:rFonts w:eastAsia="Adobe Myungjo Std M" w:cstheme="minorHAnsi"/>
          <w:szCs w:val="18"/>
        </w:rPr>
        <w:t>2012</w:t>
      </w:r>
      <w:r w:rsidR="001F3940" w:rsidRPr="0054671B">
        <w:rPr>
          <w:rFonts w:eastAsia="Adobe Myungjo Std M" w:cstheme="minorHAnsi"/>
          <w:szCs w:val="18"/>
        </w:rPr>
        <w:t>:01</w:t>
      </w:r>
      <w:r w:rsidR="00760941" w:rsidRPr="0054671B">
        <w:rPr>
          <w:rFonts w:eastAsia="Adobe Myungjo Std M" w:cstheme="minorHAnsi"/>
          <w:szCs w:val="18"/>
        </w:rPr>
        <w:t xml:space="preserve"> to 2019</w:t>
      </w:r>
      <w:r w:rsidR="001F3940" w:rsidRPr="0054671B">
        <w:rPr>
          <w:rFonts w:eastAsia="Adobe Myungjo Std M" w:cstheme="minorHAnsi"/>
          <w:szCs w:val="18"/>
        </w:rPr>
        <w:t>:12</w:t>
      </w:r>
      <w:r w:rsidR="00B17503" w:rsidRPr="0054671B">
        <w:rPr>
          <w:rFonts w:eastAsia="Adobe Myungjo Std M" w:cstheme="minorHAnsi"/>
          <w:szCs w:val="18"/>
        </w:rPr>
        <w:t xml:space="preserve"> </w:t>
      </w:r>
      <w:r w:rsidR="001F3940" w:rsidRPr="0054671B">
        <w:rPr>
          <w:rFonts w:eastAsia="Adobe Myungjo Std M" w:cstheme="minorHAnsi"/>
          <w:szCs w:val="18"/>
        </w:rPr>
        <w:t>aggregated at</w:t>
      </w:r>
      <w:r w:rsidR="00B17503" w:rsidRPr="0054671B">
        <w:rPr>
          <w:rFonts w:eastAsia="Adobe Myungjo Std M" w:cstheme="minorHAnsi"/>
          <w:szCs w:val="18"/>
        </w:rPr>
        <w:t xml:space="preserve"> </w:t>
      </w:r>
      <w:r w:rsidR="00E14FB5" w:rsidRPr="0054671B">
        <w:rPr>
          <w:rFonts w:eastAsia="Adobe Myungjo Std M" w:cstheme="minorHAnsi"/>
          <w:szCs w:val="18"/>
        </w:rPr>
        <w:t xml:space="preserve">the </w:t>
      </w:r>
      <w:r w:rsidR="00B17503" w:rsidRPr="0054671B">
        <w:rPr>
          <w:rFonts w:eastAsia="Adobe Myungjo Std M" w:cstheme="minorHAnsi"/>
          <w:szCs w:val="18"/>
        </w:rPr>
        <w:t>province level,</w:t>
      </w:r>
      <w:r w:rsidR="00760941" w:rsidRPr="0054671B">
        <w:rPr>
          <w:rFonts w:eastAsia="Adobe Myungjo Std M" w:cstheme="minorHAnsi"/>
          <w:szCs w:val="18"/>
        </w:rPr>
        <w:t xml:space="preserve"> </w:t>
      </w:r>
      <w:r w:rsidR="00B17503" w:rsidRPr="0054671B">
        <w:rPr>
          <w:rFonts w:eastAsia="Adobe Myungjo Std M" w:cstheme="minorHAnsi"/>
          <w:szCs w:val="18"/>
        </w:rPr>
        <w:t xml:space="preserve">he </w:t>
      </w:r>
      <w:r w:rsidR="00760941" w:rsidRPr="0054671B">
        <w:rPr>
          <w:rFonts w:eastAsia="Adobe Myungjo Std M" w:cstheme="minorHAnsi"/>
          <w:szCs w:val="18"/>
        </w:rPr>
        <w:t>show</w:t>
      </w:r>
      <w:r w:rsidR="003315B4" w:rsidRPr="0054671B">
        <w:rPr>
          <w:rFonts w:eastAsia="Adobe Myungjo Std M" w:cstheme="minorHAnsi"/>
          <w:szCs w:val="18"/>
        </w:rPr>
        <w:t>s</w:t>
      </w:r>
      <w:r w:rsidR="00760941" w:rsidRPr="0054671B">
        <w:rPr>
          <w:rFonts w:eastAsia="Adobe Myungjo Std M" w:cstheme="minorHAnsi"/>
          <w:szCs w:val="18"/>
        </w:rPr>
        <w:t xml:space="preserve"> th</w:t>
      </w:r>
      <w:r w:rsidR="00531992" w:rsidRPr="0054671B">
        <w:rPr>
          <w:rFonts w:eastAsia="Adobe Myungjo Std M" w:cstheme="minorHAnsi"/>
          <w:szCs w:val="18"/>
        </w:rPr>
        <w:t xml:space="preserve">e absence of overall </w:t>
      </w:r>
      <w:r w:rsidR="00760941" w:rsidRPr="0054671B">
        <w:rPr>
          <w:rFonts w:eastAsia="Adobe Myungjo Std M" w:cstheme="minorHAnsi"/>
          <w:szCs w:val="18"/>
        </w:rPr>
        <w:t>converge</w:t>
      </w:r>
      <w:r w:rsidR="00531992" w:rsidRPr="0054671B">
        <w:rPr>
          <w:rFonts w:eastAsia="Adobe Myungjo Std M" w:cstheme="minorHAnsi"/>
          <w:szCs w:val="18"/>
        </w:rPr>
        <w:t>nce</w:t>
      </w:r>
      <w:r w:rsidR="00760941" w:rsidRPr="0054671B">
        <w:rPr>
          <w:rFonts w:eastAsia="Adobe Myungjo Std M" w:cstheme="minorHAnsi"/>
          <w:szCs w:val="18"/>
        </w:rPr>
        <w:t xml:space="preserve"> </w:t>
      </w:r>
      <w:r w:rsidR="00531992" w:rsidRPr="0054671B">
        <w:rPr>
          <w:rFonts w:eastAsia="Adobe Myungjo Std M" w:cstheme="minorHAnsi"/>
          <w:szCs w:val="18"/>
        </w:rPr>
        <w:t xml:space="preserve">in the level of regional prices. </w:t>
      </w:r>
      <w:r w:rsidR="00760941" w:rsidRPr="0054671B">
        <w:rPr>
          <w:rFonts w:eastAsia="Adobe Myungjo Std M" w:cstheme="minorHAnsi"/>
          <w:szCs w:val="18"/>
        </w:rPr>
        <w:t xml:space="preserve">Instead, </w:t>
      </w:r>
      <w:r w:rsidR="00531992" w:rsidRPr="0054671B">
        <w:rPr>
          <w:rFonts w:eastAsia="Adobe Myungjo Std M" w:cstheme="minorHAnsi"/>
          <w:szCs w:val="18"/>
        </w:rPr>
        <w:t xml:space="preserve">the dynamic of regional prices is characterized by </w:t>
      </w:r>
      <w:r w:rsidR="00760941" w:rsidRPr="0054671B">
        <w:rPr>
          <w:rFonts w:eastAsia="Adobe Myungjo Std M" w:cstheme="minorHAnsi"/>
          <w:szCs w:val="18"/>
        </w:rPr>
        <w:t>four</w:t>
      </w:r>
      <w:r w:rsidR="00531992" w:rsidRPr="0054671B">
        <w:rPr>
          <w:rFonts w:eastAsia="Adobe Myungjo Std M" w:cstheme="minorHAnsi"/>
          <w:szCs w:val="18"/>
        </w:rPr>
        <w:t xml:space="preserve"> club</w:t>
      </w:r>
      <w:r w:rsidR="00760941" w:rsidRPr="0054671B">
        <w:rPr>
          <w:rFonts w:eastAsia="Adobe Myungjo Std M" w:cstheme="minorHAnsi"/>
          <w:szCs w:val="18"/>
        </w:rPr>
        <w:t xml:space="preserve"> convergence.</w:t>
      </w:r>
      <w:r w:rsidR="00760941" w:rsidRPr="0054671B">
        <w:rPr>
          <w:noProof/>
        </w:rPr>
        <w:t xml:space="preserve"> </w:t>
      </w:r>
      <w:r w:rsidR="00B064C6" w:rsidRPr="0054671B">
        <w:rPr>
          <w:noProof/>
        </w:rPr>
        <w:t xml:space="preserve">His extended research, which employs ordered logit model, demonstrates that a one-unit change in labor productivity, inflation </w:t>
      </w:r>
      <w:r w:rsidR="00B064C6" w:rsidRPr="0054671B">
        <w:rPr>
          <w:noProof/>
        </w:rPr>
        <w:lastRenderedPageBreak/>
        <w:t>expectation, consumption growth, and spatial externalities considerably impacts the probability of provinces clustering into a different club.</w:t>
      </w:r>
    </w:p>
    <w:p w14:paraId="53E16A33" w14:textId="40DDF357" w:rsidR="00511618" w:rsidRPr="0054671B" w:rsidRDefault="00DE248D" w:rsidP="00DE248D">
      <w:pPr>
        <w:pStyle w:val="ListParagraph"/>
        <w:spacing w:line="360" w:lineRule="auto"/>
        <w:ind w:left="709"/>
        <w:jc w:val="both"/>
        <w:rPr>
          <w:noProof/>
        </w:rPr>
      </w:pPr>
      <w:r w:rsidRPr="0054671B">
        <w:rPr>
          <w:noProof/>
        </w:rPr>
        <w:tab/>
      </w:r>
      <w:r w:rsidRPr="0054671B">
        <w:rPr>
          <w:noProof/>
        </w:rPr>
        <w:tab/>
        <w:t>W</w:t>
      </w:r>
      <w:r w:rsidR="00531992" w:rsidRPr="0054671B">
        <w:rPr>
          <w:noProof/>
        </w:rPr>
        <w:t xml:space="preserve">e </w:t>
      </w:r>
      <w:r w:rsidRPr="0054671B">
        <w:rPr>
          <w:noProof/>
        </w:rPr>
        <w:t>have shown that</w:t>
      </w:r>
      <w:r w:rsidR="00760941" w:rsidRPr="0054671B">
        <w:rPr>
          <w:noProof/>
        </w:rPr>
        <w:t xml:space="preserve"> </w:t>
      </w:r>
      <w:r w:rsidRPr="0054671B">
        <w:rPr>
          <w:noProof/>
        </w:rPr>
        <w:t>empirical research on</w:t>
      </w:r>
      <w:r w:rsidR="00760941" w:rsidRPr="0054671B">
        <w:rPr>
          <w:noProof/>
        </w:rPr>
        <w:t xml:space="preserve"> wage convergence in Ind</w:t>
      </w:r>
      <w:r w:rsidR="00531992" w:rsidRPr="0054671B">
        <w:rPr>
          <w:noProof/>
        </w:rPr>
        <w:t>o</w:t>
      </w:r>
      <w:r w:rsidR="00760941" w:rsidRPr="0054671B">
        <w:rPr>
          <w:noProof/>
        </w:rPr>
        <w:t>nesia</w:t>
      </w:r>
      <w:r w:rsidRPr="0054671B">
        <w:rPr>
          <w:noProof/>
        </w:rPr>
        <w:t xml:space="preserve"> is scant</w:t>
      </w:r>
      <w:r w:rsidR="00760941" w:rsidRPr="0054671B">
        <w:rPr>
          <w:noProof/>
        </w:rPr>
        <w:t>.</w:t>
      </w:r>
      <w:r w:rsidRPr="0054671B">
        <w:rPr>
          <w:noProof/>
        </w:rPr>
        <w:t xml:space="preserve"> T</w:t>
      </w:r>
      <w:r w:rsidR="00760941" w:rsidRPr="0054671B">
        <w:rPr>
          <w:noProof/>
        </w:rPr>
        <w:t xml:space="preserve">he present article </w:t>
      </w:r>
      <w:r w:rsidRPr="0054671B">
        <w:rPr>
          <w:noProof/>
        </w:rPr>
        <w:t>a</w:t>
      </w:r>
      <w:r w:rsidR="00760941" w:rsidRPr="0054671B">
        <w:rPr>
          <w:noProof/>
        </w:rPr>
        <w:t>ttempt</w:t>
      </w:r>
      <w:r w:rsidRPr="0054671B">
        <w:rPr>
          <w:noProof/>
        </w:rPr>
        <w:t>s</w:t>
      </w:r>
      <w:r w:rsidR="00760941" w:rsidRPr="0054671B">
        <w:rPr>
          <w:noProof/>
        </w:rPr>
        <w:t xml:space="preserve"> to</w:t>
      </w:r>
      <w:r w:rsidRPr="0054671B">
        <w:rPr>
          <w:noProof/>
        </w:rPr>
        <w:t xml:space="preserve"> close the res</w:t>
      </w:r>
      <w:r w:rsidR="00E14FB5" w:rsidRPr="0054671B">
        <w:rPr>
          <w:noProof/>
        </w:rPr>
        <w:t>e</w:t>
      </w:r>
      <w:r w:rsidRPr="0054671B">
        <w:rPr>
          <w:noProof/>
        </w:rPr>
        <w:t>arch gap by bringing new evidence of regional wage convergence and</w:t>
      </w:r>
      <w:r w:rsidR="00760941" w:rsidRPr="0054671B">
        <w:rPr>
          <w:noProof/>
        </w:rPr>
        <w:t xml:space="preserve"> </w:t>
      </w:r>
      <w:r w:rsidRPr="0054671B">
        <w:rPr>
          <w:noProof/>
        </w:rPr>
        <w:t xml:space="preserve">its influencing </w:t>
      </w:r>
      <w:r w:rsidR="00760941" w:rsidRPr="0054671B">
        <w:rPr>
          <w:noProof/>
        </w:rPr>
        <w:t>factors</w:t>
      </w:r>
      <w:r w:rsidRPr="0054671B">
        <w:rPr>
          <w:noProof/>
        </w:rPr>
        <w:t>.</w:t>
      </w:r>
    </w:p>
    <w:p w14:paraId="1B4A0B0C" w14:textId="77777777" w:rsidR="00DB007D" w:rsidRPr="0054671B" w:rsidRDefault="00DB007D" w:rsidP="00DE248D">
      <w:pPr>
        <w:pStyle w:val="ListParagraph"/>
        <w:spacing w:line="360" w:lineRule="auto"/>
        <w:ind w:left="709"/>
        <w:jc w:val="both"/>
        <w:rPr>
          <w:rFonts w:eastAsia="Adobe Myungjo Std M" w:cstheme="minorHAnsi"/>
          <w:szCs w:val="18"/>
        </w:rPr>
      </w:pPr>
    </w:p>
    <w:p w14:paraId="34E541F9" w14:textId="5EAEEA32" w:rsidR="00511618" w:rsidRPr="0054671B" w:rsidRDefault="00511618" w:rsidP="00EB13DE">
      <w:pPr>
        <w:pStyle w:val="ListParagraph"/>
        <w:numPr>
          <w:ilvl w:val="0"/>
          <w:numId w:val="2"/>
        </w:numPr>
        <w:rPr>
          <w:rFonts w:ascii="Bookman Old Style" w:eastAsia="Adobe Myungjo Std M" w:hAnsi="Bookman Old Style"/>
          <w:b/>
          <w:szCs w:val="18"/>
        </w:rPr>
      </w:pPr>
      <w:r w:rsidRPr="0054671B">
        <w:rPr>
          <w:rFonts w:ascii="Bookman Old Style" w:eastAsia="Adobe Myungjo Std M" w:hAnsi="Bookman Old Style" w:hint="eastAsia"/>
          <w:b/>
          <w:szCs w:val="18"/>
        </w:rPr>
        <w:t>M</w:t>
      </w:r>
      <w:r w:rsidRPr="0054671B">
        <w:rPr>
          <w:rFonts w:ascii="Bookman Old Style" w:eastAsia="Adobe Myungjo Std M" w:hAnsi="Bookman Old Style"/>
          <w:b/>
          <w:szCs w:val="18"/>
        </w:rPr>
        <w:t>ethods and data</w:t>
      </w:r>
    </w:p>
    <w:p w14:paraId="7E4BFC15" w14:textId="6AAC52A0" w:rsidR="00F06AAD" w:rsidRPr="0054671B" w:rsidRDefault="00F06AAD" w:rsidP="00F06AAD">
      <w:pPr>
        <w:pStyle w:val="ListParagraph"/>
        <w:numPr>
          <w:ilvl w:val="1"/>
          <w:numId w:val="2"/>
        </w:numPr>
        <w:rPr>
          <w:rFonts w:ascii="Bookman Old Style" w:eastAsia="Adobe Myungjo Std M" w:hAnsi="Bookman Old Style"/>
          <w:b/>
          <w:szCs w:val="18"/>
        </w:rPr>
      </w:pPr>
      <w:r w:rsidRPr="0054671B">
        <w:rPr>
          <w:rFonts w:ascii="Bookman Old Style" w:eastAsia="Adobe Myungjo Std M" w:hAnsi="Bookman Old Style"/>
          <w:b/>
          <w:szCs w:val="18"/>
        </w:rPr>
        <w:t>Econometric methods</w:t>
      </w:r>
    </w:p>
    <w:p w14:paraId="6C69A79A" w14:textId="3BAE75F2" w:rsidR="00F04063" w:rsidRPr="0054671B" w:rsidRDefault="00ED3D31" w:rsidP="00F06AAD">
      <w:pPr>
        <w:pStyle w:val="ListParagraph"/>
        <w:numPr>
          <w:ilvl w:val="2"/>
          <w:numId w:val="2"/>
        </w:numPr>
        <w:ind w:left="1418" w:hanging="709"/>
        <w:rPr>
          <w:rFonts w:ascii="Bookman Old Style" w:eastAsia="Adobe Myungjo Std M" w:hAnsi="Bookman Old Style"/>
          <w:b/>
          <w:szCs w:val="18"/>
        </w:rPr>
      </w:pPr>
      <w:r w:rsidRPr="0054671B">
        <w:rPr>
          <w:rFonts w:ascii="Bookman Old Style" w:eastAsia="Adobe Myungjo Std M" w:hAnsi="Bookman Old Style"/>
          <w:b/>
          <w:szCs w:val="18"/>
        </w:rPr>
        <w:t xml:space="preserve">Testing </w:t>
      </w:r>
      <w:r w:rsidR="00B51CB2" w:rsidRPr="0054671B">
        <w:rPr>
          <w:rFonts w:ascii="Bookman Old Style" w:eastAsia="Adobe Myungjo Std M" w:hAnsi="Bookman Old Style"/>
          <w:b/>
          <w:szCs w:val="18"/>
        </w:rPr>
        <w:t>for club convergence</w:t>
      </w:r>
    </w:p>
    <w:p w14:paraId="038EB669" w14:textId="77777777" w:rsidR="00F06AAD" w:rsidRPr="0054671B" w:rsidRDefault="00F06AAD" w:rsidP="00F06AAD">
      <w:pPr>
        <w:pStyle w:val="ListParagraph"/>
        <w:spacing w:line="360" w:lineRule="auto"/>
        <w:jc w:val="both"/>
      </w:pPr>
    </w:p>
    <w:p w14:paraId="19A10893" w14:textId="51660EE3" w:rsidR="00ED3D31" w:rsidRPr="0054671B" w:rsidRDefault="00E04E67" w:rsidP="00EF4F90">
      <w:pPr>
        <w:pStyle w:val="ListParagraph"/>
        <w:spacing w:line="360" w:lineRule="auto"/>
        <w:jc w:val="both"/>
      </w:pPr>
      <w:r w:rsidRPr="0054671B">
        <w:t xml:space="preserve">Without </w:t>
      </w:r>
      <w:r w:rsidR="008A45CA" w:rsidRPr="0054671B">
        <w:t xml:space="preserve">the </w:t>
      </w:r>
      <w:r w:rsidRPr="0054671B">
        <w:t>necessity to have co-integration in time series, t</w:t>
      </w:r>
      <w:r w:rsidR="00ED3D31" w:rsidRPr="0054671B">
        <w:t>he log</w:t>
      </w:r>
      <w:r w:rsidR="00ED3D31" w:rsidRPr="0054671B">
        <w:rPr>
          <w:i/>
          <w:iCs/>
        </w:rPr>
        <w:t xml:space="preserve"> t</w:t>
      </w:r>
      <w:r w:rsidR="00746EEF" w:rsidRPr="0054671B">
        <w:t>-</w:t>
      </w:r>
      <w:r w:rsidR="00ED3D31" w:rsidRPr="0054671B">
        <w:t xml:space="preserve">test developed by </w:t>
      </w:r>
      <w:r w:rsidR="00ED3D31" w:rsidRPr="0054671B">
        <w:fldChar w:fldCharType="begin"/>
      </w:r>
      <w:r w:rsidR="004C42BA" w:rsidRPr="0054671B">
        <w:instrText xml:space="preserve"> ADDIN ZOTERO_ITEM CSL_CITATION {"citationID":"F1bFneB8","properties":{"formattedCitation":"(Phillips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ED3D31" w:rsidRPr="0054671B">
        <w:fldChar w:fldCharType="separate"/>
      </w:r>
      <w:r w:rsidR="00ED3D31" w:rsidRPr="0054671B">
        <w:rPr>
          <w:rFonts w:ascii="Calibri" w:hAnsi="Calibri" w:cs="Calibri"/>
        </w:rPr>
        <w:t>Phillips &amp; Sul (2007)</w:t>
      </w:r>
      <w:r w:rsidR="00ED3D31" w:rsidRPr="0054671B">
        <w:fldChar w:fldCharType="end"/>
      </w:r>
      <w:r w:rsidR="00ED3D31" w:rsidRPr="0054671B">
        <w:t xml:space="preserve"> </w:t>
      </w:r>
      <w:r w:rsidR="00746EEF" w:rsidRPr="0054671B">
        <w:t>can</w:t>
      </w:r>
      <w:r w:rsidR="00ED3D31" w:rsidRPr="0054671B">
        <w:t xml:space="preserve"> investigate the existence of multiple convergence clubs </w:t>
      </w:r>
      <w:r w:rsidR="00254038" w:rsidRPr="0054671B">
        <w:fldChar w:fldCharType="begin"/>
      </w:r>
      <w:r w:rsidR="00254038" w:rsidRPr="0054671B">
        <w:instrText xml:space="preserve"> ADDIN ZOTERO_ITEM CSL_CITATION {"citationID":"T95Z5mDM","properties":{"formattedCitation":"(Bartkowska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254038" w:rsidRPr="0054671B">
        <w:fldChar w:fldCharType="separate"/>
      </w:r>
      <w:r w:rsidR="00254038" w:rsidRPr="0054671B">
        <w:rPr>
          <w:rFonts w:ascii="Calibri" w:hAnsi="Calibri" w:cs="Calibri"/>
        </w:rPr>
        <w:t>(Bartkowska &amp; Riedl, 2012)</w:t>
      </w:r>
      <w:r w:rsidR="00254038" w:rsidRPr="0054671B">
        <w:fldChar w:fldCharType="end"/>
      </w:r>
      <w:r w:rsidR="00254038" w:rsidRPr="0054671B">
        <w:t>. In other words,</w:t>
      </w:r>
      <w:r w:rsidRPr="0054671B">
        <w:t xml:space="preserve"> although the evidence of </w:t>
      </w:r>
      <w:r w:rsidR="00ED3D31" w:rsidRPr="0054671B">
        <w:t>co-integrat</w:t>
      </w:r>
      <w:r w:rsidRPr="0054671B">
        <w:t>ed in time series is lack</w:t>
      </w:r>
      <w:r w:rsidR="004B6315" w:rsidRPr="0054671B">
        <w:t>ing</w:t>
      </w:r>
      <w:r w:rsidRPr="0054671B">
        <w:t>, it does not automatically disprove convergence</w:t>
      </w:r>
      <w:r w:rsidR="00ED3D31" w:rsidRPr="0054671B">
        <w:t xml:space="preserve">. </w:t>
      </w:r>
      <w:r w:rsidR="00254038" w:rsidRPr="0054671B">
        <w:t>With</w:t>
      </w:r>
      <w:r w:rsidR="00ED3D31" w:rsidRPr="0054671B">
        <w:t xml:space="preserve"> thi</w:t>
      </w:r>
      <w:r w:rsidR="00254038" w:rsidRPr="0054671B">
        <w:t xml:space="preserve">s advantage, </w:t>
      </w:r>
      <w:r w:rsidR="002854EA" w:rsidRPr="0054671B">
        <w:t>many</w:t>
      </w:r>
      <w:r w:rsidR="00254038" w:rsidRPr="0054671B">
        <w:t xml:space="preserve"> researchers have applied the method</w:t>
      </w:r>
      <w:r w:rsidR="00ED3D31" w:rsidRPr="0054671B">
        <w:t xml:space="preserve"> in </w:t>
      </w:r>
      <w:r w:rsidR="00254038" w:rsidRPr="0054671B">
        <w:t xml:space="preserve">various </w:t>
      </w:r>
      <w:r w:rsidR="00ED3D31" w:rsidRPr="0054671B">
        <w:t>convergence analys</w:t>
      </w:r>
      <w:r w:rsidR="00254038" w:rsidRPr="0054671B">
        <w:t>e</w:t>
      </w:r>
      <w:r w:rsidR="00ED3D31" w:rsidRPr="0054671B">
        <w:t>s</w:t>
      </w:r>
      <w:r w:rsidR="00254038" w:rsidRPr="0054671B">
        <w:t xml:space="preserve"> on different focuses</w:t>
      </w:r>
      <w:r w:rsidR="009A37AB" w:rsidRPr="0054671B">
        <w:t>,</w:t>
      </w:r>
      <w:r w:rsidR="00254038" w:rsidRPr="0054671B">
        <w:t xml:space="preserve"> including</w:t>
      </w:r>
      <w:r w:rsidR="00ED3D31" w:rsidRPr="0054671B">
        <w:t xml:space="preserve"> income, </w:t>
      </w:r>
      <w:r w:rsidR="00254038" w:rsidRPr="0054671B">
        <w:t xml:space="preserve">productivity, </w:t>
      </w:r>
      <w:r w:rsidR="00ED3D31" w:rsidRPr="0054671B">
        <w:t>financial development</w:t>
      </w:r>
      <w:r w:rsidR="009A37AB" w:rsidRPr="0054671B">
        <w:t>,</w:t>
      </w:r>
      <w:r w:rsidR="00ED3D31" w:rsidRPr="0054671B">
        <w:t xml:space="preserve"> </w:t>
      </w:r>
      <w:r w:rsidR="00254038" w:rsidRPr="0054671B">
        <w:t>and other social</w:t>
      </w:r>
      <w:r w:rsidR="009A37AB" w:rsidRPr="0054671B">
        <w:t>-</w:t>
      </w:r>
      <w:r w:rsidR="00254038" w:rsidRPr="0054671B">
        <w:t>economic indicators.</w:t>
      </w:r>
    </w:p>
    <w:p w14:paraId="39450F9B" w14:textId="0F3DDB99" w:rsidR="00F06AAD" w:rsidRPr="0054671B" w:rsidRDefault="00F06AAD" w:rsidP="00ED3D31">
      <w:pPr>
        <w:pStyle w:val="ListParagraph"/>
        <w:spacing w:line="360" w:lineRule="auto"/>
        <w:ind w:firstLine="720"/>
        <w:jc w:val="both"/>
        <w:rPr>
          <w:b/>
        </w:rPr>
      </w:pPr>
      <w:r w:rsidRPr="0054671B">
        <w:t>T</w:t>
      </w:r>
      <w:r w:rsidR="00EF4F90" w:rsidRPr="0054671B">
        <w:t xml:space="preserve">o identify the presence of club convergence </w:t>
      </w:r>
      <w:r w:rsidR="002E1B25" w:rsidRPr="0054671B">
        <w:t>on</w:t>
      </w:r>
      <w:r w:rsidR="00EF4F90" w:rsidRPr="0054671B">
        <w:t xml:space="preserve"> regional wage, in t</w:t>
      </w:r>
      <w:r w:rsidRPr="0054671B">
        <w:t>his study</w:t>
      </w:r>
      <w:r w:rsidR="0055597E" w:rsidRPr="0054671B">
        <w:t>,</w:t>
      </w:r>
      <w:r w:rsidRPr="0054671B">
        <w:t xml:space="preserve"> </w:t>
      </w:r>
      <w:r w:rsidR="00EF4F90" w:rsidRPr="0054671B">
        <w:t>we apply</w:t>
      </w:r>
      <w:r w:rsidRPr="0054671B">
        <w:t xml:space="preserve"> the </w:t>
      </w:r>
      <w:r w:rsidR="00EF4F90" w:rsidRPr="0054671B">
        <w:t>modern</w:t>
      </w:r>
      <w:r w:rsidRPr="0054671B">
        <w:t xml:space="preserve"> </w:t>
      </w:r>
      <w:r w:rsidR="00EB1EF6" w:rsidRPr="0054671B">
        <w:t>test</w:t>
      </w:r>
      <w:r w:rsidRPr="0054671B">
        <w:t xml:space="preserve"> of club convergence by </w:t>
      </w:r>
      <w:r w:rsidRPr="0054671B">
        <w:fldChar w:fldCharType="begin"/>
      </w:r>
      <w:r w:rsidRPr="0054671B">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54671B">
        <w:fldChar w:fldCharType="separate"/>
      </w:r>
      <w:r w:rsidRPr="0054671B">
        <w:t>Phillips and Sul (2007</w:t>
      </w:r>
      <w:r w:rsidRPr="0054671B">
        <w:fldChar w:fldCharType="end"/>
      </w:r>
      <w:r w:rsidRPr="0054671B">
        <w:t xml:space="preserve">). </w:t>
      </w:r>
      <w:r w:rsidR="00EF4F90" w:rsidRPr="0054671B">
        <w:t>According to the model,</w:t>
      </w:r>
      <w:r w:rsidR="00EB1EF6" w:rsidRPr="0054671B">
        <w:t xml:space="preserve"> we consider a p</w:t>
      </w:r>
      <w:r w:rsidRPr="0054671B">
        <w:t>anel-data variable, for instance,</w:t>
      </w:r>
      <w:r w:rsidR="00EB1EF6" w:rsidRPr="0054671B">
        <w:t xml:space="preserv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it</m:t>
            </m:r>
          </m:sub>
        </m:sSub>
      </m:oMath>
      <w:r w:rsidR="00EB1EF6" w:rsidRPr="0054671B">
        <w:t xml:space="preserve"> is expressed as</w:t>
      </w:r>
      <w:r w:rsidRPr="0054671B">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54671B" w14:paraId="1E3BB63B" w14:textId="77777777" w:rsidTr="00F06AAD">
        <w:tc>
          <w:tcPr>
            <w:tcW w:w="8080" w:type="dxa"/>
          </w:tcPr>
          <w:p w14:paraId="53A11B17" w14:textId="2B2C6BE2" w:rsidR="00F06AAD" w:rsidRPr="0054671B" w:rsidRDefault="00F06AAD" w:rsidP="00971B36">
            <w:pPr>
              <w:pStyle w:val="BodyText"/>
              <w:ind w:rightChars="959" w:right="2110"/>
              <w:rPr>
                <w:b w:val="0"/>
                <w:sz w:val="21"/>
                <w:szCs w:val="21"/>
              </w:rPr>
            </w:pPr>
            <w:r w:rsidRPr="0054671B">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004F0B4D" w:rsidR="00F06AAD" w:rsidRPr="0054671B" w:rsidRDefault="00F06AAD" w:rsidP="00971B36">
            <w:pPr>
              <w:pStyle w:val="BodyText"/>
              <w:tabs>
                <w:tab w:val="left" w:pos="0"/>
              </w:tabs>
              <w:ind w:rightChars="12" w:right="26"/>
              <w:jc w:val="right"/>
              <w:rPr>
                <w:b w:val="0"/>
                <w:sz w:val="21"/>
                <w:szCs w:val="21"/>
              </w:rPr>
            </w:pPr>
            <w:r w:rsidRPr="0054671B">
              <w:rPr>
                <w:b w:val="0"/>
                <w:sz w:val="21"/>
                <w:szCs w:val="21"/>
              </w:rPr>
              <w:t>(</w:t>
            </w:r>
            <w:r w:rsidR="00EF4F90" w:rsidRPr="0054671B">
              <w:rPr>
                <w:b w:val="0"/>
                <w:sz w:val="21"/>
                <w:szCs w:val="21"/>
              </w:rPr>
              <w:t>1</w:t>
            </w:r>
            <w:r w:rsidRPr="0054671B">
              <w:rPr>
                <w:b w:val="0"/>
                <w:sz w:val="21"/>
                <w:szCs w:val="21"/>
              </w:rPr>
              <w:t>)</w:t>
            </w:r>
          </w:p>
        </w:tc>
      </w:tr>
    </w:tbl>
    <w:p w14:paraId="66077EC5" w14:textId="77777777" w:rsidR="00F06AAD" w:rsidRPr="0054671B" w:rsidRDefault="00F06AAD" w:rsidP="00F06AAD">
      <w:pPr>
        <w:pStyle w:val="BodyText"/>
        <w:jc w:val="both"/>
        <w:rPr>
          <w:b w:val="0"/>
          <w:sz w:val="21"/>
          <w:szCs w:val="21"/>
        </w:rPr>
      </w:pPr>
    </w:p>
    <w:p w14:paraId="24716CE2" w14:textId="4D65102F" w:rsidR="00F06AAD" w:rsidRPr="0054671B" w:rsidRDefault="007672B9" w:rsidP="007672B9">
      <w:pPr>
        <w:pStyle w:val="BodyText"/>
        <w:spacing w:line="360" w:lineRule="auto"/>
        <w:ind w:left="720"/>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rPr>
        <w:t>w</w:t>
      </w:r>
      <w:r w:rsidRPr="0054671B">
        <w:rPr>
          <w:rFonts w:asciiTheme="minorHAnsi" w:eastAsiaTheme="minorEastAsia" w:hAnsiTheme="minorHAnsi" w:cstheme="minorBidi"/>
          <w:b w:val="0"/>
          <w:sz w:val="22"/>
          <w:szCs w:val="22"/>
          <w:lang w:val="en-US"/>
        </w:rPr>
        <w:t xml:space="preserve">here </w:t>
      </w:r>
      <w:r w:rsidRPr="0054671B">
        <w:rPr>
          <w:rFonts w:asciiTheme="minorHAnsi" w:eastAsiaTheme="minorEastAsia" w:hAnsiTheme="minorHAnsi" w:cstheme="minorBidi"/>
          <w:b w:val="0"/>
          <w:i/>
          <w:iCs/>
          <w:sz w:val="22"/>
          <w:szCs w:val="22"/>
          <w:lang w:val="en-US"/>
        </w:rPr>
        <w:t xml:space="preserve">i </w:t>
      </w:r>
      <w:r w:rsidRPr="0054671B">
        <w:rPr>
          <w:rFonts w:asciiTheme="minorHAnsi" w:eastAsiaTheme="minorEastAsia" w:hAnsiTheme="minorHAnsi" w:cstheme="minorBidi"/>
          <w:b w:val="0"/>
          <w:sz w:val="22"/>
          <w:szCs w:val="22"/>
          <w:lang w:val="en-US"/>
        </w:rPr>
        <w:t xml:space="preserve">refers to individual unit ​1, 2, …., </w:t>
      </w:r>
      <w:r w:rsidRPr="0054671B">
        <w:rPr>
          <w:rFonts w:asciiTheme="minorHAnsi" w:eastAsiaTheme="minorEastAsia" w:hAnsiTheme="minorHAnsi" w:cstheme="minorBidi"/>
          <w:b w:val="0"/>
          <w:i/>
          <w:iCs/>
          <w:sz w:val="22"/>
          <w:szCs w:val="22"/>
          <w:lang w:val="en-US"/>
        </w:rPr>
        <w:t>N</w:t>
      </w:r>
      <w:r w:rsidRPr="0054671B">
        <w:rPr>
          <w:rFonts w:asciiTheme="minorHAnsi" w:eastAsiaTheme="minorEastAsia" w:hAnsiTheme="minorHAnsi" w:cstheme="minorBidi"/>
          <w:b w:val="0"/>
          <w:sz w:val="22"/>
          <w:szCs w:val="22"/>
          <w:lang w:val="en-US"/>
        </w:rPr>
        <w:t xml:space="preserve"> across time </w:t>
      </w:r>
      <w:r w:rsidRPr="0054671B">
        <w:rPr>
          <w:rFonts w:asciiTheme="minorHAnsi" w:eastAsiaTheme="minorEastAsia" w:hAnsiTheme="minorHAnsi" w:cstheme="minorBidi"/>
          <w:b w:val="0"/>
          <w:i/>
          <w:iCs/>
          <w:sz w:val="22"/>
          <w:szCs w:val="22"/>
          <w:lang w:val="en-US"/>
        </w:rPr>
        <w:t>t</w:t>
      </w:r>
      <w:r w:rsidRPr="0054671B">
        <w:rPr>
          <w:rFonts w:asciiTheme="minorHAnsi" w:eastAsiaTheme="minorEastAsia" w:hAnsiTheme="minorHAnsi" w:cstheme="minorBidi"/>
          <w:b w:val="0"/>
          <w:sz w:val="22"/>
          <w:szCs w:val="22"/>
          <w:lang w:val="en-US"/>
        </w:rPr>
        <w:t xml:space="preserve"> ​= ​1, 2, …, </w:t>
      </w:r>
      <w:r w:rsidRPr="0054671B">
        <w:rPr>
          <w:rFonts w:asciiTheme="minorHAnsi" w:eastAsiaTheme="minorEastAsia" w:hAnsiTheme="minorHAnsi" w:cstheme="minorBidi"/>
          <w:b w:val="0"/>
          <w:i/>
          <w:iCs/>
          <w:sz w:val="22"/>
          <w:szCs w:val="22"/>
          <w:lang w:val="en-US"/>
        </w:rPr>
        <w:t>T</w:t>
      </w:r>
      <w:r w:rsidRPr="0054671B">
        <w:rPr>
          <w:rFonts w:asciiTheme="minorHAnsi" w:eastAsiaTheme="minorEastAsia" w:hAnsiTheme="minorHAnsi" w:cstheme="minorBidi"/>
          <w:b w:val="0"/>
          <w:sz w:val="22"/>
          <w:szCs w:val="22"/>
          <w:lang w:val="en-US"/>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oMath>
      <w:r w:rsidRPr="0054671B">
        <w:rPr>
          <w:rFonts w:asciiTheme="minorHAnsi" w:eastAsiaTheme="minorEastAsia" w:hAnsiTheme="minorHAnsi" w:cstheme="minorBidi" w:hint="eastAsia"/>
          <w:b w:val="0"/>
          <w:sz w:val="21"/>
          <w:szCs w:val="21"/>
        </w:rPr>
        <w:t xml:space="preserve"> </w:t>
      </w:r>
      <w:r w:rsidRPr="0054671B">
        <w:rPr>
          <w:rFonts w:asciiTheme="minorHAnsi" w:eastAsiaTheme="minorEastAsia" w:hAnsiTheme="minorHAnsi" w:cstheme="minorBidi"/>
          <w:b w:val="0"/>
          <w:sz w:val="21"/>
          <w:szCs w:val="21"/>
        </w:rPr>
        <w:t>is the dependent variable,</w:t>
      </w:r>
      <w:r w:rsidRPr="0054671B">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54671B">
        <w:rPr>
          <w:rFonts w:asciiTheme="minorHAnsi" w:eastAsiaTheme="minorEastAsia" w:hAnsiTheme="minorHAnsi" w:cstheme="minorBidi"/>
          <w:b w:val="0"/>
          <w:sz w:val="22"/>
          <w:szCs w:val="22"/>
          <w:lang w:val="en-US"/>
        </w:rPr>
        <w:t xml:space="preserve"> indicates </w:t>
      </w:r>
      <w:r w:rsidRPr="0054671B">
        <w:rPr>
          <w:rFonts w:asciiTheme="minorHAnsi" w:eastAsiaTheme="minorEastAsia" w:hAnsiTheme="minorHAnsi" w:cstheme="minorBidi"/>
          <w:b w:val="0"/>
          <w:sz w:val="22"/>
          <w:szCs w:val="22"/>
          <w:lang w:val="en-US"/>
        </w:rPr>
        <w:t>individual unit and time</w:t>
      </w:r>
      <w:r w:rsidR="00F06AAD" w:rsidRPr="0054671B">
        <w:rPr>
          <w:rFonts w:asciiTheme="minorHAnsi" w:eastAsiaTheme="minorEastAsia" w:hAnsiTheme="minorHAnsi" w:cstheme="minorBidi"/>
          <w:b w:val="0"/>
          <w:sz w:val="22"/>
          <w:szCs w:val="22"/>
          <w:lang w:val="en-US"/>
        </w:rPr>
        <w:t>-specific component</w:t>
      </w:r>
      <w:r w:rsidRPr="0054671B">
        <w:rPr>
          <w:rFonts w:asciiTheme="minorHAnsi" w:eastAsiaTheme="minorEastAsia" w:hAnsiTheme="minorHAnsi" w:cstheme="minorBidi"/>
          <w:b w:val="0"/>
          <w:sz w:val="22"/>
          <w:szCs w:val="22"/>
          <w:lang w:val="en-US"/>
        </w:rPr>
        <w:t xml:space="preserve"> or</w:t>
      </w:r>
      <w:r w:rsidR="00F06AAD" w:rsidRPr="0054671B">
        <w:rPr>
          <w:rFonts w:asciiTheme="minorHAnsi" w:eastAsiaTheme="minorEastAsia" w:hAnsiTheme="minorHAnsi" w:cstheme="minorBidi"/>
          <w:b w:val="0"/>
          <w:sz w:val="22"/>
          <w:szCs w:val="22"/>
          <w:lang w:val="en-US"/>
        </w:rPr>
        <w:t xml:space="preserve">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00F06AAD" w:rsidRPr="0054671B">
        <w:rPr>
          <w:rFonts w:asciiTheme="minorHAnsi" w:eastAsiaTheme="minorEastAsia" w:hAnsiTheme="minorHAnsi" w:cstheme="minorBidi"/>
          <w:b w:val="0"/>
          <w:sz w:val="22"/>
          <w:szCs w:val="22"/>
          <w:lang w:val="en-US"/>
        </w:rPr>
        <w:t xml:space="preserve"> </w:t>
      </w:r>
      <w:r w:rsidRPr="0054671B">
        <w:rPr>
          <w:rFonts w:asciiTheme="minorHAnsi" w:eastAsiaTheme="minorEastAsia" w:hAnsiTheme="minorHAnsi" w:cstheme="minorBidi"/>
          <w:b w:val="0"/>
          <w:sz w:val="22"/>
          <w:szCs w:val="22"/>
          <w:lang w:val="en-US"/>
        </w:rPr>
        <w:t xml:space="preserve">is not unit-specific and thus </w:t>
      </w:r>
      <w:r w:rsidR="00A900C2" w:rsidRPr="0054671B">
        <w:rPr>
          <w:rFonts w:asciiTheme="minorHAnsi" w:eastAsiaTheme="minorEastAsia" w:hAnsiTheme="minorHAnsi" w:cstheme="minorBidi"/>
          <w:b w:val="0"/>
          <w:sz w:val="22"/>
          <w:szCs w:val="22"/>
          <w:lang w:val="en-US"/>
        </w:rPr>
        <w:t>characterize</w:t>
      </w:r>
      <w:r w:rsidR="00431293" w:rsidRPr="0054671B">
        <w:rPr>
          <w:rFonts w:asciiTheme="minorHAnsi" w:eastAsiaTheme="minorEastAsia" w:hAnsiTheme="minorHAnsi" w:cstheme="minorBidi"/>
          <w:b w:val="0"/>
          <w:sz w:val="22"/>
          <w:szCs w:val="22"/>
          <w:lang w:val="en-US"/>
        </w:rPr>
        <w:t>s</w:t>
      </w:r>
      <w:r w:rsidR="00F06AAD" w:rsidRPr="0054671B">
        <w:rPr>
          <w:rFonts w:asciiTheme="minorHAnsi" w:eastAsiaTheme="minorEastAsia" w:hAnsiTheme="minorHAnsi" w:cstheme="minorBidi"/>
          <w:b w:val="0"/>
          <w:sz w:val="22"/>
          <w:szCs w:val="22"/>
          <w:lang w:val="en-US"/>
        </w:rPr>
        <w:t xml:space="preserve"> the common </w:t>
      </w:r>
      <w:r w:rsidR="00A900C2" w:rsidRPr="0054671B">
        <w:rPr>
          <w:rFonts w:asciiTheme="minorHAnsi" w:eastAsiaTheme="minorEastAsia" w:hAnsiTheme="minorHAnsi" w:cstheme="minorBidi"/>
          <w:b w:val="0"/>
          <w:sz w:val="22"/>
          <w:szCs w:val="22"/>
          <w:lang w:val="en-US"/>
        </w:rPr>
        <w:t>pattern</w:t>
      </w:r>
      <w:r w:rsidR="00F06AAD" w:rsidRPr="0054671B">
        <w:rPr>
          <w:rFonts w:asciiTheme="minorHAnsi" w:eastAsiaTheme="minorEastAsia" w:hAnsiTheme="minorHAnsi" w:cstheme="minorBidi"/>
          <w:b w:val="0"/>
          <w:sz w:val="22"/>
          <w:szCs w:val="22"/>
          <w:lang w:val="en-US"/>
        </w:rPr>
        <w:t xml:space="preserv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00F06AAD" w:rsidRPr="0054671B">
        <w:rPr>
          <w:rFonts w:asciiTheme="minorHAnsi" w:eastAsiaTheme="minorEastAsia" w:hAnsiTheme="minorHAnsi" w:cstheme="minorBidi"/>
          <w:b w:val="0"/>
          <w:sz w:val="22"/>
          <w:szCs w:val="22"/>
          <w:lang w:val="en-US"/>
        </w:rPr>
        <w:t xml:space="preserve">. </w:t>
      </w:r>
      <w:r w:rsidR="00A900C2" w:rsidRPr="0054671B">
        <w:rPr>
          <w:rFonts w:asciiTheme="minorHAnsi" w:eastAsiaTheme="minorEastAsia" w:hAnsiTheme="minorHAnsi" w:cstheme="minorBidi"/>
          <w:b w:val="0"/>
          <w:sz w:val="22"/>
          <w:szCs w:val="22"/>
          <w:lang w:val="en-US"/>
        </w:rPr>
        <w:t>T</w:t>
      </w:r>
      <w:r w:rsidR="00F06AAD" w:rsidRPr="0054671B">
        <w:rPr>
          <w:rFonts w:asciiTheme="minorHAnsi" w:eastAsiaTheme="minorEastAsia" w:hAnsiTheme="minorHAnsi" w:cstheme="minorBidi"/>
          <w:b w:val="0"/>
          <w:sz w:val="22"/>
          <w:szCs w:val="22"/>
          <w:lang w:val="en-US"/>
        </w:rPr>
        <w:t xml:space="preserve">he dynamics of the idiosyncratic </w:t>
      </w:r>
      <w:r w:rsidR="00A900C2" w:rsidRPr="0054671B">
        <w:rPr>
          <w:rFonts w:asciiTheme="minorHAnsi" w:eastAsiaTheme="minorEastAsia" w:hAnsiTheme="minorHAnsi" w:cstheme="minorBidi"/>
          <w:b w:val="0"/>
          <w:sz w:val="22"/>
          <w:szCs w:val="22"/>
          <w:lang w:val="en-US"/>
        </w:rPr>
        <w:t>element</w:t>
      </w:r>
      <w:r w:rsidR="00F06AAD" w:rsidRPr="0054671B">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54671B">
        <w:rPr>
          <w:rFonts w:asciiTheme="minorHAnsi" w:eastAsiaTheme="minorEastAsia" w:hAnsiTheme="minorHAnsi" w:cstheme="minorBidi"/>
          <w:b w:val="0"/>
          <w:sz w:val="22"/>
          <w:szCs w:val="22"/>
          <w:lang w:val="en-US"/>
        </w:rPr>
        <w:t xml:space="preserve">, </w:t>
      </w:r>
      <w:r w:rsidR="00ED3D31" w:rsidRPr="0054671B">
        <w:rPr>
          <w:rFonts w:asciiTheme="minorHAnsi" w:eastAsiaTheme="minorEastAsia" w:hAnsiTheme="minorHAnsi" w:cstheme="minorBidi"/>
          <w:b w:val="0"/>
          <w:sz w:val="22"/>
          <w:szCs w:val="22"/>
          <w:lang w:val="en-US"/>
        </w:rPr>
        <w:t>can be expressed as</w:t>
      </w:r>
      <w:r w:rsidR="00F06AAD" w:rsidRPr="0054671B">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54671B" w14:paraId="3809370E" w14:textId="77777777" w:rsidTr="00E1186E">
        <w:tc>
          <w:tcPr>
            <w:tcW w:w="8080" w:type="dxa"/>
          </w:tcPr>
          <w:p w14:paraId="64010D96" w14:textId="77777777" w:rsidR="00E1186E" w:rsidRPr="0054671B" w:rsidRDefault="00E1186E" w:rsidP="00971B36">
            <w:pPr>
              <w:pStyle w:val="BodyText"/>
              <w:ind w:rightChars="959" w:right="2110"/>
              <w:rPr>
                <w:b w:val="0"/>
                <w:sz w:val="21"/>
                <w:szCs w:val="21"/>
              </w:rPr>
            </w:pPr>
            <w:r w:rsidRPr="0054671B">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06E0059C" w:rsidR="00E1186E" w:rsidRPr="0054671B" w:rsidRDefault="00E1186E" w:rsidP="00971B36">
            <w:pPr>
              <w:pStyle w:val="BodyText"/>
              <w:tabs>
                <w:tab w:val="left" w:pos="0"/>
              </w:tabs>
              <w:ind w:rightChars="12" w:right="26"/>
              <w:jc w:val="right"/>
              <w:rPr>
                <w:b w:val="0"/>
                <w:sz w:val="21"/>
                <w:szCs w:val="21"/>
              </w:rPr>
            </w:pPr>
            <w:r w:rsidRPr="0054671B">
              <w:rPr>
                <w:b w:val="0"/>
                <w:sz w:val="21"/>
                <w:szCs w:val="21"/>
              </w:rPr>
              <w:t>(</w:t>
            </w:r>
            <w:r w:rsidR="00ED3D31" w:rsidRPr="0054671B">
              <w:rPr>
                <w:b w:val="0"/>
                <w:sz w:val="21"/>
                <w:szCs w:val="21"/>
              </w:rPr>
              <w:t>2</w:t>
            </w:r>
            <w:r w:rsidRPr="0054671B">
              <w:rPr>
                <w:b w:val="0"/>
                <w:sz w:val="21"/>
                <w:szCs w:val="21"/>
              </w:rPr>
              <w:t>)</w:t>
            </w:r>
          </w:p>
        </w:tc>
      </w:tr>
    </w:tbl>
    <w:p w14:paraId="72110C51" w14:textId="77777777" w:rsidR="00E1186E" w:rsidRPr="0054671B" w:rsidRDefault="00E1186E" w:rsidP="00E1186E">
      <w:pPr>
        <w:pStyle w:val="BodyText"/>
        <w:jc w:val="both"/>
        <w:rPr>
          <w:b w:val="0"/>
          <w:sz w:val="21"/>
          <w:szCs w:val="21"/>
        </w:rPr>
      </w:pPr>
    </w:p>
    <w:p w14:paraId="7F434B90" w14:textId="15A40261" w:rsidR="00F06AAD" w:rsidRPr="0054671B"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54671B">
        <w:rPr>
          <w:rFonts w:asciiTheme="minorHAnsi" w:eastAsiaTheme="minorEastAsia" w:hAnsiTheme="minorHAnsi" w:cstheme="minorBidi"/>
          <w:b w:val="0"/>
          <w:sz w:val="22"/>
          <w:szCs w:val="22"/>
          <w:lang w:val="en-US"/>
        </w:rPr>
        <w:t xml:space="preserve"> </w:t>
      </w:r>
      <w:r w:rsidR="00777B97" w:rsidRPr="0054671B">
        <w:rPr>
          <w:rFonts w:asciiTheme="minorHAnsi" w:eastAsiaTheme="minorEastAsia" w:hAnsiTheme="minorHAnsi" w:cstheme="minorBidi"/>
          <w:b w:val="0"/>
          <w:sz w:val="22"/>
          <w:szCs w:val="22"/>
          <w:lang w:val="en-US"/>
        </w:rPr>
        <w:t xml:space="preserve">is </w:t>
      </w:r>
      <w:r w:rsidR="00E209C1" w:rsidRPr="0054671B">
        <w:rPr>
          <w:rFonts w:asciiTheme="minorHAnsi" w:eastAsiaTheme="minorEastAsia" w:hAnsiTheme="minorHAnsi" w:cstheme="minorBidi"/>
          <w:b w:val="0"/>
          <w:sz w:val="22"/>
          <w:szCs w:val="22"/>
          <w:lang w:val="en-US"/>
        </w:rPr>
        <w:t xml:space="preserve">a </w:t>
      </w:r>
      <w:r w:rsidR="00777B97" w:rsidRPr="0054671B">
        <w:rPr>
          <w:rFonts w:asciiTheme="minorHAnsi" w:eastAsiaTheme="minorEastAsia" w:hAnsiTheme="minorHAnsi" w:cstheme="minorBidi"/>
          <w:b w:val="0"/>
          <w:sz w:val="22"/>
          <w:szCs w:val="22"/>
          <w:lang w:val="en-US"/>
        </w:rPr>
        <w:t>time-invariant individual</w:t>
      </w:r>
      <w:r w:rsidR="00E209C1" w:rsidRPr="0054671B">
        <w:rPr>
          <w:rFonts w:asciiTheme="minorHAnsi" w:eastAsiaTheme="minorEastAsia" w:hAnsiTheme="minorHAnsi" w:cstheme="minorBidi"/>
          <w:b w:val="0"/>
          <w:sz w:val="22"/>
          <w:szCs w:val="22"/>
          <w:lang w:val="en-US"/>
        </w:rPr>
        <w:t>-</w:t>
      </w:r>
      <w:r w:rsidR="00777B97" w:rsidRPr="0054671B">
        <w:rPr>
          <w:rFonts w:asciiTheme="minorHAnsi" w:eastAsiaTheme="minorEastAsia" w:hAnsiTheme="minorHAnsi" w:cstheme="minorBidi"/>
          <w:b w:val="0"/>
          <w:sz w:val="22"/>
          <w:szCs w:val="22"/>
          <w:lang w:val="en-US"/>
        </w:rPr>
        <w:t>specific effect</w:t>
      </w:r>
      <w:r w:rsidRPr="0054671B">
        <w:rPr>
          <w:rFonts w:asciiTheme="minorHAnsi" w:eastAsiaTheme="minorEastAsia" w:hAnsiTheme="minorHAnsi" w:cstheme="minorBidi"/>
          <w:b w:val="0"/>
          <w:sz w:val="22"/>
          <w:szCs w:val="22"/>
          <w:lang w:val="en-US"/>
        </w:rPr>
        <w:t xml:space="preserv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54671B">
        <w:rPr>
          <w:rFonts w:asciiTheme="minorHAnsi" w:eastAsiaTheme="minorEastAsia" w:hAnsiTheme="minorHAnsi" w:cstheme="minorBidi"/>
          <w:b w:val="0"/>
          <w:sz w:val="22"/>
          <w:szCs w:val="22"/>
          <w:lang w:val="en-US"/>
        </w:rPr>
        <w:t xml:space="preserve"> is </w:t>
      </w:r>
      <w:r w:rsidR="00A900C2" w:rsidRPr="0054671B">
        <w:rPr>
          <w:rFonts w:asciiTheme="minorHAnsi" w:eastAsiaTheme="minorEastAsia" w:hAnsiTheme="minorHAnsi" w:cstheme="minorBidi"/>
          <w:b w:val="0"/>
          <w:sz w:val="22"/>
          <w:szCs w:val="22"/>
          <w:lang w:val="en-US"/>
        </w:rPr>
        <w:t>unnecessarily</w:t>
      </w:r>
      <w:r w:rsidR="00777B97" w:rsidRPr="0054671B">
        <w:rPr>
          <w:rFonts w:asciiTheme="minorHAnsi" w:eastAsiaTheme="minorEastAsia" w:hAnsiTheme="minorHAnsi" w:cstheme="minorBidi"/>
          <w:b w:val="0"/>
          <w:sz w:val="22"/>
          <w:szCs w:val="22"/>
          <w:lang w:val="en-US"/>
        </w:rPr>
        <w:t xml:space="preserve"> </w:t>
      </w:r>
      <w:r w:rsidR="00A900C2" w:rsidRPr="0054671B">
        <w:rPr>
          <w:rFonts w:asciiTheme="minorHAnsi" w:eastAsiaTheme="minorEastAsia" w:hAnsiTheme="minorHAnsi" w:cstheme="minorBidi"/>
          <w:b w:val="0"/>
          <w:sz w:val="22"/>
          <w:szCs w:val="22"/>
          <w:lang w:val="en-US"/>
        </w:rPr>
        <w:t xml:space="preserve">influenced by </w:t>
      </w:r>
      <w:r w:rsidRPr="0054671B">
        <w:rPr>
          <w:rFonts w:asciiTheme="minorHAnsi" w:eastAsiaTheme="minorEastAsia" w:hAnsiTheme="minorHAnsi" w:cstheme="minorBidi"/>
          <w:b w:val="0"/>
          <w:sz w:val="22"/>
          <w:szCs w:val="22"/>
          <w:lang w:val="en-US"/>
        </w:rPr>
        <w:t>tim</w:t>
      </w:r>
      <w:r w:rsidR="00A900C2" w:rsidRPr="0054671B">
        <w:rPr>
          <w:rFonts w:asciiTheme="minorHAnsi" w:eastAsiaTheme="minorEastAsia" w:hAnsiTheme="minorHAnsi" w:cstheme="minorBidi"/>
          <w:b w:val="0"/>
          <w:sz w:val="22"/>
          <w:szCs w:val="22"/>
          <w:lang w:val="en-US"/>
        </w:rPr>
        <w:t xml:space="preserve">e </w:t>
      </w:r>
      <w:r w:rsidRPr="0054671B">
        <w:rPr>
          <w:rFonts w:asciiTheme="minorHAnsi" w:eastAsiaTheme="minorEastAsia" w:hAnsiTheme="minorHAnsi" w:cstheme="minorBidi"/>
          <w:b w:val="0"/>
          <w:sz w:val="22"/>
          <w:szCs w:val="22"/>
          <w:lang w:val="en-US"/>
        </w:rPr>
        <w:t xml:space="preserve">with mean 0 and variance 1 across </w:t>
      </w:r>
      <w:r w:rsidR="00777B97" w:rsidRPr="0054671B">
        <w:rPr>
          <w:rFonts w:asciiTheme="minorHAnsi" w:eastAsiaTheme="minorEastAsia" w:hAnsiTheme="minorHAnsi" w:cstheme="minorBidi"/>
          <w:b w:val="0"/>
          <w:sz w:val="22"/>
          <w:szCs w:val="22"/>
          <w:lang w:val="en-US"/>
        </w:rPr>
        <w:t>individual units</w:t>
      </w:r>
      <w:r w:rsidRPr="0054671B">
        <w:rPr>
          <w:rFonts w:asciiTheme="minorHAnsi" w:eastAsiaTheme="minorEastAsia" w:hAnsiTheme="minorHAnsi" w:cstheme="minorBidi"/>
          <w:b w:val="0"/>
          <w:sz w:val="22"/>
          <w:szCs w:val="22"/>
          <w:lang w:val="en-US"/>
        </w:rPr>
        <w:t>.</w:t>
      </w:r>
      <w:r w:rsidR="00E1186E" w:rsidRPr="0054671B">
        <w:rPr>
          <w:rFonts w:asciiTheme="minorHAnsi" w:eastAsiaTheme="minorEastAsia" w:hAnsiTheme="minorHAnsi" w:cstheme="minorBidi" w:hint="eastAsia"/>
          <w:b w:val="0"/>
          <w:sz w:val="22"/>
          <w:szCs w:val="22"/>
          <w:lang w:val="en-US"/>
        </w:rPr>
        <w:t xml:space="preserve"> </w:t>
      </w:r>
      <w:r w:rsidR="00A900C2" w:rsidRPr="0054671B">
        <w:rPr>
          <w:rFonts w:asciiTheme="minorHAnsi" w:eastAsiaTheme="minorEastAsia" w:hAnsiTheme="minorHAnsi" w:cstheme="minorBidi"/>
          <w:b w:val="0"/>
          <w:sz w:val="22"/>
          <w:szCs w:val="22"/>
          <w:lang w:val="en-US"/>
        </w:rPr>
        <w:t>Departing from</w:t>
      </w:r>
      <w:r w:rsidRPr="0054671B">
        <w:rPr>
          <w:rFonts w:asciiTheme="minorHAnsi" w:eastAsiaTheme="minorEastAsia" w:hAnsiTheme="minorHAnsi" w:cstheme="minorBidi"/>
          <w:b w:val="0"/>
          <w:sz w:val="22"/>
          <w:szCs w:val="22"/>
          <w:lang w:val="en-US"/>
        </w:rPr>
        <w:t xml:space="preserve"> equation </w:t>
      </w:r>
      <w:r w:rsidR="00ED3D31" w:rsidRPr="0054671B">
        <w:rPr>
          <w:rFonts w:asciiTheme="minorHAnsi" w:eastAsiaTheme="minorEastAsia" w:hAnsiTheme="minorHAnsi" w:cstheme="minorBidi"/>
          <w:b w:val="0"/>
          <w:sz w:val="22"/>
          <w:szCs w:val="22"/>
          <w:lang w:val="en-US"/>
        </w:rPr>
        <w:t>2</w:t>
      </w:r>
      <w:r w:rsidRPr="0054671B">
        <w:rPr>
          <w:rFonts w:asciiTheme="minorHAnsi" w:eastAsiaTheme="minorEastAsia" w:hAnsiTheme="minorHAnsi" w:cstheme="minorBidi"/>
          <w:b w:val="0"/>
          <w:sz w:val="22"/>
          <w:szCs w:val="22"/>
          <w:lang w:val="en-US"/>
        </w:rPr>
        <w:t xml:space="preserve">, </w:t>
      </w:r>
      <w:r w:rsidR="00777B97" w:rsidRPr="0054671B">
        <w:rPr>
          <w:rFonts w:asciiTheme="minorHAnsi" w:eastAsiaTheme="minorEastAsia" w:hAnsiTheme="minorHAnsi" w:cstheme="minorBidi"/>
          <w:b w:val="0"/>
          <w:sz w:val="22"/>
          <w:szCs w:val="22"/>
          <w:lang w:val="en-US"/>
        </w:rPr>
        <w:t>the null hypothesis</w:t>
      </w:r>
      <w:r w:rsidR="00A900C2" w:rsidRPr="0054671B">
        <w:rPr>
          <w:rFonts w:asciiTheme="minorHAnsi" w:eastAsiaTheme="minorEastAsia" w:hAnsiTheme="minorHAnsi" w:cstheme="minorBidi"/>
          <w:b w:val="0"/>
          <w:sz w:val="22"/>
          <w:szCs w:val="22"/>
          <w:lang w:val="en-US"/>
        </w:rPr>
        <w:t xml:space="preserve"> states</w:t>
      </w:r>
      <w:r w:rsidR="00777B97" w:rsidRPr="0054671B">
        <w:rPr>
          <w:rFonts w:asciiTheme="minorHAnsi" w:eastAsiaTheme="minorEastAsia" w:hAnsiTheme="minorHAnsi" w:cstheme="minorBidi"/>
          <w:b w:val="0"/>
          <w:sz w:val="22"/>
          <w:szCs w:val="22"/>
          <w:lang w:val="en-US"/>
        </w:rPr>
        <w:t xml:space="preserve"> </w:t>
      </w:r>
      <w:r w:rsidR="00BE60FF" w:rsidRPr="0054671B">
        <w:rPr>
          <w:rFonts w:asciiTheme="minorHAnsi" w:eastAsiaTheme="minorEastAsia" w:hAnsiTheme="minorHAnsi" w:cstheme="minorBidi"/>
          <w:b w:val="0"/>
          <w:sz w:val="22"/>
          <w:szCs w:val="22"/>
          <w:lang w:val="en-US"/>
        </w:rPr>
        <w:t>that</w:t>
      </w:r>
      <w:r w:rsidR="00777B97" w:rsidRPr="0054671B">
        <w:rPr>
          <w:rFonts w:asciiTheme="minorHAnsi" w:eastAsiaTheme="minorEastAsia" w:hAnsiTheme="minorHAnsi" w:cstheme="minorBidi"/>
          <w:b w:val="0"/>
          <w:sz w:val="22"/>
          <w:szCs w:val="22"/>
          <w:lang w:val="en-US"/>
        </w:rPr>
        <w:t xml:space="preserve"> convergence</w:t>
      </w:r>
      <w:r w:rsidRPr="0054671B">
        <w:rPr>
          <w:rFonts w:asciiTheme="minorHAnsi" w:eastAsiaTheme="minorEastAsia" w:hAnsiTheme="minorHAnsi" w:cstheme="minorBidi"/>
          <w:b w:val="0"/>
          <w:sz w:val="22"/>
          <w:szCs w:val="22"/>
          <w:lang w:val="en-US"/>
        </w:rPr>
        <w:t xml:space="preserve"> </w:t>
      </w:r>
      <w:r w:rsidR="00A900C2" w:rsidRPr="0054671B">
        <w:rPr>
          <w:rFonts w:asciiTheme="minorHAnsi" w:eastAsiaTheme="minorEastAsia" w:hAnsiTheme="minorHAnsi" w:cstheme="minorBidi"/>
          <w:b w:val="0"/>
          <w:sz w:val="22"/>
          <w:szCs w:val="22"/>
          <w:lang w:val="en-US"/>
        </w:rPr>
        <w:t>exist</w:t>
      </w:r>
      <w:r w:rsidR="005D7BB1" w:rsidRPr="0054671B">
        <w:rPr>
          <w:rFonts w:asciiTheme="minorHAnsi" w:eastAsiaTheme="minorEastAsia" w:hAnsiTheme="minorHAnsi" w:cstheme="minorBidi"/>
          <w:b w:val="0"/>
          <w:sz w:val="22"/>
          <w:szCs w:val="22"/>
          <w:lang w:val="en-US"/>
        </w:rPr>
        <w:t>s if</w:t>
      </w:r>
      <w:r w:rsidRPr="0054671B">
        <w:rPr>
          <w:rFonts w:asciiTheme="minorHAnsi" w:eastAsiaTheme="minorEastAsia" w:hAnsiTheme="minorHAnsi" w:cstheme="minorBidi"/>
          <w:b w:val="0"/>
          <w:sz w:val="22"/>
          <w:szCs w:val="22"/>
          <w:lang w:val="en-US"/>
        </w:rPr>
        <w:t xml:space="preserve"> all </w:t>
      </w:r>
      <w:r w:rsidR="00777B97" w:rsidRPr="0054671B">
        <w:rPr>
          <w:rFonts w:asciiTheme="minorHAnsi" w:eastAsiaTheme="minorEastAsia" w:hAnsiTheme="minorHAnsi" w:cstheme="minorBidi"/>
          <w:b w:val="0"/>
          <w:sz w:val="22"/>
          <w:szCs w:val="22"/>
          <w:lang w:val="en-US"/>
        </w:rPr>
        <w:t>individual units</w:t>
      </w:r>
      <w:r w:rsidRPr="0054671B">
        <w:rPr>
          <w:rFonts w:asciiTheme="minorHAnsi" w:eastAsiaTheme="minorEastAsia" w:hAnsiTheme="minorHAnsi" w:cstheme="minorBidi"/>
          <w:b w:val="0"/>
          <w:sz w:val="22"/>
          <w:szCs w:val="22"/>
          <w:lang w:val="en-US"/>
        </w:rPr>
        <w:t xml:space="preserve"> </w:t>
      </w:r>
      <w:r w:rsidR="005D7BB1" w:rsidRPr="0054671B">
        <w:rPr>
          <w:rFonts w:asciiTheme="minorHAnsi" w:eastAsiaTheme="minorEastAsia" w:hAnsiTheme="minorHAnsi" w:cstheme="minorBidi"/>
          <w:b w:val="0"/>
          <w:sz w:val="22"/>
          <w:szCs w:val="22"/>
          <w:lang w:val="en-US"/>
        </w:rPr>
        <w:t>collectively approach</w:t>
      </w:r>
      <w:r w:rsidRPr="0054671B">
        <w:rPr>
          <w:rFonts w:asciiTheme="minorHAnsi" w:eastAsiaTheme="minorEastAsia" w:hAnsiTheme="minorHAnsi" w:cstheme="minorBidi"/>
          <w:b w:val="0"/>
          <w:sz w:val="22"/>
          <w:szCs w:val="22"/>
          <w:lang w:val="en-US"/>
        </w:rPr>
        <w:t xml:space="preserve"> the </w:t>
      </w:r>
      <w:r w:rsidR="005D7BB1" w:rsidRPr="0054671B">
        <w:rPr>
          <w:rFonts w:asciiTheme="minorHAnsi" w:eastAsiaTheme="minorEastAsia" w:hAnsiTheme="minorHAnsi" w:cstheme="minorBidi"/>
          <w:b w:val="0"/>
          <w:sz w:val="22"/>
          <w:szCs w:val="22"/>
          <w:lang w:val="en-US"/>
        </w:rPr>
        <w:t>common</w:t>
      </w:r>
      <w:r w:rsidRPr="0054671B">
        <w:rPr>
          <w:rFonts w:asciiTheme="minorHAnsi" w:eastAsiaTheme="minorEastAsia" w:hAnsiTheme="minorHAnsi" w:cstheme="minorBidi"/>
          <w:b w:val="0"/>
          <w:sz w:val="22"/>
          <w:szCs w:val="22"/>
          <w:lang w:val="en-US"/>
        </w:rPr>
        <w:t xml:space="preserve"> transition path</w:t>
      </w:r>
      <w:r w:rsidR="00BE60FF" w:rsidRPr="0054671B">
        <w:rPr>
          <w:rFonts w:asciiTheme="minorHAnsi" w:eastAsiaTheme="minorEastAsia" w:hAnsiTheme="minorHAnsi" w:cstheme="minorBidi"/>
          <w:b w:val="0"/>
          <w:sz w:val="22"/>
          <w:szCs w:val="22"/>
          <w:lang w:val="en-US"/>
        </w:rPr>
        <w:t>, such that: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54671B" w14:paraId="06270498" w14:textId="77777777" w:rsidTr="00E1186E">
        <w:tc>
          <w:tcPr>
            <w:tcW w:w="8080" w:type="dxa"/>
          </w:tcPr>
          <w:p w14:paraId="4E25C114" w14:textId="19A00D26" w:rsidR="00E1186E" w:rsidRPr="0054671B" w:rsidRDefault="00E1186E" w:rsidP="00971B36">
            <w:pPr>
              <w:pStyle w:val="BodyText"/>
              <w:ind w:rightChars="959" w:right="2110"/>
              <w:rPr>
                <w:b w:val="0"/>
                <w:sz w:val="21"/>
                <w:szCs w:val="21"/>
              </w:rPr>
            </w:pPr>
            <w:r w:rsidRPr="0054671B">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3512F6BF" w:rsidR="00E1186E" w:rsidRPr="0054671B" w:rsidRDefault="00E1186E" w:rsidP="00971B36">
            <w:pPr>
              <w:pStyle w:val="BodyText"/>
              <w:tabs>
                <w:tab w:val="left" w:pos="0"/>
              </w:tabs>
              <w:ind w:rightChars="12" w:right="26"/>
              <w:jc w:val="right"/>
              <w:rPr>
                <w:b w:val="0"/>
                <w:sz w:val="21"/>
                <w:szCs w:val="21"/>
              </w:rPr>
            </w:pPr>
            <w:r w:rsidRPr="0054671B">
              <w:rPr>
                <w:b w:val="0"/>
                <w:sz w:val="21"/>
                <w:szCs w:val="21"/>
              </w:rPr>
              <w:t>(</w:t>
            </w:r>
            <w:r w:rsidR="00777B97" w:rsidRPr="0054671B">
              <w:rPr>
                <w:b w:val="0"/>
                <w:sz w:val="21"/>
                <w:szCs w:val="21"/>
              </w:rPr>
              <w:t>3</w:t>
            </w:r>
            <w:r w:rsidRPr="0054671B">
              <w:rPr>
                <w:b w:val="0"/>
                <w:sz w:val="21"/>
                <w:szCs w:val="21"/>
              </w:rPr>
              <w:t>)</w:t>
            </w:r>
          </w:p>
        </w:tc>
      </w:tr>
    </w:tbl>
    <w:p w14:paraId="3233CD16" w14:textId="77777777" w:rsidR="00E1186E" w:rsidRPr="0054671B" w:rsidRDefault="00E1186E" w:rsidP="00E1186E">
      <w:pPr>
        <w:pStyle w:val="BodyText"/>
        <w:jc w:val="both"/>
        <w:rPr>
          <w:b w:val="0"/>
          <w:sz w:val="21"/>
          <w:szCs w:val="21"/>
        </w:rPr>
      </w:pPr>
    </w:p>
    <w:p w14:paraId="37BB61F0" w14:textId="2C45093A" w:rsidR="00F06AAD" w:rsidRPr="0054671B" w:rsidRDefault="0083209C" w:rsidP="00E1186E">
      <w:pPr>
        <w:pStyle w:val="BodyText"/>
        <w:spacing w:line="360" w:lineRule="auto"/>
        <w:ind w:left="720"/>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lastRenderedPageBreak/>
        <w:t xml:space="preserve">Intuitively, the alternative hypothesis is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54671B">
        <w:rPr>
          <w:rFonts w:asciiTheme="minorHAnsi" w:eastAsiaTheme="minorEastAsia" w:hAnsiTheme="minorHAnsi" w:cstheme="minorBidi"/>
          <w:b w:val="0"/>
          <w:sz w:val="22"/>
          <w:szCs w:val="22"/>
          <w:lang w:val="en-US"/>
        </w:rPr>
        <w:t xml:space="preserve"> for all </w:t>
      </w:r>
      <w:r w:rsidRPr="0054671B">
        <w:rPr>
          <w:rFonts w:asciiTheme="minorHAnsi" w:eastAsiaTheme="minorEastAsia" w:hAnsiTheme="minorHAnsi" w:cstheme="minorBidi"/>
          <w:b w:val="0"/>
          <w:i/>
          <w:iCs/>
          <w:sz w:val="22"/>
          <w:szCs w:val="22"/>
          <w:lang w:val="en-US"/>
        </w:rPr>
        <w:t>i</w:t>
      </w:r>
      <w:r w:rsidRPr="0054671B">
        <w:rPr>
          <w:rFonts w:asciiTheme="minorHAnsi" w:eastAsiaTheme="minorEastAsia" w:hAnsiTheme="minorHAnsi" w:cstheme="minorBidi"/>
          <w:b w:val="0"/>
          <w:sz w:val="22"/>
          <w:szCs w:val="22"/>
          <w:lang w:val="en-US"/>
        </w:rPr>
        <w:t xml:space="preserve"> and </w:t>
      </w:r>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54671B">
        <w:rPr>
          <w:rFonts w:asciiTheme="minorHAnsi" w:eastAsiaTheme="minorEastAsia" w:hAnsiTheme="minorHAnsi" w:cstheme="minorBidi"/>
          <w:b w:val="0"/>
          <w:sz w:val="22"/>
          <w:szCs w:val="22"/>
          <w:lang w:val="en-US"/>
        </w:rPr>
        <w:t xml:space="preserve">. </w:t>
      </w:r>
      <w:r w:rsidR="00F06AAD" w:rsidRPr="0054671B">
        <w:rPr>
          <w:rFonts w:asciiTheme="minorHAnsi" w:eastAsiaTheme="minorEastAsia" w:hAnsiTheme="minorHAnsi" w:cstheme="minorBidi"/>
          <w:b w:val="0"/>
          <w:sz w:val="22"/>
          <w:szCs w:val="22"/>
          <w:lang w:val="en-US"/>
        </w:rPr>
        <w:t xml:space="preserve">To </w:t>
      </w:r>
      <w:r w:rsidR="00BE60FF" w:rsidRPr="0054671B">
        <w:rPr>
          <w:rFonts w:asciiTheme="minorHAnsi" w:eastAsiaTheme="minorEastAsia" w:hAnsiTheme="minorHAnsi" w:cstheme="minorBidi"/>
          <w:b w:val="0"/>
          <w:sz w:val="22"/>
          <w:szCs w:val="22"/>
          <w:lang w:val="en-US"/>
        </w:rPr>
        <w:t xml:space="preserve">evaluate the convergence over the long-run time horizon, </w:t>
      </w:r>
      <w:r w:rsidR="00F06AAD" w:rsidRPr="0054671B">
        <w:rPr>
          <w:rFonts w:asciiTheme="minorHAnsi" w:eastAsiaTheme="minorEastAsia" w:hAnsiTheme="minorHAnsi" w:cstheme="minorBidi"/>
          <w:b w:val="0"/>
          <w:sz w:val="22"/>
          <w:szCs w:val="22"/>
          <w:lang w:val="en-US"/>
        </w:rPr>
        <w:t>a relative transition parameter</w:t>
      </w:r>
      <w:r w:rsidR="00BE60FF" w:rsidRPr="0054671B">
        <w:rPr>
          <w:rFonts w:asciiTheme="minorHAnsi" w:eastAsiaTheme="minorEastAsia" w:hAnsiTheme="minorHAnsi" w:cstheme="minorBidi"/>
          <w:b w:val="0"/>
          <w:sz w:val="22"/>
          <w:szCs w:val="22"/>
          <w:lang w:val="en-US"/>
        </w:rPr>
        <w:t xml:space="preserve"> of individual unit</w:t>
      </w:r>
      <w:r w:rsidR="00F06AAD" w:rsidRPr="0054671B">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54671B">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54671B" w14:paraId="1F66879B" w14:textId="77777777" w:rsidTr="00E1186E">
        <w:tc>
          <w:tcPr>
            <w:tcW w:w="8080" w:type="dxa"/>
          </w:tcPr>
          <w:p w14:paraId="3E226191" w14:textId="77777777" w:rsidR="00E1186E" w:rsidRPr="0054671B" w:rsidRDefault="00E1186E" w:rsidP="00971B36">
            <w:pPr>
              <w:pStyle w:val="BodyText"/>
              <w:ind w:rightChars="959" w:right="2110"/>
              <w:rPr>
                <w:b w:val="0"/>
                <w:sz w:val="21"/>
                <w:szCs w:val="21"/>
              </w:rPr>
            </w:pPr>
            <w:r w:rsidRPr="0054671B">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539AFCC6" w:rsidR="00E1186E" w:rsidRPr="0054671B" w:rsidRDefault="00E1186E" w:rsidP="00971B36">
            <w:pPr>
              <w:pStyle w:val="BodyText"/>
              <w:tabs>
                <w:tab w:val="left" w:pos="0"/>
              </w:tabs>
              <w:ind w:rightChars="12" w:right="26"/>
              <w:jc w:val="right"/>
              <w:rPr>
                <w:b w:val="0"/>
                <w:sz w:val="21"/>
                <w:szCs w:val="21"/>
              </w:rPr>
            </w:pPr>
            <w:r w:rsidRPr="0054671B">
              <w:rPr>
                <w:b w:val="0"/>
                <w:sz w:val="21"/>
                <w:szCs w:val="21"/>
              </w:rPr>
              <w:t>(</w:t>
            </w:r>
            <w:r w:rsidR="00BE60FF" w:rsidRPr="0054671B">
              <w:rPr>
                <w:b w:val="0"/>
                <w:sz w:val="21"/>
                <w:szCs w:val="21"/>
              </w:rPr>
              <w:t>4</w:t>
            </w:r>
            <w:r w:rsidRPr="0054671B">
              <w:rPr>
                <w:b w:val="0"/>
                <w:sz w:val="21"/>
                <w:szCs w:val="21"/>
              </w:rPr>
              <w:t>)</w:t>
            </w:r>
          </w:p>
        </w:tc>
      </w:tr>
    </w:tbl>
    <w:p w14:paraId="53E06664" w14:textId="77777777" w:rsidR="00E1186E" w:rsidRPr="0054671B" w:rsidRDefault="00E1186E" w:rsidP="00E1186E">
      <w:pPr>
        <w:pStyle w:val="BodyText"/>
        <w:jc w:val="both"/>
        <w:rPr>
          <w:b w:val="0"/>
          <w:sz w:val="21"/>
          <w:szCs w:val="21"/>
        </w:rPr>
      </w:pPr>
    </w:p>
    <w:p w14:paraId="23006A4F" w14:textId="3AA834F5" w:rsidR="00F06AAD" w:rsidRPr="0054671B" w:rsidRDefault="00BE60FF" w:rsidP="00E1186E">
      <w:pPr>
        <w:pStyle w:val="BodyText"/>
        <w:spacing w:line="360" w:lineRule="auto"/>
        <w:ind w:left="720"/>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Basically</w:t>
      </w:r>
      <w:r w:rsidR="00F06AAD" w:rsidRPr="0054671B">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54671B">
        <w:rPr>
          <w:rFonts w:asciiTheme="minorHAnsi" w:eastAsiaTheme="minorEastAsia" w:hAnsiTheme="minorHAnsi" w:cstheme="minorBidi"/>
          <w:b w:val="0"/>
          <w:sz w:val="22"/>
          <w:szCs w:val="22"/>
          <w:lang w:val="en-US"/>
        </w:rPr>
        <w:t xml:space="preserve"> represents the </w:t>
      </w:r>
      <w:r w:rsidR="00B05930" w:rsidRPr="0054671B">
        <w:rPr>
          <w:rFonts w:asciiTheme="minorHAnsi" w:eastAsiaTheme="minorEastAsia" w:hAnsiTheme="minorHAnsi" w:cstheme="minorBidi"/>
          <w:b w:val="0"/>
          <w:sz w:val="22"/>
          <w:szCs w:val="22"/>
          <w:lang w:val="en-US"/>
        </w:rPr>
        <w:t>specific</w:t>
      </w:r>
      <w:r w:rsidRPr="0054671B">
        <w:rPr>
          <w:rFonts w:asciiTheme="minorHAnsi" w:eastAsiaTheme="minorEastAsia" w:hAnsiTheme="minorHAnsi" w:cstheme="minorBidi"/>
          <w:b w:val="0"/>
          <w:sz w:val="22"/>
          <w:szCs w:val="22"/>
          <w:lang w:val="en-US"/>
        </w:rPr>
        <w:t xml:space="preserve"> behavior </w:t>
      </w:r>
      <w:r w:rsidR="00F06AAD" w:rsidRPr="0054671B">
        <w:rPr>
          <w:rFonts w:asciiTheme="minorHAnsi" w:eastAsiaTheme="minorEastAsia" w:hAnsiTheme="minorHAnsi" w:cstheme="minorBidi"/>
          <w:b w:val="0"/>
          <w:sz w:val="22"/>
          <w:szCs w:val="22"/>
          <w:lang w:val="en-US"/>
        </w:rPr>
        <w:t xml:space="preserve">of </w:t>
      </w:r>
      <w:r w:rsidRPr="0054671B">
        <w:rPr>
          <w:rFonts w:asciiTheme="minorHAnsi" w:eastAsiaTheme="minorEastAsia" w:hAnsiTheme="minorHAnsi" w:cstheme="minorBidi"/>
          <w:b w:val="0"/>
          <w:sz w:val="22"/>
          <w:szCs w:val="22"/>
          <w:lang w:val="en-US"/>
        </w:rPr>
        <w:t>individual unit</w:t>
      </w:r>
      <w:r w:rsidR="00F06AAD" w:rsidRPr="0054671B">
        <w:rPr>
          <w:rFonts w:asciiTheme="minorHAnsi" w:eastAsiaTheme="minorEastAsia" w:hAnsiTheme="minorHAnsi" w:cstheme="minorBidi"/>
          <w:b w:val="0"/>
          <w:sz w:val="22"/>
          <w:szCs w:val="22"/>
          <w:lang w:val="en-US"/>
        </w:rPr>
        <w:t xml:space="preserve"> </w:t>
      </w:r>
      <w:r w:rsidR="00F06AAD" w:rsidRPr="0054671B">
        <w:rPr>
          <w:rFonts w:asciiTheme="minorHAnsi" w:eastAsiaTheme="minorEastAsia" w:hAnsiTheme="minorHAnsi" w:cstheme="minorBidi"/>
          <w:b w:val="0"/>
          <w:i/>
          <w:iCs/>
          <w:sz w:val="22"/>
          <w:szCs w:val="22"/>
          <w:lang w:val="en-US"/>
        </w:rPr>
        <w:t>i</w:t>
      </w:r>
      <w:r w:rsidR="00F06AAD" w:rsidRPr="0054671B">
        <w:rPr>
          <w:rFonts w:asciiTheme="minorHAnsi" w:eastAsiaTheme="minorEastAsia" w:hAnsiTheme="minorHAnsi" w:cstheme="minorBidi"/>
          <w:b w:val="0"/>
          <w:sz w:val="22"/>
          <w:szCs w:val="22"/>
          <w:lang w:val="en-US"/>
        </w:rPr>
        <w:t xml:space="preserve"> against </w:t>
      </w:r>
      <w:r w:rsidR="00B05930" w:rsidRPr="0054671B">
        <w:rPr>
          <w:rFonts w:asciiTheme="minorHAnsi" w:eastAsiaTheme="minorEastAsia" w:hAnsiTheme="minorHAnsi" w:cstheme="minorBidi"/>
          <w:b w:val="0"/>
          <w:sz w:val="22"/>
          <w:szCs w:val="22"/>
          <w:lang w:val="en-US"/>
        </w:rPr>
        <w:t xml:space="preserve">the </w:t>
      </w:r>
      <w:r w:rsidR="00F06AAD" w:rsidRPr="0054671B">
        <w:rPr>
          <w:rFonts w:asciiTheme="minorHAnsi" w:eastAsiaTheme="minorEastAsia" w:hAnsiTheme="minorHAnsi" w:cstheme="minorBidi"/>
          <w:b w:val="0"/>
          <w:sz w:val="22"/>
          <w:szCs w:val="22"/>
          <w:lang w:val="en-US"/>
        </w:rPr>
        <w:t>cross-sectional average. In the state of convergence</w:t>
      </w:r>
      <w:r w:rsidR="00913A5F" w:rsidRPr="0054671B">
        <w:rPr>
          <w:rFonts w:asciiTheme="minorHAnsi" w:eastAsiaTheme="minorEastAsia" w:hAnsiTheme="minorHAnsi" w:cstheme="minorBidi"/>
          <w:b w:val="0"/>
          <w:sz w:val="22"/>
          <w:szCs w:val="22"/>
          <w:lang w:val="en-US"/>
        </w:rPr>
        <w:t xml:space="preserve"> under equation 3,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
          </m:rPr>
          <w:rPr>
            <w:rFonts w:ascii="Cambria Math" w:eastAsiaTheme="minorEastAsia" w:hAnsi="Cambria Math" w:cstheme="minorBidi"/>
            <w:sz w:val="22"/>
            <w:szCs w:val="22"/>
            <w:lang w:val="en-US"/>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oMath>
      <w:r w:rsidR="00F06AAD" w:rsidRPr="0054671B">
        <w:rPr>
          <w:rFonts w:asciiTheme="minorHAnsi" w:eastAsiaTheme="minorEastAsia" w:hAnsiTheme="minorHAnsi" w:cstheme="minorBidi"/>
          <w:b w:val="0"/>
          <w:sz w:val="22"/>
          <w:szCs w:val="22"/>
          <w:lang w:val="en-US"/>
        </w:rPr>
        <w:t>,</w:t>
      </w:r>
      <w:r w:rsidR="00913A5F" w:rsidRPr="0054671B">
        <w:rPr>
          <w:rFonts w:asciiTheme="minorHAnsi" w:eastAsiaTheme="minorEastAsia" w:hAnsiTheme="minorHAnsi" w:cstheme="minorBidi"/>
          <w:b w:val="0"/>
          <w:sz w:val="22"/>
          <w:szCs w:val="22"/>
          <w:lang w:val="en-US"/>
        </w:rPr>
        <w:t xml:space="preserve"> then</w:t>
      </w:r>
      <w:r w:rsidR="00F06AAD" w:rsidRPr="0054671B">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00913A5F" w:rsidRPr="0054671B">
        <w:rPr>
          <w:rFonts w:asciiTheme="minorHAnsi" w:eastAsiaTheme="minorEastAsia" w:hAnsiTheme="minorHAnsi" w:cstheme="minorBidi"/>
          <w:b w:val="0"/>
          <w:sz w:val="22"/>
          <w:szCs w:val="22"/>
          <w:lang w:val="en-US"/>
        </w:rPr>
        <w:t>.</w:t>
      </w:r>
      <w:r w:rsidR="00F06AAD" w:rsidRPr="0054671B">
        <w:rPr>
          <w:rFonts w:asciiTheme="minorHAnsi" w:eastAsiaTheme="minorEastAsia" w:hAnsiTheme="minorHAnsi" w:cstheme="minorBidi"/>
          <w:b w:val="0"/>
          <w:sz w:val="22"/>
          <w:szCs w:val="22"/>
          <w:lang w:val="en-US"/>
        </w:rPr>
        <w:t xml:space="preserve"> </w:t>
      </w:r>
      <w:r w:rsidR="00913A5F" w:rsidRPr="0054671B">
        <w:rPr>
          <w:rFonts w:asciiTheme="minorHAnsi" w:eastAsiaTheme="minorEastAsia" w:hAnsiTheme="minorHAnsi" w:cstheme="minorBidi"/>
          <w:b w:val="0"/>
          <w:sz w:val="22"/>
          <w:szCs w:val="22"/>
          <w:lang w:val="en-US"/>
        </w:rPr>
        <w:t xml:space="preserve">This also implies that </w:t>
      </w:r>
      <w:r w:rsidR="00F06AAD" w:rsidRPr="0054671B">
        <w:rPr>
          <w:rFonts w:asciiTheme="minorHAnsi" w:eastAsiaTheme="minorEastAsia" w:hAnsiTheme="minorHAnsi" w:cstheme="minorBidi"/>
          <w:b w:val="0"/>
          <w:sz w:val="22"/>
          <w:szCs w:val="22"/>
          <w:lang w:val="en-US"/>
        </w:rPr>
        <w:t xml:space="preserve">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913A5F" w:rsidRPr="0054671B">
        <w:rPr>
          <w:rFonts w:asciiTheme="minorHAnsi" w:eastAsiaTheme="minorEastAsia" w:hAnsiTheme="minorHAnsi" w:cstheme="minorBidi" w:hint="eastAsia"/>
          <w:b w:val="0"/>
          <w:sz w:val="22"/>
          <w:szCs w:val="22"/>
          <w:lang w:val="en-US"/>
        </w:rPr>
        <w:t xml:space="preserve"> </w:t>
      </w:r>
      <w:r w:rsidR="00913A5F" w:rsidRPr="0054671B">
        <w:rPr>
          <w:rFonts w:asciiTheme="minorHAnsi" w:eastAsiaTheme="minorEastAsia" w:hAnsiTheme="minorHAnsi" w:cstheme="minorBidi"/>
          <w:b w:val="0"/>
          <w:sz w:val="22"/>
          <w:szCs w:val="22"/>
          <w:lang w:val="en-US"/>
        </w:rPr>
        <w:t xml:space="preserve">converges to 0 </w:t>
      </w:r>
      <m:oMath>
        <m:r>
          <m:rPr>
            <m:sty m:val="bi"/>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00913A5F" w:rsidRPr="0054671B">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00913A5F" w:rsidRPr="0054671B">
        <w:rPr>
          <w:rFonts w:asciiTheme="minorHAnsi" w:eastAsiaTheme="minorEastAsia" w:hAnsiTheme="minorHAnsi" w:cstheme="minorBidi"/>
          <w:b w:val="0"/>
          <w:sz w:val="22"/>
          <w:szCs w:val="22"/>
          <w:lang w:val="en-US"/>
        </w:rPr>
        <w:t xml:space="preserve"> 0)</w:t>
      </w:r>
      <w:r w:rsidR="00F06AAD" w:rsidRPr="0054671B">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54671B" w14:paraId="17F95344" w14:textId="77777777" w:rsidTr="00E1186E">
        <w:tc>
          <w:tcPr>
            <w:tcW w:w="8080" w:type="dxa"/>
          </w:tcPr>
          <w:p w14:paraId="1DC3A5D8" w14:textId="2B04B124" w:rsidR="00E1186E" w:rsidRPr="0054671B" w:rsidRDefault="00E1186E" w:rsidP="00971B36">
            <w:pPr>
              <w:pStyle w:val="BodyText"/>
              <w:ind w:rightChars="959" w:right="2110"/>
              <w:rPr>
                <w:b w:val="0"/>
                <w:sz w:val="21"/>
                <w:szCs w:val="21"/>
              </w:rPr>
            </w:pPr>
            <w:r w:rsidRPr="0054671B">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  t</m:t>
              </m:r>
              <m:r>
                <m:rPr>
                  <m:sty m:val="b"/>
                </m:rPr>
                <w:rPr>
                  <w:rFonts w:ascii="Cambria Math" w:eastAsiaTheme="minorEastAsia" w:hAnsi="Cambria Math" w:cstheme="minorBidi"/>
                  <w:sz w:val="22"/>
                  <w:szCs w:val="22"/>
                  <w:lang w:val="en-US"/>
                </w:rPr>
                <m:t>→∞</m:t>
              </m:r>
            </m:oMath>
          </w:p>
        </w:tc>
        <w:tc>
          <w:tcPr>
            <w:tcW w:w="567" w:type="dxa"/>
          </w:tcPr>
          <w:p w14:paraId="75BE135A" w14:textId="2B61FBB1" w:rsidR="00E1186E" w:rsidRPr="0054671B" w:rsidRDefault="00E1186E" w:rsidP="00971B36">
            <w:pPr>
              <w:pStyle w:val="BodyText"/>
              <w:tabs>
                <w:tab w:val="left" w:pos="0"/>
              </w:tabs>
              <w:ind w:rightChars="12" w:right="26"/>
              <w:jc w:val="right"/>
              <w:rPr>
                <w:b w:val="0"/>
                <w:sz w:val="21"/>
                <w:szCs w:val="21"/>
              </w:rPr>
            </w:pPr>
            <w:r w:rsidRPr="0054671B">
              <w:rPr>
                <w:b w:val="0"/>
                <w:sz w:val="21"/>
                <w:szCs w:val="21"/>
              </w:rPr>
              <w:t>(</w:t>
            </w:r>
            <w:r w:rsidR="00913A5F" w:rsidRPr="0054671B">
              <w:rPr>
                <w:b w:val="0"/>
                <w:sz w:val="21"/>
                <w:szCs w:val="21"/>
              </w:rPr>
              <w:t>5</w:t>
            </w:r>
            <w:r w:rsidRPr="0054671B">
              <w:rPr>
                <w:b w:val="0"/>
                <w:sz w:val="21"/>
                <w:szCs w:val="21"/>
              </w:rPr>
              <w:t>)</w:t>
            </w:r>
          </w:p>
        </w:tc>
      </w:tr>
    </w:tbl>
    <w:p w14:paraId="38711A2D" w14:textId="7E77496F" w:rsidR="00F06AAD" w:rsidRPr="0054671B"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54671B">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 xml:space="preserve">= </m:t>
        </m:r>
        <m:sSubSup>
          <m:sSubSupPr>
            <m:ctrlPr>
              <w:rPr>
                <w:rFonts w:ascii="Cambria Math" w:eastAsiaTheme="minorEastAsia" w:hAnsi="Cambria Math" w:cstheme="minorBidi"/>
                <w:b w:val="0"/>
                <w:i/>
                <w:sz w:val="22"/>
                <w:szCs w:val="22"/>
                <w:lang w:val="en-US"/>
              </w:rPr>
            </m:ctrlPr>
          </m:sSubSupPr>
          <m:e>
            <m:r>
              <m:rPr>
                <m:sty m:val="bi"/>
              </m:rPr>
              <w:rPr>
                <w:rFonts w:ascii="Cambria Math" w:eastAsiaTheme="minorEastAsia" w:hAnsi="Cambria Math" w:cstheme="minorBidi"/>
                <w:sz w:val="22"/>
                <w:szCs w:val="22"/>
                <w:lang w:val="en-US"/>
              </w:rPr>
              <m:t>σ</m:t>
            </m:r>
          </m:e>
          <m:sub>
            <m:r>
              <m:rPr>
                <m:sty m:val="bi"/>
              </m:rPr>
              <w:rPr>
                <w:rFonts w:ascii="Cambria Math" w:eastAsiaTheme="minorEastAsia" w:hAnsi="Cambria Math" w:cstheme="minorBidi"/>
                <w:sz w:val="22"/>
                <w:szCs w:val="22"/>
                <w:lang w:val="en-US"/>
              </w:rPr>
              <m:t>t</m:t>
            </m:r>
          </m:sub>
          <m:sup>
            <m:r>
              <m:rPr>
                <m:sty m:val="bi"/>
              </m:rPr>
              <w:rPr>
                <w:rFonts w:ascii="Cambria Math" w:eastAsiaTheme="minorEastAsia" w:hAnsi="Cambria Math" w:cstheme="minorBidi"/>
                <w:sz w:val="22"/>
                <w:szCs w:val="22"/>
                <w:lang w:val="en-US"/>
              </w:rPr>
              <m:t>2</m:t>
            </m:r>
          </m:sup>
        </m:sSubSup>
      </m:oMath>
      <w:r w:rsidRPr="0054671B">
        <w:rPr>
          <w:rFonts w:asciiTheme="minorHAnsi" w:eastAsiaTheme="minorEastAsia" w:hAnsiTheme="minorHAnsi" w:cstheme="minorBidi"/>
          <w:b w:val="0"/>
          <w:sz w:val="22"/>
          <w:szCs w:val="22"/>
          <w:lang w:val="en-US"/>
        </w:rPr>
        <w:t>.</w:t>
      </w:r>
    </w:p>
    <w:p w14:paraId="6606137A" w14:textId="30C92EC7" w:rsidR="00F06AAD" w:rsidRPr="0054671B" w:rsidRDefault="0083209C"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 xml:space="preserve">To </w:t>
      </w:r>
      <w:r w:rsidR="00D24642" w:rsidRPr="0054671B">
        <w:rPr>
          <w:rFonts w:asciiTheme="minorHAnsi" w:eastAsiaTheme="minorEastAsia" w:hAnsiTheme="minorHAnsi" w:cstheme="minorBidi"/>
          <w:b w:val="0"/>
          <w:sz w:val="22"/>
          <w:szCs w:val="22"/>
          <w:lang w:val="en-US"/>
        </w:rPr>
        <w:t xml:space="preserve">empirically </w:t>
      </w:r>
      <w:r w:rsidRPr="0054671B">
        <w:rPr>
          <w:rFonts w:asciiTheme="minorHAnsi" w:eastAsiaTheme="minorEastAsia" w:hAnsiTheme="minorHAnsi" w:cstheme="minorBidi"/>
          <w:b w:val="0"/>
          <w:sz w:val="22"/>
          <w:szCs w:val="22"/>
          <w:lang w:val="en-US"/>
        </w:rPr>
        <w:t>investigate the presence of convergence</w:t>
      </w:r>
      <w:r w:rsidR="00F06AAD" w:rsidRPr="0054671B">
        <w:rPr>
          <w:rFonts w:asciiTheme="minorHAnsi" w:eastAsiaTheme="minorEastAsia" w:hAnsiTheme="minorHAnsi" w:cstheme="minorBidi"/>
          <w:b w:val="0"/>
          <w:sz w:val="22"/>
          <w:szCs w:val="22"/>
          <w:lang w:val="en-US"/>
        </w:rPr>
        <w:t xml:space="preserve">, </w:t>
      </w:r>
      <w:r w:rsidRPr="0054671B">
        <w:rPr>
          <w:rFonts w:asciiTheme="minorHAnsi" w:eastAsiaTheme="minorEastAsia" w:hAnsiTheme="minorHAnsi" w:cstheme="minorBidi"/>
          <w:b w:val="0"/>
          <w:sz w:val="22"/>
          <w:szCs w:val="22"/>
          <w:lang w:val="en-US"/>
        </w:rPr>
        <w:t>the</w:t>
      </w:r>
      <w:r w:rsidR="00F06AAD" w:rsidRPr="0054671B">
        <w:rPr>
          <w:rFonts w:asciiTheme="minorHAnsi" w:eastAsiaTheme="minorEastAsia" w:hAnsiTheme="minorHAnsi" w:cstheme="minorBidi"/>
          <w:b w:val="0"/>
          <w:sz w:val="22"/>
          <w:szCs w:val="22"/>
          <w:lang w:val="en-US"/>
        </w:rPr>
        <w:t xml:space="preserve"> null hypothesis </w:t>
      </w:r>
      <w:r w:rsidR="00D24642" w:rsidRPr="0054671B">
        <w:rPr>
          <w:rFonts w:asciiTheme="minorHAnsi" w:eastAsiaTheme="minorEastAsia" w:hAnsiTheme="minorHAnsi" w:cstheme="minorBidi"/>
          <w:b w:val="0"/>
          <w:sz w:val="22"/>
          <w:szCs w:val="22"/>
          <w:lang w:val="en-US"/>
        </w:rPr>
        <w:t xml:space="preserve">is tested with </w:t>
      </w:r>
      <w:r w:rsidR="00F06AAD" w:rsidRPr="0054671B">
        <w:rPr>
          <w:rFonts w:asciiTheme="minorHAnsi" w:eastAsiaTheme="minorEastAsia" w:hAnsiTheme="minorHAnsi" w:cstheme="minorBidi"/>
          <w:b w:val="0"/>
          <w:sz w:val="22"/>
          <w:szCs w:val="22"/>
          <w:lang w:val="en-US"/>
        </w:rPr>
        <w:t>log t regression model</w:t>
      </w:r>
      <w:r w:rsidRPr="0054671B">
        <w:rPr>
          <w:rFonts w:asciiTheme="minorHAnsi" w:eastAsiaTheme="minorEastAsia" w:hAnsiTheme="minorHAnsi" w:cstheme="minorBidi"/>
          <w:b w:val="0"/>
          <w:sz w:val="22"/>
          <w:szCs w:val="22"/>
          <w:lang w:val="en-US"/>
        </w:rPr>
        <w:t xml:space="preserve"> based on the variance ratio </w:t>
      </w:r>
      <m:oMath>
        <m:f>
          <m:fPr>
            <m:ctrlPr>
              <w:rPr>
                <w:rFonts w:ascii="Cambria Math" w:eastAsiaTheme="minorEastAsia" w:hAnsi="Cambria Math" w:cstheme="minorBidi"/>
                <w:bCs/>
                <w:i/>
                <w:sz w:val="22"/>
                <w:szCs w:val="22"/>
                <w:lang w:val="en-US"/>
              </w:rPr>
            </m:ctrlPr>
          </m:fPr>
          <m:num>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1</m:t>
                </m:r>
              </m:sub>
            </m:sSub>
          </m:num>
          <m:den>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den>
        </m:f>
      </m:oMath>
      <w:r w:rsidRPr="0054671B">
        <w:rPr>
          <w:rFonts w:asciiTheme="minorHAnsi" w:eastAsiaTheme="minorEastAsia" w:hAnsiTheme="minorHAnsi" w:cstheme="minorBidi"/>
          <w:bCs/>
          <w:sz w:val="22"/>
          <w:szCs w:val="22"/>
          <w:lang w:val="en-US"/>
        </w:rPr>
        <w:t xml:space="preserve"> </w:t>
      </w:r>
      <w:r w:rsidR="00F06AAD" w:rsidRPr="0054671B">
        <w:rPr>
          <w:rFonts w:asciiTheme="minorHAnsi" w:eastAsiaTheme="minorEastAsia" w:hAnsiTheme="minorHAnsi" w:cstheme="minorBidi"/>
          <w:bCs/>
          <w:sz w:val="22"/>
          <w:szCs w:val="22"/>
          <w:lang w:val="en-US"/>
        </w:rPr>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54671B" w14:paraId="7D8BB926" w14:textId="77777777" w:rsidTr="000B2C99">
        <w:tc>
          <w:tcPr>
            <w:tcW w:w="8080" w:type="dxa"/>
          </w:tcPr>
          <w:p w14:paraId="48FDF8AA" w14:textId="72856F67" w:rsidR="000B2C99" w:rsidRPr="0054671B" w:rsidRDefault="000B2C99" w:rsidP="000B2C99">
            <w:pPr>
              <w:pStyle w:val="BodyText"/>
              <w:ind w:leftChars="14" w:left="31" w:rightChars="595" w:right="1309"/>
              <w:rPr>
                <w:b w:val="0"/>
                <w:sz w:val="21"/>
                <w:szCs w:val="21"/>
              </w:rPr>
            </w:pPr>
            <w:r w:rsidRPr="0054671B">
              <w:rPr>
                <w:b w:val="0"/>
                <w:sz w:val="21"/>
                <w:szCs w:val="21"/>
              </w:rPr>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 xml:space="preserve">r </m:t>
                  </m:r>
                  <m:r>
                    <m:rPr>
                      <m:sty m:val="bi"/>
                    </m:rPr>
                    <w:rPr>
                      <w:rFonts w:ascii="Cambria Math" w:hAnsi="Cambria Math" w:hint="eastAsia"/>
                      <w:sz w:val="21"/>
                      <w:szCs w:val="21"/>
                    </w:rPr>
                    <m:t>∈</m:t>
                  </m:r>
                  <m:r>
                    <m:rPr>
                      <m:sty m:val="bi"/>
                    </m:rPr>
                    <w:rPr>
                      <w:rFonts w:ascii="Cambria Math" w:hAnsi="Cambria Math"/>
                      <w:sz w:val="21"/>
                      <w:szCs w:val="21"/>
                      <w:lang w:val="en-US"/>
                    </w:rPr>
                    <m:t>(0,1)</m:t>
                  </m:r>
                </m:e>
              </m:eqArr>
            </m:oMath>
          </w:p>
        </w:tc>
        <w:tc>
          <w:tcPr>
            <w:tcW w:w="567" w:type="dxa"/>
          </w:tcPr>
          <w:p w14:paraId="52395C03" w14:textId="32B70177" w:rsidR="000B2C99" w:rsidRPr="0054671B" w:rsidRDefault="000B2C99" w:rsidP="00971B36">
            <w:pPr>
              <w:pStyle w:val="BodyText"/>
              <w:tabs>
                <w:tab w:val="left" w:pos="0"/>
              </w:tabs>
              <w:ind w:rightChars="12" w:right="26"/>
              <w:jc w:val="right"/>
              <w:rPr>
                <w:b w:val="0"/>
                <w:sz w:val="21"/>
                <w:szCs w:val="21"/>
              </w:rPr>
            </w:pPr>
            <w:r w:rsidRPr="0054671B">
              <w:rPr>
                <w:b w:val="0"/>
                <w:sz w:val="21"/>
                <w:szCs w:val="21"/>
              </w:rPr>
              <w:t>(</w:t>
            </w:r>
            <w:r w:rsidR="003116E1" w:rsidRPr="0054671B">
              <w:rPr>
                <w:b w:val="0"/>
                <w:sz w:val="21"/>
                <w:szCs w:val="21"/>
              </w:rPr>
              <w:t>6</w:t>
            </w:r>
            <w:r w:rsidRPr="0054671B">
              <w:rPr>
                <w:b w:val="0"/>
                <w:sz w:val="21"/>
                <w:szCs w:val="21"/>
              </w:rPr>
              <w:t>)</w:t>
            </w:r>
          </w:p>
        </w:tc>
      </w:tr>
    </w:tbl>
    <w:p w14:paraId="7FD7D1AB" w14:textId="77777777" w:rsidR="00E1186E" w:rsidRPr="0054671B" w:rsidRDefault="00E1186E" w:rsidP="000B2C99">
      <w:pPr>
        <w:pStyle w:val="BodyText"/>
        <w:jc w:val="both"/>
        <w:rPr>
          <w:b w:val="0"/>
          <w:sz w:val="21"/>
          <w:szCs w:val="21"/>
        </w:rPr>
      </w:pPr>
    </w:p>
    <w:p w14:paraId="17177C66" w14:textId="10ACE2F7" w:rsidR="00E40C42" w:rsidRPr="0054671B" w:rsidRDefault="00E40C42" w:rsidP="0011388F">
      <w:pPr>
        <w:pStyle w:val="BodyText"/>
        <w:spacing w:line="360" w:lineRule="auto"/>
        <w:ind w:left="720"/>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From the</w:t>
      </w:r>
      <w:r w:rsidR="00F06AAD" w:rsidRPr="0054671B">
        <w:rPr>
          <w:rFonts w:asciiTheme="minorHAnsi" w:eastAsiaTheme="minorEastAsia" w:hAnsiTheme="minorHAnsi" w:cstheme="minorBidi"/>
          <w:b w:val="0"/>
          <w:sz w:val="22"/>
          <w:szCs w:val="22"/>
          <w:lang w:val="en-US"/>
        </w:rPr>
        <w:t xml:space="preserve"> Monte Carlo</w:t>
      </w:r>
      <w:r w:rsidRPr="0054671B">
        <w:rPr>
          <w:rFonts w:asciiTheme="minorHAnsi" w:eastAsiaTheme="minorEastAsia" w:hAnsiTheme="minorHAnsi" w:cstheme="minorBidi"/>
          <w:b w:val="0"/>
          <w:sz w:val="22"/>
          <w:szCs w:val="22"/>
          <w:lang w:val="en-US"/>
        </w:rPr>
        <w:t xml:space="preserve"> simulation</w:t>
      </w:r>
      <w:r w:rsidR="00F06AAD" w:rsidRPr="0054671B">
        <w:rPr>
          <w:rFonts w:asciiTheme="minorHAnsi" w:eastAsiaTheme="minorEastAsia" w:hAnsiTheme="minorHAnsi" w:cstheme="minorBidi"/>
          <w:b w:val="0"/>
          <w:sz w:val="22"/>
          <w:szCs w:val="22"/>
          <w:lang w:val="en-US"/>
        </w:rPr>
        <w:t xml:space="preserve">, </w:t>
      </w:r>
      <w:r w:rsidR="00F06AAD" w:rsidRPr="0054671B">
        <w:rPr>
          <w:rFonts w:asciiTheme="minorHAnsi" w:eastAsiaTheme="minorEastAsia" w:hAnsiTheme="minorHAnsi" w:cstheme="minorBidi"/>
          <w:b w:val="0"/>
          <w:sz w:val="22"/>
          <w:szCs w:val="22"/>
          <w:lang w:val="en-US"/>
        </w:rPr>
        <w:fldChar w:fldCharType="begin"/>
      </w:r>
      <w:r w:rsidR="00F06AAD" w:rsidRPr="0054671B">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6AAD" w:rsidRPr="0054671B">
        <w:rPr>
          <w:rFonts w:asciiTheme="minorHAnsi" w:eastAsiaTheme="minorEastAsia" w:hAnsiTheme="minorHAnsi" w:cstheme="minorBidi"/>
          <w:b w:val="0"/>
          <w:sz w:val="22"/>
          <w:szCs w:val="22"/>
          <w:lang w:val="en-US"/>
        </w:rPr>
        <w:fldChar w:fldCharType="separate"/>
      </w:r>
      <w:r w:rsidR="00F06AAD" w:rsidRPr="0054671B">
        <w:rPr>
          <w:rFonts w:asciiTheme="minorHAnsi" w:eastAsiaTheme="minorEastAsia" w:hAnsiTheme="minorHAnsi" w:cstheme="minorBidi"/>
          <w:b w:val="0"/>
          <w:sz w:val="22"/>
          <w:szCs w:val="22"/>
          <w:lang w:val="en-US"/>
        </w:rPr>
        <w:t>Phillips &amp; Sul (2007)</w:t>
      </w:r>
      <w:r w:rsidR="00F06AAD" w:rsidRPr="0054671B">
        <w:rPr>
          <w:rFonts w:asciiTheme="minorHAnsi" w:eastAsiaTheme="minorEastAsia" w:hAnsiTheme="minorHAnsi" w:cstheme="minorBidi"/>
          <w:b w:val="0"/>
          <w:sz w:val="22"/>
          <w:szCs w:val="22"/>
          <w:lang w:val="en-US"/>
        </w:rPr>
        <w:fldChar w:fldCharType="end"/>
      </w:r>
      <w:r w:rsidR="00F06AAD" w:rsidRPr="0054671B">
        <w:rPr>
          <w:rFonts w:asciiTheme="minorHAnsi" w:eastAsiaTheme="minorEastAsia" w:hAnsiTheme="minorHAnsi" w:cstheme="minorBidi"/>
          <w:b w:val="0"/>
          <w:sz w:val="22"/>
          <w:szCs w:val="22"/>
          <w:lang w:val="en-US"/>
        </w:rPr>
        <w:t xml:space="preserve"> </w:t>
      </w:r>
      <w:r w:rsidRPr="0054671B">
        <w:rPr>
          <w:rFonts w:asciiTheme="minorHAnsi" w:eastAsiaTheme="minorEastAsia" w:hAnsiTheme="minorHAnsi" w:cstheme="minorBidi"/>
          <w:b w:val="0"/>
          <w:sz w:val="22"/>
          <w:szCs w:val="22"/>
          <w:lang w:val="en-US"/>
        </w:rPr>
        <w:t xml:space="preserve">argue that setting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sidRPr="0054671B">
        <w:rPr>
          <w:rFonts w:asciiTheme="minorHAnsi" w:eastAsiaTheme="minorEastAsia" w:hAnsiTheme="minorHAnsi" w:cstheme="minorBidi"/>
          <w:b w:val="0"/>
          <w:sz w:val="22"/>
          <w:szCs w:val="22"/>
          <w:lang w:val="en-US"/>
        </w:rPr>
        <w:t xml:space="preserve"> is recommended.</w:t>
      </w:r>
      <w:r w:rsidR="00F06AAD" w:rsidRPr="0054671B">
        <w:rPr>
          <w:rFonts w:asciiTheme="minorHAnsi" w:eastAsiaTheme="minorEastAsia" w:hAnsiTheme="minorHAnsi" w:cstheme="minorBidi"/>
          <w:b w:val="0"/>
          <w:sz w:val="22"/>
          <w:szCs w:val="22"/>
          <w:lang w:val="en-US"/>
        </w:rPr>
        <w:t xml:space="preserve"> </w:t>
      </w:r>
      <w:r w:rsidR="009B380D" w:rsidRPr="0054671B">
        <w:rPr>
          <w:rFonts w:asciiTheme="minorHAnsi" w:eastAsiaTheme="minorEastAsia" w:hAnsiTheme="minorHAnsi" w:cstheme="minorBidi"/>
          <w:b w:val="0"/>
          <w:sz w:val="22"/>
          <w:szCs w:val="22"/>
          <w:lang w:val="en-US"/>
        </w:rPr>
        <w:t>The null hypothesis is rejected when</w:t>
      </w:r>
      <w:r w:rsidR="00F06AAD" w:rsidRPr="0054671B">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009B380D" w:rsidRPr="0054671B">
        <w:rPr>
          <w:rFonts w:asciiTheme="minorHAnsi" w:eastAsiaTheme="minorEastAsia" w:hAnsiTheme="minorHAnsi" w:cstheme="minorBidi"/>
          <w:b w:val="0"/>
          <w:sz w:val="22"/>
          <w:szCs w:val="22"/>
          <w:lang w:val="en-US"/>
        </w:rPr>
        <w:t>;</w:t>
      </w:r>
      <w:r w:rsidR="003116E1" w:rsidRPr="0054671B">
        <w:rPr>
          <w:rFonts w:asciiTheme="minorHAnsi" w:eastAsiaTheme="minorEastAsia" w:hAnsiTheme="minorHAnsi" w:cstheme="minorBidi"/>
          <w:b w:val="0"/>
          <w:sz w:val="22"/>
          <w:szCs w:val="22"/>
          <w:lang w:val="en-US"/>
        </w:rPr>
        <w:t xml:space="preserve"> </w:t>
      </w:r>
      <w:r w:rsidR="009B380D" w:rsidRPr="0054671B">
        <w:rPr>
          <w:rFonts w:asciiTheme="minorHAnsi" w:eastAsiaTheme="minorEastAsia" w:hAnsiTheme="minorHAnsi" w:cstheme="minorBidi"/>
          <w:b w:val="0"/>
          <w:sz w:val="22"/>
          <w:szCs w:val="22"/>
          <w:lang w:val="en-US"/>
        </w:rPr>
        <w:t>if that is the case, the next step is to identify relative or club convergence</w:t>
      </w:r>
      <w:r w:rsidR="003116E1" w:rsidRPr="0054671B">
        <w:rPr>
          <w:rFonts w:asciiTheme="minorHAnsi" w:eastAsiaTheme="minorEastAsia" w:hAnsiTheme="minorHAnsi" w:cstheme="minorBidi"/>
          <w:b w:val="0"/>
          <w:sz w:val="22"/>
          <w:szCs w:val="22"/>
          <w:lang w:val="en-US"/>
        </w:rPr>
        <w:t xml:space="preserve"> </w:t>
      </w:r>
    </w:p>
    <w:p w14:paraId="7A49E03A" w14:textId="77777777" w:rsidR="0011388F" w:rsidRPr="0054671B" w:rsidRDefault="0011388F" w:rsidP="0011388F">
      <w:pPr>
        <w:pStyle w:val="BodyText"/>
        <w:spacing w:line="360" w:lineRule="auto"/>
        <w:ind w:left="720"/>
        <w:jc w:val="both"/>
        <w:rPr>
          <w:rFonts w:asciiTheme="minorHAnsi" w:eastAsiaTheme="minorEastAsia" w:hAnsiTheme="minorHAnsi" w:cstheme="minorBidi"/>
          <w:b w:val="0"/>
          <w:sz w:val="22"/>
          <w:szCs w:val="22"/>
          <w:lang w:val="en-US"/>
        </w:rPr>
      </w:pPr>
    </w:p>
    <w:p w14:paraId="7F2C05BB" w14:textId="77777777" w:rsidR="0011388F" w:rsidRPr="0054671B" w:rsidRDefault="0011388F" w:rsidP="0011388F">
      <w:pPr>
        <w:pStyle w:val="ListParagraph"/>
        <w:numPr>
          <w:ilvl w:val="2"/>
          <w:numId w:val="2"/>
        </w:numPr>
        <w:ind w:left="1418" w:hanging="709"/>
        <w:rPr>
          <w:rFonts w:ascii="Bookman Old Style" w:eastAsia="Adobe Myungjo Std M" w:hAnsi="Bookman Old Style"/>
          <w:b/>
          <w:szCs w:val="18"/>
        </w:rPr>
      </w:pPr>
      <w:r w:rsidRPr="0054671B">
        <w:rPr>
          <w:rFonts w:ascii="Bookman Old Style" w:eastAsia="Adobe Myungjo Std M" w:hAnsi="Bookman Old Style"/>
          <w:b/>
          <w:szCs w:val="18"/>
        </w:rPr>
        <w:t>Identifying club convergence</w:t>
      </w:r>
    </w:p>
    <w:p w14:paraId="56E4D017" w14:textId="77777777" w:rsidR="0011388F" w:rsidRPr="0054671B" w:rsidRDefault="0011388F" w:rsidP="0011388F">
      <w:pPr>
        <w:pStyle w:val="ListParagraph"/>
        <w:spacing w:line="360" w:lineRule="auto"/>
        <w:jc w:val="both"/>
      </w:pPr>
    </w:p>
    <w:p w14:paraId="437DEB84" w14:textId="7BC2C2B4" w:rsidR="0011388F" w:rsidRPr="0054671B" w:rsidRDefault="00DA2603" w:rsidP="0075497E">
      <w:pPr>
        <w:pStyle w:val="ListParagraph"/>
        <w:spacing w:line="360" w:lineRule="auto"/>
        <w:jc w:val="both"/>
      </w:pPr>
      <w:r w:rsidRPr="0054671B">
        <w:t>T</w:t>
      </w:r>
      <w:r w:rsidR="0011388F" w:rsidRPr="0054671B">
        <w:t xml:space="preserve">he method of </w:t>
      </w:r>
      <w:r w:rsidR="0011388F" w:rsidRPr="0054671B">
        <w:fldChar w:fldCharType="begin"/>
      </w:r>
      <w:r w:rsidR="0011388F" w:rsidRPr="0054671B">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54671B">
        <w:fldChar w:fldCharType="separate"/>
      </w:r>
      <w:r w:rsidR="0011388F" w:rsidRPr="0054671B">
        <w:t>Phillips and Sul (2009)</w:t>
      </w:r>
      <w:r w:rsidR="0011388F" w:rsidRPr="0054671B">
        <w:fldChar w:fldCharType="end"/>
      </w:r>
      <w:r w:rsidR="003D4949" w:rsidRPr="0054671B">
        <w:t xml:space="preserve"> can </w:t>
      </w:r>
      <w:r w:rsidR="0011388F" w:rsidRPr="0054671B">
        <w:t xml:space="preserve">identify if </w:t>
      </w:r>
      <w:r w:rsidRPr="0054671B">
        <w:t>different</w:t>
      </w:r>
      <w:r w:rsidR="0011388F" w:rsidRPr="0054671B">
        <w:t xml:space="preserve"> club convergence exist</w:t>
      </w:r>
      <w:r w:rsidR="003D4949" w:rsidRPr="0054671B">
        <w:t xml:space="preserve">s </w:t>
      </w:r>
      <w:r w:rsidR="0011388F" w:rsidRPr="0054671B">
        <w:t xml:space="preserve">in </w:t>
      </w:r>
      <w:r w:rsidR="004A49A0" w:rsidRPr="0054671B">
        <w:t xml:space="preserve">the </w:t>
      </w:r>
      <w:r w:rsidR="0011388F" w:rsidRPr="0054671B">
        <w:t>sub-sample</w:t>
      </w:r>
      <w:r w:rsidRPr="0054671B">
        <w:t xml:space="preserve"> in the absence of</w:t>
      </w:r>
      <w:r w:rsidR="0011388F" w:rsidRPr="0054671B">
        <w:t xml:space="preserve"> overall convergence </w:t>
      </w:r>
      <w:r w:rsidRPr="0054671B">
        <w:t xml:space="preserve">in </w:t>
      </w:r>
      <w:r w:rsidR="003D4949" w:rsidRPr="0054671B">
        <w:t xml:space="preserve">the </w:t>
      </w:r>
      <w:r w:rsidRPr="0054671B">
        <w:t>full sample</w:t>
      </w:r>
      <w:r w:rsidR="0011388F" w:rsidRPr="0054671B">
        <w:t xml:space="preserve">. </w:t>
      </w:r>
      <w:r w:rsidR="00936A6A" w:rsidRPr="0054671B">
        <w:t>Hence</w:t>
      </w:r>
      <w:r w:rsidR="0011388F" w:rsidRPr="0054671B">
        <w:t xml:space="preserve">, </w:t>
      </w:r>
      <w:r w:rsidR="00936A6A" w:rsidRPr="0054671B">
        <w:t xml:space="preserve">after testing overall convergence using log t regression, </w:t>
      </w:r>
      <w:r w:rsidR="0011388F" w:rsidRPr="0054671B">
        <w:t xml:space="preserve">we </w:t>
      </w:r>
      <w:r w:rsidR="00936A6A" w:rsidRPr="0054671B">
        <w:t xml:space="preserve">use </w:t>
      </w:r>
      <w:r w:rsidR="0011388F" w:rsidRPr="0054671B">
        <w:t xml:space="preserve">the </w:t>
      </w:r>
      <w:r w:rsidR="00936A6A" w:rsidRPr="0054671B">
        <w:t xml:space="preserve">clustering </w:t>
      </w:r>
      <w:r w:rsidR="0011388F" w:rsidRPr="0054671B">
        <w:t xml:space="preserve">algorithm </w:t>
      </w:r>
      <w:r w:rsidR="00936A6A" w:rsidRPr="0054671B">
        <w:t>of</w:t>
      </w:r>
      <w:r w:rsidR="0011388F" w:rsidRPr="0054671B">
        <w:t xml:space="preserve"> </w:t>
      </w:r>
      <w:r w:rsidR="0011388F" w:rsidRPr="0054671B">
        <w:fldChar w:fldCharType="begin"/>
      </w:r>
      <w:r w:rsidR="0011388F" w:rsidRPr="0054671B">
        <w:instrText xml:space="preserve"> ADDIN ZOTERO_ITEM CSL_CITATION {"citationID":"BkI7Qkit","properties":{"formattedCitation":"(Peter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54671B">
        <w:fldChar w:fldCharType="separate"/>
      </w:r>
      <w:r w:rsidR="0011388F" w:rsidRPr="0054671B">
        <w:t>Phillips and Sul (2009)</w:t>
      </w:r>
      <w:r w:rsidR="0011388F" w:rsidRPr="0054671B">
        <w:fldChar w:fldCharType="end"/>
      </w:r>
      <w:r w:rsidR="0011388F" w:rsidRPr="0054671B">
        <w:t xml:space="preserve"> </w:t>
      </w:r>
      <w:r w:rsidR="006B26A0" w:rsidRPr="0054671B">
        <w:t>for</w:t>
      </w:r>
      <w:r w:rsidR="00936A6A" w:rsidRPr="0054671B">
        <w:t xml:space="preserve"> </w:t>
      </w:r>
      <w:r w:rsidR="0011388F" w:rsidRPr="0054671B">
        <w:t>club convergence</w:t>
      </w:r>
      <w:r w:rsidR="006B26A0" w:rsidRPr="0054671B">
        <w:t xml:space="preserve"> identification</w:t>
      </w:r>
      <w:r w:rsidR="0011388F" w:rsidRPr="0054671B">
        <w:t xml:space="preserve">. </w:t>
      </w:r>
      <w:r w:rsidR="00B401AE" w:rsidRPr="0054671B">
        <w:t>A</w:t>
      </w:r>
      <w:r w:rsidR="0011388F" w:rsidRPr="0054671B">
        <w:t xml:space="preserve"> summary of this clustering algorithm </w:t>
      </w:r>
      <w:r w:rsidR="00B401AE" w:rsidRPr="0054671B">
        <w:t xml:space="preserve">is </w:t>
      </w:r>
      <w:r w:rsidR="0011388F" w:rsidRPr="0054671B">
        <w:t>in Appendix 1.</w:t>
      </w:r>
      <w:r w:rsidR="0011388F" w:rsidRPr="0054671B">
        <w:rPr>
          <w:rStyle w:val="FootnoteReference"/>
        </w:rPr>
        <w:footnoteReference w:id="1"/>
      </w:r>
    </w:p>
    <w:p w14:paraId="38CF04FF" w14:textId="77777777" w:rsidR="0075497E" w:rsidRPr="0054671B" w:rsidRDefault="0075497E" w:rsidP="0075497E">
      <w:pPr>
        <w:pStyle w:val="ListParagraph"/>
        <w:spacing w:line="360" w:lineRule="auto"/>
        <w:jc w:val="both"/>
      </w:pPr>
    </w:p>
    <w:p w14:paraId="718FD6AC" w14:textId="479EA54D" w:rsidR="000B2C99" w:rsidRPr="0054671B" w:rsidRDefault="00085BF8" w:rsidP="000B2C99">
      <w:pPr>
        <w:pStyle w:val="ListParagraph"/>
        <w:numPr>
          <w:ilvl w:val="2"/>
          <w:numId w:val="2"/>
        </w:numPr>
        <w:ind w:left="1418" w:hanging="709"/>
        <w:rPr>
          <w:rFonts w:ascii="Bookman Old Style" w:eastAsia="Adobe Myungjo Std M" w:hAnsi="Bookman Old Style"/>
          <w:b/>
          <w:szCs w:val="18"/>
        </w:rPr>
      </w:pPr>
      <w:r w:rsidRPr="0054671B">
        <w:rPr>
          <w:rFonts w:ascii="Bookman Old Style" w:eastAsia="Adobe Myungjo Std M" w:hAnsi="Bookman Old Style"/>
          <w:b/>
          <w:szCs w:val="18"/>
        </w:rPr>
        <w:t>Investigating conditioning factors of club convergence</w:t>
      </w:r>
    </w:p>
    <w:p w14:paraId="1C32E378" w14:textId="0FB2B883" w:rsidR="005A15AD" w:rsidRPr="0054671B" w:rsidRDefault="00495E33" w:rsidP="005A15AD">
      <w:pPr>
        <w:spacing w:after="0" w:line="360" w:lineRule="auto"/>
        <w:ind w:leftChars="321" w:left="706"/>
        <w:jc w:val="both"/>
      </w:pPr>
      <w:r w:rsidRPr="0054671B">
        <w:t xml:space="preserve">The literature proposes an important discussion on the conditioning factors of club convergence from two different convergence perspectives. On the one hand, the club convergence hypothesis emphasizes the importance of the initial condition for an economy's transition. On the other hand, </w:t>
      </w:r>
      <w:r w:rsidRPr="0054671B">
        <w:lastRenderedPageBreak/>
        <w:t>conditional convergence argues that structural characteristics completely affect the long-run growth path, while the initial condition is exogenous</w:t>
      </w:r>
      <w:r w:rsidR="005A15AD" w:rsidRPr="0054671B">
        <w:t xml:space="preserve"> </w:t>
      </w:r>
      <w:r w:rsidR="005A15AD" w:rsidRPr="0054671B">
        <w:fldChar w:fldCharType="begin"/>
      </w:r>
      <w:r w:rsidR="005A15AD" w:rsidRPr="0054671B">
        <w:instrText xml:space="preserve"> ADDIN ZOTERO_ITEM CSL_CITATION {"citationID":"2gwOi5la","properties":{"formattedCitation":"(Von Lyncker &amp; Thoennessen, 2017)","plainCitation":"(Von Lyncker &amp; Thoennessen, 2017)","noteIndex":0},"citationItems":[{"id":206,"uris":["http://zotero.org/users/local/9Bu69DCL/items/ZZ3DGXNC"],"uri":["http://zotero.org/users/local/9Bu69DCL/items/ZZ3DGXNC"],"itemData":{"id":206,"type":"article-journal","container-title":"Empirical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5A15AD" w:rsidRPr="0054671B">
        <w:fldChar w:fldCharType="separate"/>
      </w:r>
      <w:r w:rsidR="005A15AD" w:rsidRPr="0054671B">
        <w:rPr>
          <w:rFonts w:ascii="Calibri" w:hAnsi="Calibri" w:cs="Calibri"/>
        </w:rPr>
        <w:t>(Von Lyncker &amp; Thoennessen, 2017)</w:t>
      </w:r>
      <w:r w:rsidR="005A15AD" w:rsidRPr="0054671B">
        <w:fldChar w:fldCharType="end"/>
      </w:r>
      <w:r w:rsidR="005A15AD" w:rsidRPr="0054671B">
        <w:t xml:space="preserve">. </w:t>
      </w:r>
    </w:p>
    <w:p w14:paraId="1BD01016" w14:textId="67375A5A" w:rsidR="008036CE" w:rsidRPr="0054671B" w:rsidRDefault="005A15AD" w:rsidP="005A15AD">
      <w:pPr>
        <w:spacing w:after="0" w:line="360" w:lineRule="auto"/>
        <w:ind w:leftChars="327" w:left="719" w:firstLine="14"/>
        <w:jc w:val="both"/>
      </w:pPr>
      <w:r w:rsidRPr="0054671B">
        <w:tab/>
      </w:r>
      <w:r w:rsidR="006417ED" w:rsidRPr="0054671B">
        <w:t>Although</w:t>
      </w:r>
      <w:r w:rsidR="00F04063" w:rsidRPr="0054671B">
        <w:t xml:space="preserve"> </w:t>
      </w:r>
      <w:r w:rsidR="006417ED" w:rsidRPr="0054671B">
        <w:t xml:space="preserve">the club </w:t>
      </w:r>
      <w:r w:rsidR="00F04063" w:rsidRPr="0054671B">
        <w:t xml:space="preserve">convergence method </w:t>
      </w:r>
      <w:r w:rsidR="006417ED" w:rsidRPr="0054671B">
        <w:t>by</w:t>
      </w:r>
      <w:r w:rsidR="00F04063" w:rsidRPr="0054671B">
        <w:t xml:space="preserve"> </w:t>
      </w:r>
      <w:r w:rsidR="00F04063" w:rsidRPr="0054671B">
        <w:fldChar w:fldCharType="begin"/>
      </w:r>
      <w:r w:rsidR="00F04063" w:rsidRPr="0054671B">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4063" w:rsidRPr="0054671B">
        <w:fldChar w:fldCharType="separate"/>
      </w:r>
      <w:r w:rsidR="00F04063" w:rsidRPr="0054671B">
        <w:t>Phillips &amp; Sul (2007)</w:t>
      </w:r>
      <w:r w:rsidR="00F04063" w:rsidRPr="0054671B">
        <w:fldChar w:fldCharType="end"/>
      </w:r>
      <w:r w:rsidR="006417ED" w:rsidRPr="0054671B">
        <w:t xml:space="preserve"> clusters individual units according to their transition path estimates, it </w:t>
      </w:r>
      <w:r w:rsidR="00F04063" w:rsidRPr="0054671B">
        <w:t xml:space="preserve">does not </w:t>
      </w:r>
      <w:r w:rsidR="00B30271" w:rsidRPr="0054671B">
        <w:t>explain the</w:t>
      </w:r>
      <w:r w:rsidR="00F04063" w:rsidRPr="0054671B">
        <w:t xml:space="preserve"> factors</w:t>
      </w:r>
      <w:r w:rsidR="006417ED" w:rsidRPr="0054671B">
        <w:t xml:space="preserve"> that drive</w:t>
      </w:r>
      <w:r w:rsidR="00F04063" w:rsidRPr="0054671B">
        <w:t xml:space="preserve"> club formation</w:t>
      </w:r>
      <w:r w:rsidR="00B30271" w:rsidRPr="0054671B">
        <w:t xml:space="preserve"> </w:t>
      </w:r>
      <w:r w:rsidR="006417ED" w:rsidRPr="0054671B">
        <w:t xml:space="preserve">as </w:t>
      </w:r>
      <w:r w:rsidR="00A8671F" w:rsidRPr="0054671B">
        <w:fldChar w:fldCharType="begin"/>
      </w:r>
      <w:r w:rsidR="00F44D2F" w:rsidRPr="0054671B">
        <w:instrText xml:space="preserve"> ADDIN ZOTERO_ITEM CSL_CITATION {"citationID":"pjNuHOia","properties":{"formattedCitation":"(Azariadis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A8671F" w:rsidRPr="0054671B">
        <w:fldChar w:fldCharType="separate"/>
      </w:r>
      <w:r w:rsidR="00A8671F" w:rsidRPr="0054671B">
        <w:rPr>
          <w:rFonts w:ascii="Calibri" w:hAnsi="Calibri" w:cs="Calibri"/>
        </w:rPr>
        <w:t>Azariadis &amp; Drazen (1990)</w:t>
      </w:r>
      <w:r w:rsidR="00A8671F" w:rsidRPr="0054671B">
        <w:fldChar w:fldCharType="end"/>
      </w:r>
      <w:r w:rsidR="006417ED" w:rsidRPr="0054671B">
        <w:rPr>
          <w:rFonts w:ascii="Calibri" w:hAnsi="Calibri" w:cs="Calibri"/>
        </w:rPr>
        <w:t xml:space="preserve"> and </w:t>
      </w:r>
      <w:r w:rsidR="00A8671F" w:rsidRPr="0054671B">
        <w:rPr>
          <w:rFonts w:ascii="Calibri" w:hAnsi="Calibri" w:cs="Calibri"/>
        </w:rPr>
        <w:fldChar w:fldCharType="begin"/>
      </w:r>
      <w:r w:rsidR="00F44D2F" w:rsidRPr="0054671B">
        <w:rPr>
          <w:rFonts w:ascii="Calibri" w:hAnsi="Calibri" w:cs="Calibri"/>
        </w:rPr>
        <w:instrText xml:space="preserve"> ADDIN ZOTERO_ITEM CSL_CITATION {"citationID":"Gjj5jlvl","properties":{"formattedCitation":"(Galor, 1996)","plainCitation":"(Galor, 1996)","dontUpdate":true,"noteIndex":0},"citationItems":[{"id":82,"uris":["http://zotero.org/users/local/9Bu69DCL/items/RSE97NIJ"],"uri":["http://zotero.org/users/local/9Bu69DCL/items/RSE97NIJ"],"itemData":{"id":82,"type":"article-journal","abstract":"[This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A8671F" w:rsidRPr="0054671B">
        <w:rPr>
          <w:rFonts w:ascii="Calibri" w:hAnsi="Calibri" w:cs="Calibri"/>
        </w:rPr>
        <w:fldChar w:fldCharType="separate"/>
      </w:r>
      <w:r w:rsidR="00A8671F" w:rsidRPr="0054671B">
        <w:rPr>
          <w:rFonts w:ascii="Calibri" w:hAnsi="Calibri" w:cs="Calibri"/>
        </w:rPr>
        <w:t>Galor (1996)</w:t>
      </w:r>
      <w:r w:rsidR="00A8671F" w:rsidRPr="0054671B">
        <w:rPr>
          <w:rFonts w:ascii="Calibri" w:hAnsi="Calibri" w:cs="Calibri"/>
        </w:rPr>
        <w:fldChar w:fldCharType="end"/>
      </w:r>
      <w:r w:rsidR="006417ED" w:rsidRPr="0054671B">
        <w:t xml:space="preserve"> specify as</w:t>
      </w:r>
      <w:r w:rsidR="00B30271" w:rsidRPr="0054671B">
        <w:t xml:space="preserve"> club convergence hypothesis</w:t>
      </w:r>
      <w:r w:rsidR="006417ED" w:rsidRPr="0054671B">
        <w:t>.</w:t>
      </w:r>
      <w:r w:rsidR="00F04063" w:rsidRPr="0054671B">
        <w:t xml:space="preserve"> </w:t>
      </w:r>
      <w:r w:rsidR="006417ED" w:rsidRPr="0054671B">
        <w:t>To complete our analysis, we</w:t>
      </w:r>
      <w:r w:rsidR="008036CE" w:rsidRPr="0054671B">
        <w:t xml:space="preserve"> investigate the conditioning factors of club convergence formation.</w:t>
      </w:r>
    </w:p>
    <w:p w14:paraId="6F27D21D" w14:textId="202F7622" w:rsidR="00B91CDA" w:rsidRPr="0054671B" w:rsidRDefault="008036CE" w:rsidP="005A15AD">
      <w:pPr>
        <w:spacing w:after="0" w:line="360" w:lineRule="auto"/>
        <w:ind w:leftChars="327" w:left="719" w:firstLine="14"/>
        <w:jc w:val="both"/>
      </w:pPr>
      <w:r w:rsidRPr="0054671B">
        <w:t xml:space="preserve">For this purpose, similar to </w:t>
      </w:r>
      <w:r w:rsidR="00F04063" w:rsidRPr="0054671B">
        <w:fldChar w:fldCharType="begin"/>
      </w:r>
      <w:r w:rsidR="00D20F47" w:rsidRPr="0054671B">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F04063" w:rsidRPr="0054671B">
        <w:fldChar w:fldCharType="separate"/>
      </w:r>
      <w:r w:rsidR="00F04063" w:rsidRPr="0054671B">
        <w:t>Bartkowska and Riedl (2012)</w:t>
      </w:r>
      <w:r w:rsidR="00F04063" w:rsidRPr="0054671B">
        <w:fldChar w:fldCharType="end"/>
      </w:r>
      <w:r w:rsidR="00EC1F06" w:rsidRPr="0054671B">
        <w:t xml:space="preserve">, we apply </w:t>
      </w:r>
      <w:r w:rsidR="00E17D71" w:rsidRPr="0054671B">
        <w:t xml:space="preserve">the </w:t>
      </w:r>
      <w:r w:rsidR="00EC1F06" w:rsidRPr="0054671B">
        <w:t>ordered logit model</w:t>
      </w:r>
      <w:r w:rsidR="00F04063" w:rsidRPr="0054671B">
        <w:t xml:space="preserve">. </w:t>
      </w:r>
      <w:r w:rsidR="005A15AD" w:rsidRPr="0054671B">
        <w:t xml:space="preserve">Based on theoretical considerations discussed </w:t>
      </w:r>
      <w:r w:rsidRPr="0054671B">
        <w:t>previously</w:t>
      </w:r>
      <w:r w:rsidR="005A15AD" w:rsidRPr="0054671B">
        <w:t xml:space="preserve">, we </w:t>
      </w:r>
      <w:r w:rsidRPr="0054671B">
        <w:t>test</w:t>
      </w:r>
      <w:r w:rsidR="005A15AD" w:rsidRPr="0054671B">
        <w:t xml:space="preserve"> both initial condition and </w:t>
      </w:r>
      <w:r w:rsidR="00F04063" w:rsidRPr="0054671B">
        <w:t xml:space="preserve">structural characteristics </w:t>
      </w:r>
      <w:r w:rsidRPr="0054671B">
        <w:t xml:space="preserve">as the explanatory factors in the </w:t>
      </w:r>
      <w:r w:rsidR="005A15AD" w:rsidRPr="0054671B">
        <w:t xml:space="preserve">estimation. </w:t>
      </w:r>
    </w:p>
    <w:p w14:paraId="3D89A114" w14:textId="095407DF" w:rsidR="00F04063" w:rsidRPr="0054671B" w:rsidRDefault="008036CE" w:rsidP="00B91CDA">
      <w:pPr>
        <w:spacing w:after="0" w:line="360" w:lineRule="auto"/>
        <w:ind w:leftChars="327" w:left="719" w:firstLine="697"/>
        <w:jc w:val="both"/>
      </w:pPr>
      <w:r w:rsidRPr="0054671B">
        <w:t>In practice, w</w:t>
      </w:r>
      <w:r w:rsidR="00340552" w:rsidRPr="0054671B">
        <w:t>e</w:t>
      </w:r>
      <w:r w:rsidRPr="0054671B">
        <w:t xml:space="preserve"> d</w:t>
      </w:r>
      <w:r w:rsidR="00F04063" w:rsidRPr="0054671B">
        <w:t>enote</w:t>
      </w:r>
      <w:r w:rsidRPr="0054671B">
        <w:t xml:space="preserve"> each club convergence</w:t>
      </w:r>
      <w:r w:rsidR="00F04063" w:rsidRPr="0054671B">
        <w:t xml:space="preserve"> as </w:t>
      </w:r>
      <m:oMath>
        <m:r>
          <m:rPr>
            <m:sty m:val="bi"/>
          </m:rPr>
          <w:rPr>
            <w:rFonts w:ascii="Cambria Math" w:hAnsi="Cambria Math"/>
          </w:rPr>
          <m:t>c</m:t>
        </m:r>
      </m:oMath>
      <w:r w:rsidR="00F04063" w:rsidRPr="0054671B">
        <w:t xml:space="preserve"> = 1,</w:t>
      </w:r>
      <w:r w:rsidR="00340552" w:rsidRPr="0054671B">
        <w:t xml:space="preserve"> 2,</w:t>
      </w:r>
      <w:r w:rsidR="0071065A" w:rsidRPr="0054671B">
        <w:t xml:space="preserve"> </w:t>
      </w:r>
      <w:r w:rsidR="00340552" w:rsidRPr="0054671B">
        <w:t xml:space="preserve">… </w:t>
      </w:r>
      <m:oMath>
        <m:r>
          <m:rPr>
            <m:sty m:val="bi"/>
          </m:rPr>
          <w:rPr>
            <w:rFonts w:ascii="Cambria Math" w:hAnsi="Cambria Math"/>
          </w:rPr>
          <m:t>c</m:t>
        </m:r>
      </m:oMath>
      <w:r w:rsidR="00340552" w:rsidRPr="0054671B">
        <w:t xml:space="preserve">, </w:t>
      </w:r>
      <w:r w:rsidR="00F04063" w:rsidRPr="0054671B">
        <w:t xml:space="preserve"> where</w:t>
      </w:r>
      <w:r w:rsidR="00F04063" w:rsidRPr="0054671B">
        <w:rPr>
          <w:i/>
          <w:iCs/>
        </w:rPr>
        <w:t xml:space="preserve"> </w:t>
      </w:r>
      <m:oMath>
        <m:r>
          <m:rPr>
            <m:sty m:val="bi"/>
          </m:rPr>
          <w:rPr>
            <w:rFonts w:ascii="Cambria Math" w:hAnsi="Cambria Math"/>
          </w:rPr>
          <m:t>c</m:t>
        </m:r>
      </m:oMath>
      <w:r w:rsidR="00F04063" w:rsidRPr="0054671B">
        <w:t xml:space="preserve"> </w:t>
      </w:r>
      <w:r w:rsidR="00E17D71" w:rsidRPr="0054671B">
        <w:t xml:space="preserve">is </w:t>
      </w:r>
      <w:r w:rsidR="00F04063" w:rsidRPr="0054671B">
        <w:t>categorical</w:t>
      </w:r>
      <w:r w:rsidR="00E17D71" w:rsidRPr="0054671B">
        <w:t xml:space="preserve"> </w:t>
      </w:r>
      <w:r w:rsidR="00340552" w:rsidRPr="0054671B">
        <w:t xml:space="preserve">according to </w:t>
      </w:r>
      <w:r w:rsidR="0071065A" w:rsidRPr="0054671B">
        <w:t>the number of club convergence identified</w:t>
      </w:r>
      <w:r w:rsidR="00F04063" w:rsidRPr="0054671B">
        <w:t xml:space="preserve">. </w:t>
      </w:r>
      <w:r w:rsidRPr="0054671B">
        <w:t>Since</w:t>
      </w:r>
      <w:r w:rsidR="00F04063" w:rsidRPr="0054671B">
        <w:t xml:space="preserve"> the method of </w:t>
      </w:r>
      <w:r w:rsidR="00F04063" w:rsidRPr="0054671B">
        <w:fldChar w:fldCharType="begin"/>
      </w:r>
      <w:r w:rsidR="004C42BA" w:rsidRPr="0054671B">
        <w:instrText xml:space="preserve"> ADDIN ZOTERO_ITEM CSL_CITATION {"citationID":"Hf4rwFA3","properties":{"formattedCitation":"(Phillips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F04063" w:rsidRPr="0054671B">
        <w:fldChar w:fldCharType="separate"/>
      </w:r>
      <w:r w:rsidR="0071065A" w:rsidRPr="0054671B">
        <w:rPr>
          <w:rFonts w:ascii="Calibri" w:hAnsi="Calibri" w:cs="Calibri"/>
        </w:rPr>
        <w:t>Phillips &amp; Sul (2007, 2009)</w:t>
      </w:r>
      <w:r w:rsidR="00F04063" w:rsidRPr="0054671B">
        <w:fldChar w:fldCharType="end"/>
      </w:r>
      <w:r w:rsidR="00F04063" w:rsidRPr="0054671B">
        <w:t xml:space="preserve"> </w:t>
      </w:r>
      <w:r w:rsidRPr="0054671B">
        <w:t>rank</w:t>
      </w:r>
      <w:r w:rsidR="00E17D71" w:rsidRPr="0054671B">
        <w:t>s</w:t>
      </w:r>
      <w:r w:rsidRPr="0054671B">
        <w:t xml:space="preserve"> the clubs</w:t>
      </w:r>
      <w:r w:rsidR="00F04063" w:rsidRPr="0054671B">
        <w:t xml:space="preserve"> according to the long-run </w:t>
      </w:r>
      <w:r w:rsidR="0071065A" w:rsidRPr="0054671B">
        <w:t>trend</w:t>
      </w:r>
      <w:r w:rsidR="00F04063" w:rsidRPr="0054671B">
        <w:t xml:space="preserve"> of </w:t>
      </w:r>
      <w:r w:rsidR="0071065A" w:rsidRPr="0054671B">
        <w:t xml:space="preserve">each individual </w:t>
      </w:r>
      <w:r w:rsidR="00F04063" w:rsidRPr="0054671B">
        <w:t>in the respective club</w:t>
      </w:r>
      <w:r w:rsidR="0071065A" w:rsidRPr="0054671B">
        <w:t>,</w:t>
      </w:r>
      <w:r w:rsidRPr="0054671B">
        <w:t xml:space="preserve"> we are allowed to arrange</w:t>
      </w:r>
      <w:r w:rsidR="00F04063" w:rsidRPr="0054671B">
        <w:t xml:space="preserve"> </w:t>
      </w:r>
      <m:oMath>
        <m:r>
          <m:rPr>
            <m:sty m:val="bi"/>
          </m:rPr>
          <w:rPr>
            <w:rFonts w:ascii="Cambria Math" w:hAnsi="Cambria Math"/>
          </w:rPr>
          <m:t>c</m:t>
        </m:r>
      </m:oMath>
      <w:r w:rsidR="0071065A" w:rsidRPr="0054671B">
        <w:t xml:space="preserve"> </w:t>
      </w:r>
      <w:r w:rsidRPr="0054671B">
        <w:t>a</w:t>
      </w:r>
      <w:r w:rsidR="0071065A" w:rsidRPr="0054671B">
        <w:t xml:space="preserve">s an ordinal </w:t>
      </w:r>
      <w:r w:rsidR="00F04063" w:rsidRPr="0054671B">
        <w:t>variable</w:t>
      </w:r>
      <w:r w:rsidR="0071065A" w:rsidRPr="0054671B">
        <w:t>.</w:t>
      </w:r>
      <w:r w:rsidR="00F04063" w:rsidRPr="0054671B">
        <w:t xml:space="preserve"> </w:t>
      </w:r>
      <w:r w:rsidR="0071065A" w:rsidRPr="0054671B">
        <w:t>We</w:t>
      </w:r>
      <w:r w:rsidR="00F04063" w:rsidRPr="0054671B">
        <w:t xml:space="preserve"> assume that the</w:t>
      </w:r>
      <w:r w:rsidR="0071065A" w:rsidRPr="0054671B">
        <w:t xml:space="preserve">re </w:t>
      </w:r>
      <w:r w:rsidR="00C52833" w:rsidRPr="0054671B">
        <w:t xml:space="preserve">is </w:t>
      </w:r>
      <w:r w:rsidR="00E17D71" w:rsidRPr="0054671B">
        <w:t xml:space="preserve">an </w:t>
      </w:r>
      <w:r w:rsidR="00C52833" w:rsidRPr="0054671B">
        <w:t xml:space="preserve">unobserved variable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00C52833" w:rsidRPr="0054671B">
        <w:rPr>
          <w:rFonts w:hint="eastAsia"/>
        </w:rPr>
        <w:t xml:space="preserve"> </w:t>
      </w:r>
      <w:r w:rsidR="00C52833" w:rsidRPr="0054671B">
        <w:t xml:space="preserve"> that is related to the long-run wage dynamics of provinces </w:t>
      </w:r>
      <w:r w:rsidR="0071065A" w:rsidRPr="0054671B">
        <w:t xml:space="preserve">that force </w:t>
      </w:r>
      <w:r w:rsidR="00F04063" w:rsidRPr="0054671B">
        <w:t xml:space="preserve">provinces </w:t>
      </w:r>
      <w:r w:rsidR="0071065A" w:rsidRPr="0054671B">
        <w:t xml:space="preserve">being </w:t>
      </w:r>
      <w:r w:rsidR="00F04063" w:rsidRPr="0054671B">
        <w:t>clustered in a certain club.</w:t>
      </w:r>
      <w:r w:rsidR="00A548CB" w:rsidRPr="0054671B">
        <w:t xml:space="preserve"> </w:t>
      </w:r>
      <w:r w:rsidR="00F04063" w:rsidRPr="0054671B">
        <w:t xml:space="preserve">Thus, </w:t>
      </w:r>
      <w:r w:rsidR="00C52833" w:rsidRPr="0054671B">
        <w:t xml:space="preserve">we can write </w:t>
      </w:r>
      <w:r w:rsidR="00F04063" w:rsidRPr="0054671B">
        <w:t>the specification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54671B" w14:paraId="4F1A0AE6" w14:textId="77777777" w:rsidTr="00B91CDA">
        <w:tc>
          <w:tcPr>
            <w:tcW w:w="8080" w:type="dxa"/>
          </w:tcPr>
          <w:p w14:paraId="2E690AB3" w14:textId="77777777" w:rsidR="00B91CDA" w:rsidRPr="0054671B" w:rsidRDefault="00721E62"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54671B" w:rsidRDefault="00B91CDA" w:rsidP="00971B36">
            <w:pPr>
              <w:pStyle w:val="BodyText"/>
              <w:tabs>
                <w:tab w:val="left" w:pos="0"/>
              </w:tabs>
              <w:ind w:rightChars="12" w:right="26"/>
              <w:jc w:val="right"/>
              <w:rPr>
                <w:b w:val="0"/>
                <w:bCs/>
                <w:sz w:val="21"/>
                <w:szCs w:val="21"/>
              </w:rPr>
            </w:pPr>
            <w:r w:rsidRPr="0054671B">
              <w:rPr>
                <w:rFonts w:ascii="Cambria Math" w:hAnsi="Cambria Math"/>
                <w:b w:val="0"/>
                <w:bCs/>
                <w:sz w:val="21"/>
                <w:szCs w:val="21"/>
              </w:rPr>
              <w:t>(9)</w:t>
            </w:r>
          </w:p>
        </w:tc>
      </w:tr>
    </w:tbl>
    <w:p w14:paraId="63F55188" w14:textId="77777777" w:rsidR="00F04063" w:rsidRPr="0054671B" w:rsidRDefault="00F04063" w:rsidP="00F04063">
      <w:pPr>
        <w:pStyle w:val="BodyText"/>
        <w:ind w:leftChars="322" w:left="709" w:hanging="1"/>
        <w:jc w:val="both"/>
      </w:pPr>
    </w:p>
    <w:p w14:paraId="33B76E94" w14:textId="689A467E" w:rsidR="00F04063" w:rsidRPr="0054671B" w:rsidRDefault="00C52833" w:rsidP="00E77782">
      <w:pPr>
        <w:pStyle w:val="BodyText"/>
        <w:spacing w:line="360" w:lineRule="auto"/>
        <w:ind w:leftChars="322" w:left="708"/>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w</w:t>
      </w:r>
      <w:r w:rsidR="00F04063" w:rsidRPr="0054671B">
        <w:rPr>
          <w:rFonts w:asciiTheme="minorHAnsi" w:eastAsiaTheme="minorEastAsia" w:hAnsiTheme="minorHAnsi" w:cstheme="minorBidi"/>
          <w:b w:val="0"/>
          <w:sz w:val="22"/>
          <w:szCs w:val="22"/>
          <w:lang w:val="en-US"/>
        </w:rPr>
        <w:t xml:space="preserve">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00F04063" w:rsidRPr="0054671B">
        <w:rPr>
          <w:rFonts w:asciiTheme="minorHAnsi" w:eastAsiaTheme="minorEastAsia" w:hAnsiTheme="minorHAnsi" w:cstheme="minorBidi"/>
          <w:b w:val="0"/>
          <w:sz w:val="22"/>
          <w:szCs w:val="22"/>
          <w:lang w:val="en-US"/>
        </w:rPr>
        <w:t xml:space="preserve"> </w:t>
      </w:r>
      <w:r w:rsidR="00A548CB" w:rsidRPr="0054671B">
        <w:rPr>
          <w:rFonts w:asciiTheme="minorHAnsi" w:eastAsiaTheme="minorEastAsia" w:hAnsiTheme="minorHAnsi" w:cstheme="minorBidi"/>
          <w:b w:val="0"/>
          <w:sz w:val="22"/>
          <w:szCs w:val="22"/>
          <w:lang w:val="en-US"/>
        </w:rPr>
        <w:t xml:space="preserve">is a vector </w:t>
      </w:r>
      <w:r w:rsidR="00F04063" w:rsidRPr="0054671B">
        <w:rPr>
          <w:rFonts w:asciiTheme="minorHAnsi" w:eastAsiaTheme="minorEastAsia" w:hAnsiTheme="minorHAnsi" w:cstheme="minorBidi"/>
          <w:b w:val="0"/>
          <w:sz w:val="22"/>
          <w:szCs w:val="22"/>
          <w:lang w:val="en-US"/>
        </w:rPr>
        <w:t>consist</w:t>
      </w:r>
      <w:r w:rsidR="00E17D71" w:rsidRPr="0054671B">
        <w:rPr>
          <w:rFonts w:asciiTheme="minorHAnsi" w:eastAsiaTheme="minorEastAsia" w:hAnsiTheme="minorHAnsi" w:cstheme="minorBidi"/>
          <w:b w:val="0"/>
          <w:sz w:val="22"/>
          <w:szCs w:val="22"/>
          <w:lang w:val="en-US"/>
        </w:rPr>
        <w:t>ing</w:t>
      </w:r>
      <w:r w:rsidR="00F04063" w:rsidRPr="0054671B">
        <w:rPr>
          <w:rFonts w:asciiTheme="minorHAnsi" w:eastAsiaTheme="minorEastAsia" w:hAnsiTheme="minorHAnsi" w:cstheme="minorBidi"/>
          <w:b w:val="0"/>
          <w:sz w:val="22"/>
          <w:szCs w:val="22"/>
          <w:lang w:val="en-US"/>
        </w:rPr>
        <w:t xml:space="preserve"> </w:t>
      </w:r>
      <w:r w:rsidR="00A548CB" w:rsidRPr="0054671B">
        <w:rPr>
          <w:rFonts w:asciiTheme="minorHAnsi" w:eastAsiaTheme="minorEastAsia" w:hAnsiTheme="minorHAnsi" w:cstheme="minorBidi"/>
          <w:b w:val="0"/>
          <w:sz w:val="22"/>
          <w:szCs w:val="22"/>
          <w:lang w:val="en-US"/>
        </w:rPr>
        <w:t xml:space="preserve">potential </w:t>
      </w:r>
      <w:r w:rsidR="00F04063" w:rsidRPr="0054671B">
        <w:rPr>
          <w:rFonts w:asciiTheme="minorHAnsi" w:eastAsiaTheme="minorEastAsia" w:hAnsiTheme="minorHAnsi" w:cstheme="minorBidi"/>
          <w:b w:val="0"/>
          <w:sz w:val="22"/>
          <w:szCs w:val="22"/>
          <w:lang w:val="en-US"/>
        </w:rPr>
        <w:t xml:space="preserve">explanatory variables </w:t>
      </w:r>
      <w:r w:rsidR="00A548CB" w:rsidRPr="0054671B">
        <w:rPr>
          <w:rFonts w:asciiTheme="minorHAnsi" w:eastAsiaTheme="minorEastAsia" w:hAnsiTheme="minorHAnsi" w:cstheme="minorBidi"/>
          <w:b w:val="0"/>
          <w:sz w:val="22"/>
          <w:szCs w:val="22"/>
          <w:lang w:val="en-US"/>
        </w:rPr>
        <w:t>for club convergence membership</w:t>
      </w:r>
      <w:r w:rsidR="00F04063" w:rsidRPr="0054671B">
        <w:rPr>
          <w:rFonts w:asciiTheme="minorHAnsi" w:eastAsiaTheme="minorEastAsia" w:hAnsiTheme="minorHAnsi" w:cstheme="minorBidi"/>
          <w:b w:val="0"/>
          <w:sz w:val="22"/>
          <w:szCs w:val="22"/>
          <w:lang w:val="en-US"/>
        </w:rPr>
        <w:t xml:space="preserve">,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00F04063" w:rsidRPr="0054671B">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00F04063" w:rsidRPr="0054671B">
        <w:rPr>
          <w:rFonts w:asciiTheme="minorHAnsi" w:eastAsiaTheme="minorEastAsia" w:hAnsiTheme="minorHAnsi" w:cstheme="minorBidi"/>
          <w:b w:val="0"/>
          <w:sz w:val="22"/>
          <w:szCs w:val="22"/>
          <w:lang w:val="en-US"/>
        </w:rPr>
        <w:t xml:space="preserve"> have a logistic distribution. </w:t>
      </w:r>
      <w:r w:rsidR="00A548CB" w:rsidRPr="0054671B">
        <w:rPr>
          <w:rFonts w:asciiTheme="minorHAnsi" w:eastAsiaTheme="minorEastAsia" w:hAnsiTheme="minorHAnsi" w:cstheme="minorBidi"/>
          <w:b w:val="0"/>
          <w:sz w:val="22"/>
          <w:szCs w:val="22"/>
          <w:lang w:val="en-US"/>
        </w:rPr>
        <w:t xml:space="preserve">The model uses </w:t>
      </w:r>
      <w:r w:rsidR="00C162B8" w:rsidRPr="0054671B">
        <w:rPr>
          <w:rFonts w:asciiTheme="minorHAnsi" w:eastAsiaTheme="minorEastAsia" w:hAnsiTheme="minorHAnsi" w:cstheme="minorBidi"/>
          <w:b w:val="0"/>
          <w:sz w:val="22"/>
          <w:szCs w:val="22"/>
          <w:lang w:val="en-US"/>
        </w:rPr>
        <w:t xml:space="preserve">a </w:t>
      </w:r>
      <w:r w:rsidR="00A548CB" w:rsidRPr="0054671B">
        <w:rPr>
          <w:rFonts w:asciiTheme="minorHAnsi" w:eastAsiaTheme="minorEastAsia" w:hAnsiTheme="minorHAnsi" w:cstheme="minorBidi"/>
          <w:b w:val="0"/>
          <w:sz w:val="22"/>
          <w:szCs w:val="22"/>
          <w:lang w:val="en-US"/>
        </w:rPr>
        <w:t xml:space="preserve">maximum likelihood (ML) estimator to compute </w:t>
      </w:r>
      <w:r w:rsidR="00F04063" w:rsidRPr="0054671B">
        <w:rPr>
          <w:rFonts w:asciiTheme="minorHAnsi" w:eastAsiaTheme="minorEastAsia" w:hAnsiTheme="minorHAnsi" w:cstheme="minorBidi"/>
          <w:b w:val="0"/>
          <w:sz w:val="22"/>
          <w:szCs w:val="22"/>
          <w:lang w:val="en-US"/>
        </w:rPr>
        <w:t xml:space="preserve">the probabilities of observing values of </w:t>
      </w:r>
      <m:oMath>
        <m:r>
          <m:rPr>
            <m:sty m:val="bi"/>
          </m:rPr>
          <w:rPr>
            <w:rFonts w:ascii="Cambria Math" w:eastAsiaTheme="minorEastAsia" w:hAnsi="Cambria Math" w:cstheme="minorBidi"/>
            <w:sz w:val="22"/>
            <w:szCs w:val="22"/>
            <w:lang w:val="en-US"/>
          </w:rPr>
          <m:t>c</m:t>
        </m:r>
      </m:oMath>
      <w:r w:rsidR="00A548CB" w:rsidRPr="0054671B">
        <w:rPr>
          <w:rFonts w:asciiTheme="minorHAnsi" w:eastAsiaTheme="minorEastAsia" w:hAnsiTheme="minorHAnsi" w:cstheme="minorBidi"/>
          <w:b w:val="0"/>
          <w:sz w:val="22"/>
          <w:szCs w:val="22"/>
          <w:lang w:val="en-US"/>
        </w:rPr>
        <w:t>.</w:t>
      </w:r>
      <w:r w:rsidR="00E77782" w:rsidRPr="0054671B">
        <w:rPr>
          <w:rFonts w:asciiTheme="minorHAnsi" w:eastAsiaTheme="minorEastAsia" w:hAnsiTheme="minorHAnsi" w:cstheme="minorBidi" w:hint="eastAsia"/>
          <w:b w:val="0"/>
          <w:sz w:val="22"/>
          <w:szCs w:val="22"/>
          <w:lang w:val="en-US"/>
        </w:rPr>
        <w:t xml:space="preserve"> </w:t>
      </w:r>
      <w:r w:rsidR="00E77782" w:rsidRPr="0054671B">
        <w:rPr>
          <w:rFonts w:asciiTheme="minorHAnsi" w:eastAsiaTheme="minorEastAsia" w:hAnsiTheme="minorHAnsi" w:cstheme="minorBidi"/>
          <w:b w:val="0"/>
          <w:sz w:val="22"/>
          <w:szCs w:val="22"/>
          <w:lang w:val="en-US"/>
        </w:rPr>
        <w:t>Note that although one can assess the directional effect of explanatory variables towards club membership with the</w:t>
      </w:r>
      <w:r w:rsidR="00F04063" w:rsidRPr="0054671B">
        <w:rPr>
          <w:rFonts w:asciiTheme="minorHAnsi" w:eastAsiaTheme="minorEastAsia" w:hAnsiTheme="minorHAnsi" w:cstheme="minorBidi"/>
          <w:b w:val="0"/>
          <w:sz w:val="22"/>
          <w:szCs w:val="22"/>
          <w:lang w:val="en-US"/>
        </w:rPr>
        <w:t xml:space="preserve"> sign of </w:t>
      </w:r>
      <m:oMath>
        <m:r>
          <m:rPr>
            <m:sty m:val="bi"/>
          </m:rPr>
          <w:rPr>
            <w:rFonts w:ascii="Cambria Math" w:eastAsiaTheme="minorEastAsia" w:hAnsi="Cambria Math" w:cstheme="minorBidi"/>
            <w:sz w:val="22"/>
            <w:szCs w:val="22"/>
            <w:lang w:val="en-US"/>
          </w:rPr>
          <m:t>β</m:t>
        </m:r>
      </m:oMath>
      <w:r w:rsidR="00F04063" w:rsidRPr="0054671B">
        <w:rPr>
          <w:rFonts w:asciiTheme="minorHAnsi" w:eastAsiaTheme="minorEastAsia" w:hAnsiTheme="minorHAnsi" w:cstheme="minorBidi"/>
          <w:b w:val="0"/>
          <w:sz w:val="22"/>
          <w:szCs w:val="22"/>
          <w:lang w:val="en-US"/>
        </w:rPr>
        <w:t xml:space="preserve"> coefficients</w:t>
      </w:r>
      <w:r w:rsidR="00E77782" w:rsidRPr="0054671B">
        <w:rPr>
          <w:rFonts w:asciiTheme="minorHAnsi" w:eastAsiaTheme="minorEastAsia" w:hAnsiTheme="minorHAnsi" w:cstheme="minorBidi"/>
          <w:b w:val="0"/>
          <w:sz w:val="22"/>
          <w:szCs w:val="22"/>
          <w:lang w:val="en-US"/>
        </w:rPr>
        <w:t>,</w:t>
      </w:r>
      <w:r w:rsidR="00F04063" w:rsidRPr="0054671B">
        <w:rPr>
          <w:rFonts w:asciiTheme="minorHAnsi" w:eastAsiaTheme="minorEastAsia" w:hAnsiTheme="minorHAnsi" w:cstheme="minorBidi"/>
          <w:b w:val="0"/>
          <w:sz w:val="22"/>
          <w:szCs w:val="22"/>
          <w:lang w:val="en-US"/>
        </w:rPr>
        <w:t xml:space="preserve"> the magnitude </w:t>
      </w:r>
      <w:r w:rsidR="00E77782" w:rsidRPr="0054671B">
        <w:rPr>
          <w:rFonts w:asciiTheme="minorHAnsi" w:eastAsiaTheme="minorEastAsia" w:hAnsiTheme="minorHAnsi" w:cstheme="minorBidi"/>
          <w:b w:val="0"/>
          <w:sz w:val="22"/>
          <w:szCs w:val="22"/>
          <w:lang w:val="en-US"/>
        </w:rPr>
        <w:t xml:space="preserve">does not contain any </w:t>
      </w:r>
      <w:r w:rsidR="00F04063" w:rsidRPr="0054671B">
        <w:rPr>
          <w:rFonts w:asciiTheme="minorHAnsi" w:eastAsiaTheme="minorEastAsia" w:hAnsiTheme="minorHAnsi" w:cstheme="minorBidi"/>
          <w:b w:val="0"/>
          <w:sz w:val="22"/>
          <w:szCs w:val="22"/>
          <w:lang w:val="en-US"/>
        </w:rPr>
        <w:t xml:space="preserve">economic </w:t>
      </w:r>
      <w:r w:rsidR="00E77782" w:rsidRPr="0054671B">
        <w:rPr>
          <w:rFonts w:asciiTheme="minorHAnsi" w:eastAsiaTheme="minorEastAsia" w:hAnsiTheme="minorHAnsi" w:cstheme="minorBidi"/>
          <w:b w:val="0"/>
          <w:sz w:val="22"/>
          <w:szCs w:val="22"/>
          <w:lang w:val="en-US"/>
        </w:rPr>
        <w:t>information</w:t>
      </w:r>
      <w:r w:rsidR="00F04063" w:rsidRPr="0054671B">
        <w:rPr>
          <w:rFonts w:asciiTheme="minorHAnsi" w:eastAsiaTheme="minorEastAsia" w:hAnsiTheme="minorHAnsi" w:cstheme="minorBidi"/>
          <w:b w:val="0"/>
          <w:sz w:val="22"/>
          <w:szCs w:val="22"/>
          <w:lang w:val="en-US"/>
        </w:rPr>
        <w:t xml:space="preserve">. </w:t>
      </w:r>
      <w:r w:rsidR="00043DEB" w:rsidRPr="0054671B">
        <w:rPr>
          <w:rFonts w:asciiTheme="minorHAnsi" w:eastAsiaTheme="minorEastAsia" w:hAnsiTheme="minorHAnsi" w:cstheme="minorBidi"/>
          <w:b w:val="0"/>
          <w:sz w:val="22"/>
          <w:szCs w:val="22"/>
          <w:lang w:val="en-US"/>
        </w:rPr>
        <w:t>Therefore, in addition to</w:t>
      </w:r>
      <w:r w:rsidR="00F04063" w:rsidRPr="0054671B">
        <w:rPr>
          <w:rFonts w:asciiTheme="minorHAnsi" w:eastAsiaTheme="minorEastAsia" w:hAnsiTheme="minorHAnsi" w:cstheme="minorBidi"/>
          <w:b w:val="0"/>
          <w:sz w:val="22"/>
          <w:szCs w:val="22"/>
          <w:lang w:val="en-US"/>
        </w:rPr>
        <w:t xml:space="preserve"> the directional information</w:t>
      </w:r>
      <w:r w:rsidR="00043DEB" w:rsidRPr="0054671B">
        <w:rPr>
          <w:rFonts w:asciiTheme="minorHAnsi" w:eastAsiaTheme="minorEastAsia" w:hAnsiTheme="minorHAnsi" w:cstheme="minorBidi"/>
          <w:b w:val="0"/>
          <w:sz w:val="22"/>
          <w:szCs w:val="22"/>
          <w:lang w:val="en-US"/>
        </w:rPr>
        <w:t xml:space="preserve"> given by the sign of </w:t>
      </w:r>
      <m:oMath>
        <m:r>
          <m:rPr>
            <m:sty m:val="bi"/>
          </m:rPr>
          <w:rPr>
            <w:rFonts w:ascii="Cambria Math" w:eastAsiaTheme="minorEastAsia" w:hAnsi="Cambria Math" w:cstheme="minorBidi"/>
            <w:sz w:val="22"/>
            <w:szCs w:val="22"/>
            <w:lang w:val="en-US"/>
          </w:rPr>
          <m:t>β</m:t>
        </m:r>
      </m:oMath>
      <w:r w:rsidR="00043DEB" w:rsidRPr="0054671B">
        <w:rPr>
          <w:rFonts w:asciiTheme="minorHAnsi" w:eastAsiaTheme="minorEastAsia" w:hAnsiTheme="minorHAnsi" w:cstheme="minorBidi"/>
          <w:b w:val="0"/>
          <w:sz w:val="22"/>
          <w:szCs w:val="22"/>
          <w:lang w:val="en-US"/>
        </w:rPr>
        <w:t xml:space="preserve"> coefficients</w:t>
      </w:r>
      <w:r w:rsidR="00F04063" w:rsidRPr="0054671B">
        <w:rPr>
          <w:rFonts w:asciiTheme="minorHAnsi" w:eastAsiaTheme="minorEastAsia" w:hAnsiTheme="minorHAnsi" w:cstheme="minorBidi"/>
          <w:b w:val="0"/>
          <w:sz w:val="22"/>
          <w:szCs w:val="22"/>
          <w:lang w:val="en-US"/>
        </w:rPr>
        <w:t xml:space="preserve">, we </w:t>
      </w:r>
      <w:r w:rsidR="00043DEB" w:rsidRPr="0054671B">
        <w:rPr>
          <w:rFonts w:asciiTheme="minorHAnsi" w:eastAsiaTheme="minorEastAsia" w:hAnsiTheme="minorHAnsi" w:cstheme="minorBidi"/>
          <w:b w:val="0"/>
          <w:sz w:val="22"/>
          <w:szCs w:val="22"/>
          <w:lang w:val="en-US"/>
        </w:rPr>
        <w:t>further compute the</w:t>
      </w:r>
      <w:r w:rsidR="00F04063" w:rsidRPr="0054671B">
        <w:rPr>
          <w:rFonts w:asciiTheme="minorHAnsi" w:eastAsiaTheme="minorEastAsia" w:hAnsiTheme="minorHAnsi" w:cstheme="minorBidi"/>
          <w:b w:val="0"/>
          <w:sz w:val="22"/>
          <w:szCs w:val="22"/>
          <w:lang w:val="en-US"/>
        </w:rPr>
        <w:t xml:space="preserve"> marginal effects </w:t>
      </w:r>
      <w:r w:rsidRPr="0054671B">
        <w:rPr>
          <w:rFonts w:asciiTheme="minorHAnsi" w:eastAsiaTheme="minorEastAsia" w:hAnsiTheme="minorHAnsi" w:cstheme="minorBidi"/>
          <w:b w:val="0"/>
          <w:sz w:val="22"/>
          <w:szCs w:val="22"/>
          <w:lang w:val="en-US"/>
        </w:rPr>
        <w:t xml:space="preserve">of a given unit change in each </w:t>
      </w:r>
      <w:r w:rsidR="00F04063" w:rsidRPr="0054671B">
        <w:rPr>
          <w:rFonts w:asciiTheme="minorHAnsi" w:eastAsiaTheme="minorEastAsia" w:hAnsiTheme="minorHAnsi" w:cstheme="minorBidi"/>
          <w:b w:val="0"/>
          <w:sz w:val="22"/>
          <w:szCs w:val="22"/>
          <w:lang w:val="en-US"/>
        </w:rPr>
        <w:t>explanatory variable on predicted probability,</w:t>
      </w:r>
      <w:r w:rsidR="00895A5D" w:rsidRPr="0054671B">
        <w:rPr>
          <w:rFonts w:asciiTheme="minorHAnsi" w:eastAsiaTheme="minorEastAsia" w:hAnsiTheme="minorHAnsi" w:cstheme="minorBidi"/>
          <w:b w:val="0"/>
          <w:sz w:val="22"/>
          <w:szCs w:val="22"/>
          <w:lang w:val="en-US"/>
        </w:rPr>
        <w:t xml:space="preserve"> </w:t>
      </w:r>
      <w:r w:rsidR="00043DEB" w:rsidRPr="0054671B">
        <w:rPr>
          <w:rFonts w:asciiTheme="minorHAnsi" w:eastAsiaTheme="minorEastAsia" w:hAnsiTheme="minorHAnsi" w:cstheme="minorBidi"/>
          <w:b w:val="0"/>
          <w:sz w:val="22"/>
          <w:szCs w:val="22"/>
          <w:lang w:val="en-US"/>
        </w:rPr>
        <w:t xml:space="preserve">holding </w:t>
      </w:r>
      <w:r w:rsidR="00F04063" w:rsidRPr="0054671B">
        <w:rPr>
          <w:rFonts w:asciiTheme="minorHAnsi" w:eastAsiaTheme="minorEastAsia" w:hAnsiTheme="minorHAnsi" w:cstheme="minorBidi"/>
          <w:b w:val="0"/>
          <w:sz w:val="22"/>
          <w:szCs w:val="22"/>
          <w:lang w:val="en-US"/>
        </w:rPr>
        <w:t xml:space="preserve">other variables </w:t>
      </w:r>
      <w:r w:rsidR="00043DEB" w:rsidRPr="0054671B">
        <w:rPr>
          <w:rFonts w:asciiTheme="minorHAnsi" w:eastAsiaTheme="minorEastAsia" w:hAnsiTheme="minorHAnsi" w:cstheme="minorBidi"/>
          <w:b w:val="0"/>
          <w:sz w:val="22"/>
          <w:szCs w:val="22"/>
          <w:lang w:val="en-US"/>
        </w:rPr>
        <w:t>constant</w:t>
      </w:r>
      <w:r w:rsidR="00F04063" w:rsidRPr="0054671B">
        <w:rPr>
          <w:rFonts w:asciiTheme="minorHAnsi" w:eastAsiaTheme="minorEastAsia" w:hAnsiTheme="minorHAnsi" w:cstheme="minorBidi"/>
          <w:b w:val="0"/>
          <w:sz w:val="22"/>
          <w:szCs w:val="22"/>
          <w:lang w:val="en-US"/>
        </w:rPr>
        <w:t>.</w:t>
      </w:r>
    </w:p>
    <w:p w14:paraId="75D442C9" w14:textId="77777777" w:rsidR="0011388F" w:rsidRPr="0054671B" w:rsidRDefault="0011388F" w:rsidP="00F04063">
      <w:pPr>
        <w:ind w:left="720"/>
        <w:rPr>
          <w:rFonts w:ascii="Bookman Old Style" w:eastAsia="Adobe Myungjo Std M" w:hAnsi="Bookman Old Style"/>
          <w:b/>
          <w:szCs w:val="18"/>
          <w:lang w:val="en-GB"/>
        </w:rPr>
      </w:pPr>
    </w:p>
    <w:p w14:paraId="491631AE" w14:textId="08435BA9" w:rsidR="00186716" w:rsidRPr="0054671B" w:rsidRDefault="00F04063" w:rsidP="009C6E3C">
      <w:pPr>
        <w:pStyle w:val="ListParagraph"/>
        <w:numPr>
          <w:ilvl w:val="1"/>
          <w:numId w:val="2"/>
        </w:numPr>
        <w:spacing w:after="0" w:line="360" w:lineRule="auto"/>
        <w:contextualSpacing w:val="0"/>
        <w:rPr>
          <w:rFonts w:ascii="Bookman Old Style" w:eastAsia="Adobe Myungjo Std M" w:hAnsi="Bookman Old Style"/>
          <w:b/>
          <w:szCs w:val="18"/>
        </w:rPr>
      </w:pPr>
      <w:r w:rsidRPr="0054671B">
        <w:rPr>
          <w:rFonts w:ascii="Bookman Old Style" w:eastAsia="Adobe Myungjo Std M" w:hAnsi="Bookman Old Style" w:hint="eastAsia"/>
          <w:b/>
          <w:szCs w:val="18"/>
        </w:rPr>
        <w:t>D</w:t>
      </w:r>
      <w:r w:rsidRPr="0054671B">
        <w:rPr>
          <w:rFonts w:ascii="Bookman Old Style" w:eastAsia="Adobe Myungjo Std M" w:hAnsi="Bookman Old Style"/>
          <w:b/>
          <w:szCs w:val="18"/>
        </w:rPr>
        <w:t>ata</w:t>
      </w:r>
    </w:p>
    <w:p w14:paraId="78494A1E" w14:textId="49D909E8" w:rsidR="00FD509B" w:rsidRPr="0054671B" w:rsidRDefault="00186716" w:rsidP="009C6E3C">
      <w:pPr>
        <w:pStyle w:val="ListParagraph"/>
        <w:spacing w:after="0" w:line="360" w:lineRule="auto"/>
        <w:contextualSpacing w:val="0"/>
        <w:jc w:val="both"/>
      </w:pPr>
      <w:r w:rsidRPr="0054671B">
        <w:t>As a proxy of regional wage, we use</w:t>
      </w:r>
      <w:r w:rsidR="002A3BE4" w:rsidRPr="0054671B">
        <w:t xml:space="preserve"> the average of</w:t>
      </w:r>
      <w:r w:rsidRPr="0054671B">
        <w:t xml:space="preserve"> net nominal income per month </w:t>
      </w:r>
      <w:r w:rsidR="002A3BE4" w:rsidRPr="0054671B">
        <w:t xml:space="preserve">received by a general worker </w:t>
      </w:r>
      <w:r w:rsidRPr="0054671B">
        <w:t xml:space="preserve">(in thousand </w:t>
      </w:r>
      <w:r w:rsidR="002A72FE" w:rsidRPr="0054671B">
        <w:t>IDR</w:t>
      </w:r>
      <w:r w:rsidRPr="0054671B">
        <w:t>)</w:t>
      </w:r>
      <w:r w:rsidR="002A3BE4" w:rsidRPr="0054671B">
        <w:t xml:space="preserve"> </w:t>
      </w:r>
      <w:r w:rsidRPr="0054671B">
        <w:t xml:space="preserve">published by </w:t>
      </w:r>
      <w:r w:rsidR="00D4256D" w:rsidRPr="0054671B">
        <w:t>BPS</w:t>
      </w:r>
      <w:r w:rsidRPr="0054671B">
        <w:t>.</w:t>
      </w:r>
      <w:r w:rsidR="00FD509B" w:rsidRPr="0054671B">
        <w:t xml:space="preserve"> </w:t>
      </w:r>
      <w:r w:rsidR="007D774B" w:rsidRPr="0054671B">
        <w:t>According to BPS, the net nominal income per month is defined as remuneration received during the last month in the form of money or goods received by a person considered an own-account worker, a casual employee in agriculture, or a casual employee non-agriculture sector.</w:t>
      </w:r>
      <w:r w:rsidR="00A73A8C" w:rsidRPr="0054671B">
        <w:t xml:space="preserve"> </w:t>
      </w:r>
      <w:r w:rsidRPr="0054671B">
        <w:t xml:space="preserve">The original </w:t>
      </w:r>
      <w:r w:rsidR="006067F5" w:rsidRPr="0054671B">
        <w:t xml:space="preserve">wage </w:t>
      </w:r>
      <w:r w:rsidRPr="0054671B">
        <w:t>data is in nominal term</w:t>
      </w:r>
      <w:r w:rsidR="00CA7E8E" w:rsidRPr="0054671B">
        <w:t>s</w:t>
      </w:r>
      <w:r w:rsidR="00EF3305" w:rsidRPr="0054671B">
        <w:t>,</w:t>
      </w:r>
      <w:r w:rsidR="00E823FF" w:rsidRPr="0054671B">
        <w:t xml:space="preserve"> and its </w:t>
      </w:r>
      <w:r w:rsidR="00E823FF" w:rsidRPr="0054671B">
        <w:lastRenderedPageBreak/>
        <w:t>statistical measurement is uniform</w:t>
      </w:r>
      <w:r w:rsidR="00DB6940" w:rsidRPr="0054671B">
        <w:t xml:space="preserve"> across provinces and cons</w:t>
      </w:r>
      <w:r w:rsidR="00DB6940" w:rsidRPr="00541C7F">
        <w:t xml:space="preserve">istent over time. </w:t>
      </w:r>
      <w:r w:rsidR="00A32EE0" w:rsidRPr="00541C7F">
        <w:t xml:space="preserve">Ideally, to </w:t>
      </w:r>
      <w:r w:rsidR="00E025EF" w:rsidRPr="00541C7F">
        <w:t>reflect</w:t>
      </w:r>
      <w:r w:rsidR="00A32EE0" w:rsidRPr="00541C7F">
        <w:t xml:space="preserve"> labor’s purchasing power</w:t>
      </w:r>
      <w:r w:rsidR="00E025EF" w:rsidRPr="00541C7F">
        <w:t xml:space="preserve"> differential across provinces</w:t>
      </w:r>
      <w:r w:rsidR="00A32EE0" w:rsidRPr="00541C7F">
        <w:t xml:space="preserve">, the nominal wage </w:t>
      </w:r>
      <w:r w:rsidR="00E025EF" w:rsidRPr="00541C7F">
        <w:t>should</w:t>
      </w:r>
      <w:r w:rsidR="00A32EE0" w:rsidRPr="00541C7F">
        <w:t xml:space="preserve"> be deflated using the </w:t>
      </w:r>
      <w:r w:rsidR="00804971" w:rsidRPr="00541C7F">
        <w:t xml:space="preserve">estimated absolute </w:t>
      </w:r>
      <w:r w:rsidR="00A32EE0" w:rsidRPr="00541C7F">
        <w:t>cost-of-living</w:t>
      </w:r>
      <w:r w:rsidR="00804971" w:rsidRPr="00541C7F">
        <w:t xml:space="preserve"> </w:t>
      </w:r>
      <w:r w:rsidR="00A32EE0" w:rsidRPr="00541C7F">
        <w:t>of each province</w:t>
      </w:r>
      <w:r w:rsidR="0082421E" w:rsidRPr="00541C7F">
        <w:t xml:space="preserve">, similar </w:t>
      </w:r>
      <w:r w:rsidR="00804971" w:rsidRPr="00541C7F">
        <w:t>to the approach</w:t>
      </w:r>
      <w:r w:rsidR="0082421E" w:rsidRPr="00541C7F">
        <w:t xml:space="preserve"> used by </w:t>
      </w:r>
      <w:r w:rsidR="0082421E" w:rsidRPr="00541C7F">
        <w:fldChar w:fldCharType="begin"/>
      </w:r>
      <w:r w:rsidR="0020617F" w:rsidRPr="00541C7F">
        <w:instrText xml:space="preserve"> ADDIN ZOTERO_ITEM CSL_CITATION {"citationID":"e4mKzjHa","properties":{"formattedCitation":"(Collin et al., 2019)","plainCitation":"(Collin et al., 2019)","dontUpdate":true,"noteIndex":0},"citationItems":[{"id":288,"uris":["http://zotero.org/users/local/9Bu69DCL/items/63EDV5YR"],"uri":["http://zotero.org/users/local/9Bu69DCL/items/63EDV5YR"],"itemData":{"id":288,"type":"article-journal","container-title":"Scandinavian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82421E" w:rsidRPr="00541C7F">
        <w:fldChar w:fldCharType="separate"/>
      </w:r>
      <w:r w:rsidR="0082421E" w:rsidRPr="00541C7F">
        <w:rPr>
          <w:rFonts w:ascii="Calibri" w:hAnsi="Calibri" w:cs="Calibri"/>
        </w:rPr>
        <w:t>Collin et al., (2019)</w:t>
      </w:r>
      <w:r w:rsidR="0082421E" w:rsidRPr="00541C7F">
        <w:fldChar w:fldCharType="end"/>
      </w:r>
      <w:r w:rsidR="0082421E" w:rsidRPr="00541C7F">
        <w:t>.</w:t>
      </w:r>
      <w:r w:rsidR="00A32EE0" w:rsidRPr="00541C7F">
        <w:t xml:space="preserve"> </w:t>
      </w:r>
      <w:r w:rsidR="0082421E" w:rsidRPr="00541C7F">
        <w:t xml:space="preserve">However, </w:t>
      </w:r>
      <w:r w:rsidR="002A47FD" w:rsidRPr="00541C7F">
        <w:t xml:space="preserve">due to data limitation at province level, </w:t>
      </w:r>
      <w:r w:rsidR="00804971" w:rsidRPr="00541C7F">
        <w:t xml:space="preserve">we could not estimate </w:t>
      </w:r>
      <w:r w:rsidR="002A47FD" w:rsidRPr="00541C7F">
        <w:t xml:space="preserve">the </w:t>
      </w:r>
      <w:r w:rsidR="00804971" w:rsidRPr="00541C7F">
        <w:t xml:space="preserve">absolute </w:t>
      </w:r>
      <w:r w:rsidR="0082421E" w:rsidRPr="00541C7F">
        <w:t>cost-of-living</w:t>
      </w:r>
      <w:r w:rsidR="002A47FD" w:rsidRPr="00541C7F">
        <w:t>. I</w:t>
      </w:r>
      <w:r w:rsidR="0082421E" w:rsidRPr="00541C7F">
        <w:t>nstead</w:t>
      </w:r>
      <w:r w:rsidR="002A47FD" w:rsidRPr="00541C7F">
        <w:t>, we</w:t>
      </w:r>
      <w:r w:rsidR="0082421E" w:rsidRPr="00541C7F">
        <w:t xml:space="preserve"> deflate nominal wage using provincial Consumer Price Index (CPI) of 2005 as the base year (2005=100).</w:t>
      </w:r>
      <w:r w:rsidR="006D3D74" w:rsidRPr="00541C7F">
        <w:rPr>
          <w:rStyle w:val="FootnoteReference"/>
        </w:rPr>
        <w:footnoteReference w:id="2"/>
      </w:r>
      <w:r w:rsidR="00D72BA4" w:rsidRPr="00541C7F">
        <w:t xml:space="preserve"> </w:t>
      </w:r>
      <w:r w:rsidR="00487638" w:rsidRPr="00541C7F">
        <w:t>In this way,</w:t>
      </w:r>
      <w:r w:rsidR="00E025EF" w:rsidRPr="00541C7F">
        <w:t xml:space="preserve"> </w:t>
      </w:r>
      <w:r w:rsidR="00487638" w:rsidRPr="00541C7F">
        <w:t>we remove the nominal effects from the change in regional wage</w:t>
      </w:r>
      <w:r w:rsidR="00E025EF" w:rsidRPr="00541C7F">
        <w:t xml:space="preserve"> over time,</w:t>
      </w:r>
      <w:r w:rsidR="003A1BFD" w:rsidRPr="00541C7F">
        <w:t xml:space="preserve"> </w:t>
      </w:r>
      <w:r w:rsidR="00670425" w:rsidRPr="00541C7F">
        <w:t xml:space="preserve">but </w:t>
      </w:r>
      <w:r w:rsidR="00D72BA4" w:rsidRPr="00541C7F">
        <w:t>we ackno</w:t>
      </w:r>
      <w:r w:rsidR="003A1BFD" w:rsidRPr="00541C7F">
        <w:t>w</w:t>
      </w:r>
      <w:r w:rsidR="00D72BA4" w:rsidRPr="00541C7F">
        <w:t>ledge th</w:t>
      </w:r>
      <w:r w:rsidR="00487638" w:rsidRPr="00541C7F">
        <w:t xml:space="preserve">at our real wage </w:t>
      </w:r>
      <w:r w:rsidR="00771AAD" w:rsidRPr="00541C7F">
        <w:t xml:space="preserve">data </w:t>
      </w:r>
      <w:r w:rsidR="00487638" w:rsidRPr="00541C7F">
        <w:t>does not reflect regional variation in labor’s purchasing power.</w:t>
      </w:r>
      <w:r w:rsidR="00554F50" w:rsidRPr="00541C7F">
        <w:t xml:space="preserve"> F</w:t>
      </w:r>
      <w:r w:rsidR="00EC2A20" w:rsidRPr="0054671B">
        <w:t>ig A</w:t>
      </w:r>
      <w:r w:rsidR="00B91087" w:rsidRPr="0054671B">
        <w:t>1</w:t>
      </w:r>
      <w:r w:rsidR="00EC2A20" w:rsidRPr="0054671B">
        <w:t xml:space="preserve"> in the Appendix</w:t>
      </w:r>
      <w:r w:rsidR="00554F50">
        <w:t xml:space="preserve"> demonstrates the evolution of provincial real wage across time, and</w:t>
      </w:r>
      <w:r w:rsidR="00655BBA" w:rsidRPr="0054671B">
        <w:t xml:space="preserve"> </w:t>
      </w:r>
      <w:r w:rsidR="00554F50">
        <w:t>t</w:t>
      </w:r>
      <w:r w:rsidR="00EC2A20" w:rsidRPr="0054671B">
        <w:t>he</w:t>
      </w:r>
      <w:r w:rsidR="002D38FF" w:rsidRPr="0054671B">
        <w:t xml:space="preserve"> summary statistics </w:t>
      </w:r>
      <w:r w:rsidR="00655BBA" w:rsidRPr="0054671B">
        <w:t xml:space="preserve">is provided </w:t>
      </w:r>
      <w:r w:rsidR="002D38FF" w:rsidRPr="0054671B">
        <w:t>in Table A1</w:t>
      </w:r>
      <w:r w:rsidR="00EC2A20" w:rsidRPr="0054671B">
        <w:t xml:space="preserve"> Appendix. </w:t>
      </w:r>
    </w:p>
    <w:p w14:paraId="4D532A1B" w14:textId="77777777" w:rsidR="00FD509B" w:rsidRPr="0054671B" w:rsidRDefault="00FD509B" w:rsidP="00FD509B">
      <w:pPr>
        <w:pStyle w:val="ListParagraph"/>
        <w:spacing w:line="360" w:lineRule="auto"/>
        <w:jc w:val="both"/>
      </w:pPr>
    </w:p>
    <w:p w14:paraId="46A1EDE7" w14:textId="16A32C26" w:rsidR="00511618" w:rsidRPr="0054671B" w:rsidRDefault="00511618" w:rsidP="00FD509B">
      <w:pPr>
        <w:pStyle w:val="ListParagraph"/>
        <w:numPr>
          <w:ilvl w:val="0"/>
          <w:numId w:val="2"/>
        </w:numPr>
        <w:spacing w:line="360" w:lineRule="auto"/>
        <w:jc w:val="both"/>
        <w:rPr>
          <w:rFonts w:ascii="Bookman Old Style" w:eastAsia="Adobe Myungjo Std M" w:hAnsi="Bookman Old Style"/>
          <w:b/>
          <w:szCs w:val="18"/>
        </w:rPr>
      </w:pPr>
      <w:r w:rsidRPr="0054671B">
        <w:rPr>
          <w:rFonts w:ascii="Bookman Old Style" w:eastAsia="Adobe Myungjo Std M" w:hAnsi="Bookman Old Style" w:hint="eastAsia"/>
          <w:b/>
          <w:szCs w:val="18"/>
        </w:rPr>
        <w:t>R</w:t>
      </w:r>
      <w:r w:rsidRPr="0054671B">
        <w:rPr>
          <w:rFonts w:ascii="Bookman Old Style" w:eastAsia="Adobe Myungjo Std M" w:hAnsi="Bookman Old Style"/>
          <w:b/>
          <w:szCs w:val="18"/>
        </w:rPr>
        <w:t>esults and discussion</w:t>
      </w:r>
    </w:p>
    <w:p w14:paraId="5A1613BA" w14:textId="71513548" w:rsidR="00766F05" w:rsidRPr="0054671B" w:rsidRDefault="00766F05" w:rsidP="00766F05">
      <w:pPr>
        <w:pStyle w:val="ListParagraph"/>
        <w:numPr>
          <w:ilvl w:val="1"/>
          <w:numId w:val="2"/>
        </w:numPr>
        <w:rPr>
          <w:rFonts w:ascii="Bookman Old Style" w:eastAsia="Adobe Myungjo Std M" w:hAnsi="Bookman Old Style"/>
          <w:b/>
          <w:szCs w:val="18"/>
        </w:rPr>
      </w:pPr>
      <w:r w:rsidRPr="0054671B">
        <w:rPr>
          <w:rFonts w:ascii="Bookman Old Style" w:eastAsia="Adobe Myungjo Std M" w:hAnsi="Bookman Old Style"/>
          <w:b/>
          <w:szCs w:val="18"/>
        </w:rPr>
        <w:t>Regional wage disparities across Indonesian provinces</w:t>
      </w:r>
    </w:p>
    <w:p w14:paraId="5375FEB2" w14:textId="70B8D019" w:rsidR="00766F05" w:rsidRPr="0054671B" w:rsidRDefault="00766F05" w:rsidP="00766F05">
      <w:pPr>
        <w:pStyle w:val="ListParagraph"/>
        <w:ind w:left="1440"/>
        <w:rPr>
          <w:rFonts w:ascii="Bookman Old Style" w:eastAsia="Adobe Myungjo Std M" w:hAnsi="Bookman Old Style"/>
          <w:b/>
          <w:szCs w:val="18"/>
        </w:rPr>
      </w:pPr>
    </w:p>
    <w:p w14:paraId="231D3738" w14:textId="131C7ED7" w:rsidR="0000776D" w:rsidRPr="0054671B" w:rsidRDefault="00766F05" w:rsidP="00F8326F">
      <w:pPr>
        <w:pStyle w:val="ListParagraph"/>
        <w:spacing w:line="360" w:lineRule="auto"/>
        <w:jc w:val="both"/>
        <w:sectPr w:rsidR="0000776D" w:rsidRPr="0054671B">
          <w:pgSz w:w="12240" w:h="15840"/>
          <w:pgMar w:top="1440" w:right="1440" w:bottom="1440" w:left="1440" w:header="720" w:footer="720" w:gutter="0"/>
          <w:cols w:space="720"/>
          <w:docGrid w:linePitch="360"/>
        </w:sectPr>
      </w:pPr>
      <w:r w:rsidRPr="0054671B">
        <w:t>Before implementing</w:t>
      </w:r>
      <w:r w:rsidR="00183C8A" w:rsidRPr="0054671B">
        <w:t xml:space="preserve"> the</w:t>
      </w:r>
      <w:r w:rsidRPr="0054671B">
        <w:t xml:space="preserve"> club convergence test, it is important to document the </w:t>
      </w:r>
      <w:r w:rsidR="008E02D5" w:rsidRPr="0054671B">
        <w:t>dynamics</w:t>
      </w:r>
      <w:r w:rsidRPr="0054671B">
        <w:t xml:space="preserve"> of wage</w:t>
      </w:r>
      <w:r w:rsidR="008E02D5" w:rsidRPr="0054671B">
        <w:t xml:space="preserve"> disparity</w:t>
      </w:r>
      <w:r w:rsidRPr="0054671B">
        <w:t xml:space="preserve"> across provinces over time. </w:t>
      </w:r>
      <w:r w:rsidR="008E02D5" w:rsidRPr="0054671B">
        <w:t>F</w:t>
      </w:r>
      <w:r w:rsidRPr="0054671B">
        <w:t>ig 1</w:t>
      </w:r>
      <w:r w:rsidR="008E02D5" w:rsidRPr="0054671B">
        <w:t xml:space="preserve"> plots the coefficient of variation (CV) of regional wage</w:t>
      </w:r>
      <w:r w:rsidRPr="0054671B">
        <w:t>,</w:t>
      </w:r>
      <w:r w:rsidR="008E02D5" w:rsidRPr="0054671B">
        <w:t xml:space="preserve"> both in real and nominal terms.</w:t>
      </w:r>
      <w:r w:rsidRPr="0054671B">
        <w:t xml:space="preserve"> </w:t>
      </w:r>
      <w:r w:rsidR="008E02D5" w:rsidRPr="0054671B">
        <w:t xml:space="preserve">The plot clearly shows </w:t>
      </w:r>
      <w:r w:rsidR="0042503C" w:rsidRPr="0054671B">
        <w:t>the absence</w:t>
      </w:r>
      <w:r w:rsidR="008E02D5" w:rsidRPr="0054671B">
        <w:t xml:space="preserve"> of sigma convergence in </w:t>
      </w:r>
      <w:r w:rsidR="0042503C" w:rsidRPr="0054671B">
        <w:t xml:space="preserve">both </w:t>
      </w:r>
      <w:r w:rsidRPr="0054671B">
        <w:t>regional</w:t>
      </w:r>
      <w:r w:rsidR="0042503C" w:rsidRPr="0054671B">
        <w:t xml:space="preserve"> real and nominal</w:t>
      </w:r>
      <w:r w:rsidRPr="0054671B">
        <w:t xml:space="preserve"> wage</w:t>
      </w:r>
      <w:r w:rsidR="008E02D5" w:rsidRPr="0054671B">
        <w:t>, that is,</w:t>
      </w:r>
      <w:r w:rsidRPr="0054671B">
        <w:t xml:space="preserve"> </w:t>
      </w:r>
      <w:r w:rsidR="008E02D5" w:rsidRPr="0054671B">
        <w:t xml:space="preserve">the </w:t>
      </w:r>
      <w:r w:rsidRPr="0054671B">
        <w:t xml:space="preserve">dispersion </w:t>
      </w:r>
      <w:r w:rsidR="008E02D5" w:rsidRPr="0054671B">
        <w:t>of</w:t>
      </w:r>
      <w:r w:rsidR="0042503C" w:rsidRPr="0054671B">
        <w:t xml:space="preserve"> w</w:t>
      </w:r>
      <w:r w:rsidR="008E02D5" w:rsidRPr="0054671B">
        <w:t>age in the final period is higher than in the initial period.</w:t>
      </w:r>
      <w:r w:rsidR="00DC7519" w:rsidRPr="0054671B">
        <w:rPr>
          <w:rStyle w:val="FootnoteReference"/>
        </w:rPr>
        <w:footnoteReference w:id="3"/>
      </w:r>
      <w:r w:rsidR="008E02D5" w:rsidRPr="0054671B">
        <w:t xml:space="preserve"> </w:t>
      </w:r>
      <w:r w:rsidR="00C96DA5" w:rsidRPr="0054671B">
        <w:t xml:space="preserve">Interestingly, the trend of regional wage dispersion in Indonesia is different from that in China and India. </w:t>
      </w:r>
      <w:r w:rsidR="004D5DDD" w:rsidRPr="0054671B">
        <w:t>As shown in Fig 2</w:t>
      </w:r>
      <w:r w:rsidR="00601C3C" w:rsidRPr="0054671B">
        <w:t xml:space="preserve">, </w:t>
      </w:r>
      <w:r w:rsidR="0055597E" w:rsidRPr="0054671B">
        <w:t>dispersion in regional wage in these two developing and most populated countries in Asia exhibits a declining trend during the same observation period.</w:t>
      </w:r>
      <w:r w:rsidR="00257616" w:rsidRPr="0054671B">
        <w:t xml:space="preserve"> </w:t>
      </w:r>
      <w:r w:rsidR="00DB0CF3" w:rsidRPr="0054671B">
        <w:t>Although the difference in regional wage disparity at the end of the period is relatively subtle (0.185 in China, 0.205 in Indonesia, and 0.216 in India), the difference in the long-run trend is more recognizable, with regional wage disparity in Indonesia being more persistent than in China and India.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33"/>
        <w:gridCol w:w="4007"/>
      </w:tblGrid>
      <w:tr w:rsidR="00F744AF" w:rsidRPr="0054671B" w14:paraId="5313933F" w14:textId="77777777" w:rsidTr="00E17FAB">
        <w:tc>
          <w:tcPr>
            <w:tcW w:w="4422" w:type="dxa"/>
          </w:tcPr>
          <w:p w14:paraId="6D968773" w14:textId="5881AE91" w:rsidR="005E5DB1" w:rsidRPr="0054671B" w:rsidRDefault="00E17FAB" w:rsidP="005E5DB1">
            <w:pPr>
              <w:pStyle w:val="ListParagraph"/>
              <w:spacing w:line="360" w:lineRule="auto"/>
              <w:ind w:left="0"/>
              <w:jc w:val="both"/>
            </w:pPr>
            <w:r>
              <w:rPr>
                <w:noProof/>
              </w:rPr>
              <w:lastRenderedPageBreak/>
              <w:drawing>
                <wp:inline distT="0" distB="0" distL="0" distR="0" wp14:anchorId="0212D83B" wp14:editId="1CC009F4">
                  <wp:extent cx="2971800" cy="1720850"/>
                  <wp:effectExtent l="0" t="0" r="0" b="12700"/>
                  <wp:docPr id="5" name="Chart 5">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218" w:type="dxa"/>
          </w:tcPr>
          <w:p w14:paraId="42D72783" w14:textId="3B098364" w:rsidR="005E5DB1" w:rsidRPr="0054671B" w:rsidRDefault="00F744AF" w:rsidP="005E5DB1">
            <w:pPr>
              <w:pStyle w:val="ListParagraph"/>
              <w:spacing w:line="360" w:lineRule="auto"/>
              <w:ind w:left="0"/>
              <w:jc w:val="both"/>
            </w:pPr>
            <w:r w:rsidRPr="0054671B">
              <w:rPr>
                <w:noProof/>
              </w:rPr>
              <w:drawing>
                <wp:inline distT="0" distB="0" distL="0" distR="0" wp14:anchorId="61371C26" wp14:editId="209C06DD">
                  <wp:extent cx="2545080" cy="1720850"/>
                  <wp:effectExtent l="0" t="0" r="7620" b="12700"/>
                  <wp:docPr id="11" name="Chart 11">
                    <a:extLst xmlns:a="http://schemas.openxmlformats.org/drawingml/2006/main">
                      <a:ext uri="{FF2B5EF4-FFF2-40B4-BE49-F238E27FC236}">
                        <a16:creationId xmlns:a16="http://schemas.microsoft.com/office/drawing/2014/main" id="{4E2B7F61-E9B8-407C-88FE-CA11FF111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F8326F" w:rsidRPr="0054671B" w14:paraId="1C55A536" w14:textId="77777777" w:rsidTr="00E17FAB">
        <w:tc>
          <w:tcPr>
            <w:tcW w:w="4422" w:type="dxa"/>
          </w:tcPr>
          <w:p w14:paraId="33773C89" w14:textId="46592EA4" w:rsidR="00F8326F" w:rsidRPr="0054671B" w:rsidRDefault="00F8326F" w:rsidP="00F8326F">
            <w:pPr>
              <w:pStyle w:val="ListParagraph"/>
              <w:snapToGrid w:val="0"/>
              <w:ind w:left="0"/>
              <w:contextualSpacing w:val="0"/>
              <w:jc w:val="center"/>
              <w:rPr>
                <w:sz w:val="22"/>
                <w:szCs w:val="22"/>
              </w:rPr>
            </w:pPr>
            <w:r w:rsidRPr="0054671B">
              <w:rPr>
                <w:sz w:val="22"/>
                <w:szCs w:val="22"/>
              </w:rPr>
              <w:t>Fig. 1. Dispersion of regional real</w:t>
            </w:r>
            <w:r w:rsidR="009E0162" w:rsidRPr="0054671B">
              <w:rPr>
                <w:sz w:val="22"/>
                <w:szCs w:val="22"/>
              </w:rPr>
              <w:t xml:space="preserve"> and nominal</w:t>
            </w:r>
            <w:r w:rsidRPr="0054671B">
              <w:rPr>
                <w:sz w:val="22"/>
                <w:szCs w:val="22"/>
              </w:rPr>
              <w:t xml:space="preserve"> wage in Indonesia, 2008-2020</w:t>
            </w:r>
          </w:p>
        </w:tc>
        <w:tc>
          <w:tcPr>
            <w:tcW w:w="4218" w:type="dxa"/>
          </w:tcPr>
          <w:p w14:paraId="005A1EA1" w14:textId="749B2E92" w:rsidR="00F8326F" w:rsidRPr="0054671B" w:rsidRDefault="00F8326F" w:rsidP="00F8326F">
            <w:pPr>
              <w:pStyle w:val="ListParagraph"/>
              <w:snapToGrid w:val="0"/>
              <w:ind w:left="0"/>
              <w:contextualSpacing w:val="0"/>
              <w:jc w:val="center"/>
              <w:rPr>
                <w:sz w:val="22"/>
                <w:szCs w:val="22"/>
              </w:rPr>
            </w:pPr>
            <w:r w:rsidRPr="0054671B">
              <w:rPr>
                <w:sz w:val="22"/>
                <w:szCs w:val="22"/>
              </w:rPr>
              <w:t xml:space="preserve">Fig. 2. Dispersion of regional </w:t>
            </w:r>
            <w:r w:rsidR="009E0162" w:rsidRPr="0054671B">
              <w:rPr>
                <w:sz w:val="22"/>
                <w:szCs w:val="22"/>
              </w:rPr>
              <w:t>nominal</w:t>
            </w:r>
            <w:r w:rsidRPr="0054671B">
              <w:rPr>
                <w:sz w:val="22"/>
                <w:szCs w:val="22"/>
              </w:rPr>
              <w:t xml:space="preserve"> wage in China and India, 2008-2019</w:t>
            </w:r>
            <w:r w:rsidRPr="0054671B">
              <w:rPr>
                <w:rStyle w:val="FootnoteReference"/>
                <w:sz w:val="22"/>
                <w:szCs w:val="22"/>
              </w:rPr>
              <w:footnoteReference w:id="4"/>
            </w:r>
          </w:p>
        </w:tc>
      </w:tr>
    </w:tbl>
    <w:p w14:paraId="387C5CBA" w14:textId="77777777" w:rsidR="00766F05" w:rsidRPr="0054671B" w:rsidRDefault="00766F05" w:rsidP="005E5DB1">
      <w:pPr>
        <w:pStyle w:val="ListParagraph"/>
        <w:spacing w:line="360" w:lineRule="auto"/>
        <w:ind w:hanging="11"/>
        <w:jc w:val="both"/>
      </w:pPr>
    </w:p>
    <w:p w14:paraId="0916A468" w14:textId="54F676C9" w:rsidR="00655F0A" w:rsidRPr="0054671B" w:rsidRDefault="00766F05" w:rsidP="00766F05">
      <w:pPr>
        <w:pStyle w:val="ListParagraph"/>
        <w:spacing w:line="360" w:lineRule="auto"/>
        <w:ind w:firstLine="720"/>
        <w:jc w:val="both"/>
      </w:pPr>
      <w:r w:rsidRPr="0054671B">
        <w:t>We also illustrate</w:t>
      </w:r>
      <w:r w:rsidR="002A3BE4" w:rsidRPr="0054671B">
        <w:t xml:space="preserve"> the evolution of </w:t>
      </w:r>
      <w:r w:rsidRPr="0054671B">
        <w:t>regional wage disparities a</w:t>
      </w:r>
      <w:r w:rsidR="002A3BE4" w:rsidRPr="0054671B">
        <w:t xml:space="preserve">mong Indonesian </w:t>
      </w:r>
      <w:r w:rsidRPr="0054671B">
        <w:t>provinces</w:t>
      </w:r>
      <w:r w:rsidR="002A3BE4" w:rsidRPr="0054671B">
        <w:t xml:space="preserve"> over the years</w:t>
      </w:r>
      <w:r w:rsidRPr="0054671B">
        <w:t>.</w:t>
      </w:r>
      <w:r w:rsidR="002A3BE4" w:rsidRPr="0054671B">
        <w:t xml:space="preserve"> As seen from</w:t>
      </w:r>
      <w:r w:rsidRPr="0054671B">
        <w:t xml:space="preserve"> Fig </w:t>
      </w:r>
      <w:r w:rsidR="004D5DDD" w:rsidRPr="0054671B">
        <w:t>3</w:t>
      </w:r>
      <w:r w:rsidR="002A3BE4" w:rsidRPr="0054671B">
        <w:t>,</w:t>
      </w:r>
      <w:r w:rsidRPr="0054671B">
        <w:t xml:space="preserve"> </w:t>
      </w:r>
      <w:r w:rsidR="00ED17C7" w:rsidRPr="0054671B">
        <w:t>generally</w:t>
      </w:r>
      <w:r w:rsidR="00693581" w:rsidRPr="0054671B">
        <w:t>,</w:t>
      </w:r>
      <w:r w:rsidR="00ED17C7" w:rsidRPr="0054671B">
        <w:t xml:space="preserve"> </w:t>
      </w:r>
      <w:r w:rsidR="002A3BE4" w:rsidRPr="0054671B">
        <w:t>t</w:t>
      </w:r>
      <w:r w:rsidRPr="0054671B">
        <w:t xml:space="preserve">he quantiles of the distribution </w:t>
      </w:r>
      <w:r w:rsidR="00ED17C7" w:rsidRPr="0054671B">
        <w:t xml:space="preserve">show persistent gaps </w:t>
      </w:r>
      <w:r w:rsidRPr="0054671B">
        <w:t>over time</w:t>
      </w:r>
      <w:r w:rsidR="00ED17C7" w:rsidRPr="0054671B">
        <w:t>, i</w:t>
      </w:r>
      <w:r w:rsidRPr="0054671B">
        <w:t>ndicat</w:t>
      </w:r>
      <w:r w:rsidR="00ED17C7" w:rsidRPr="0054671B">
        <w:t>ing</w:t>
      </w:r>
      <w:r w:rsidRPr="0054671B">
        <w:t xml:space="preserve"> </w:t>
      </w:r>
      <w:r w:rsidR="00ED17C7" w:rsidRPr="0054671B">
        <w:t>the tendency of steady regional wage disparities</w:t>
      </w:r>
      <w:r w:rsidRPr="0054671B">
        <w:t xml:space="preserve">, similar to what is shown </w:t>
      </w:r>
      <w:r w:rsidR="00601C3C" w:rsidRPr="0054671B">
        <w:t>in</w:t>
      </w:r>
      <w:r w:rsidRPr="0054671B">
        <w:t xml:space="preserve"> Fig 1. </w:t>
      </w:r>
      <w:r w:rsidR="00ED17C7" w:rsidRPr="0054671B">
        <w:t>In particular, the</w:t>
      </w:r>
      <w:r w:rsidRPr="0054671B">
        <w:t xml:space="preserve"> </w:t>
      </w:r>
      <w:r w:rsidR="003E7009" w:rsidRPr="0054671B">
        <w:t>persistent</w:t>
      </w:r>
      <w:r w:rsidR="00733EAF" w:rsidRPr="0054671B">
        <w:t xml:space="preserve"> </w:t>
      </w:r>
      <w:r w:rsidRPr="0054671B">
        <w:t xml:space="preserve">gap between quantile 95 and </w:t>
      </w:r>
      <w:r w:rsidR="00733EAF" w:rsidRPr="0054671B">
        <w:t xml:space="preserve">the rest of quantiles and </w:t>
      </w:r>
      <w:r w:rsidR="0017145C" w:rsidRPr="0054671B">
        <w:t xml:space="preserve">the </w:t>
      </w:r>
      <w:r w:rsidR="00733EAF" w:rsidRPr="0054671B">
        <w:t xml:space="preserve">widening gap between quantile 75 and quantile 50 after 2017 implies a systematic difference between high-wage provinces and the rest of provinces that might be related to the structural differences. </w:t>
      </w:r>
      <w:r w:rsidRPr="0054671B">
        <w:t>Th</w:t>
      </w:r>
      <w:r w:rsidR="00AF6510" w:rsidRPr="0054671B">
        <w:t>is</w:t>
      </w:r>
      <w:r w:rsidR="00AB54EE" w:rsidRPr="0054671B">
        <w:t xml:space="preserve"> dynamic of quantiles distribution in provincial wage helps us understand that there is strong symptom of</w:t>
      </w:r>
      <w:r w:rsidRPr="0054671B">
        <w:t xml:space="preserve"> lack of convergence in regional wage across Indonesian provinces</w:t>
      </w:r>
      <w:r w:rsidR="00300811" w:rsidRPr="0054671B">
        <w:t xml:space="preserve"> </w:t>
      </w:r>
      <w:r w:rsidR="00693651" w:rsidRPr="0054671B">
        <w:t>de</w:t>
      </w:r>
      <w:r w:rsidR="00300811" w:rsidRPr="0054671B">
        <w:t>spite</w:t>
      </w:r>
      <w:r w:rsidR="00693651" w:rsidRPr="0054671B">
        <w:t xml:space="preserve"> the massive efforts from the government to enhance regional connectivity</w:t>
      </w:r>
      <w:r w:rsidRPr="0054671B">
        <w:t xml:space="preserve">. </w:t>
      </w:r>
      <w:r w:rsidR="00CE4C2C" w:rsidRPr="0054671B">
        <w:t>However, as</w:t>
      </w:r>
      <w:r w:rsidR="002A70A3" w:rsidRPr="0054671B">
        <w:t xml:space="preserve"> </w:t>
      </w:r>
      <w:r w:rsidR="00CE4C2C" w:rsidRPr="0054671B">
        <w:t xml:space="preserve">discussed in </w:t>
      </w:r>
      <w:r w:rsidR="002A70A3" w:rsidRPr="0054671B">
        <w:t xml:space="preserve">subsection 3.1.2, the econometrics method that we use in the present paper makes </w:t>
      </w:r>
      <w:r w:rsidR="00B94EE5" w:rsidRPr="0054671B">
        <w:t xml:space="preserve">it </w:t>
      </w:r>
      <w:r w:rsidR="002A70A3" w:rsidRPr="0054671B">
        <w:t xml:space="preserve">possible to </w:t>
      </w:r>
      <w:r w:rsidR="004B6CC3" w:rsidRPr="0054671B">
        <w:t xml:space="preserve">identify club convergence, if any, albeit divergence in the entire sample. </w:t>
      </w:r>
      <w:r w:rsidR="00CE4C2C" w:rsidRPr="0054671B">
        <w:t>Therefore</w:t>
      </w:r>
      <w:r w:rsidRPr="0054671B">
        <w:t xml:space="preserve">, </w:t>
      </w:r>
      <w:r w:rsidR="004B6CC3" w:rsidRPr="0054671B">
        <w:t>in the next section, we will test</w:t>
      </w:r>
      <w:r w:rsidRPr="0054671B">
        <w:t xml:space="preserve"> </w:t>
      </w:r>
      <w:r w:rsidR="004B6CC3" w:rsidRPr="0054671B">
        <w:t>the temporary</w:t>
      </w:r>
      <w:r w:rsidR="00AB54EE" w:rsidRPr="0054671B">
        <w:t xml:space="preserve"> conclusion</w:t>
      </w:r>
      <w:r w:rsidRPr="0054671B">
        <w:t xml:space="preserve"> </w:t>
      </w:r>
      <w:r w:rsidR="004B6CC3" w:rsidRPr="0054671B">
        <w:t>of</w:t>
      </w:r>
      <w:r w:rsidR="00373A81" w:rsidRPr="0054671B">
        <w:t xml:space="preserve"> wage</w:t>
      </w:r>
      <w:r w:rsidR="004B6CC3" w:rsidRPr="0054671B">
        <w:t xml:space="preserve"> divergence </w:t>
      </w:r>
      <w:r w:rsidR="00373A81" w:rsidRPr="0054671B">
        <w:t>with a</w:t>
      </w:r>
      <w:r w:rsidRPr="0054671B">
        <w:t xml:space="preserve"> formal econometric framework.</w:t>
      </w:r>
    </w:p>
    <w:p w14:paraId="52DC9B31" w14:textId="77777777" w:rsidR="007C6CF6" w:rsidRPr="0054671B" w:rsidRDefault="007C6CF6" w:rsidP="00766F05">
      <w:pPr>
        <w:pStyle w:val="ListParagraph"/>
        <w:spacing w:line="360" w:lineRule="auto"/>
        <w:ind w:firstLine="720"/>
        <w:jc w:val="both"/>
      </w:pPr>
    </w:p>
    <w:p w14:paraId="58B65890" w14:textId="4C05605B" w:rsidR="00766F05" w:rsidRPr="0054671B" w:rsidRDefault="003235F8" w:rsidP="00766F05">
      <w:pPr>
        <w:pStyle w:val="ListParagraph"/>
        <w:ind w:rightChars="1" w:right="2"/>
        <w:jc w:val="center"/>
        <w:rPr>
          <w:rFonts w:ascii="Bookman Old Style" w:eastAsia="Adobe Myungjo Std M" w:hAnsi="Bookman Old Style"/>
          <w:b/>
          <w:szCs w:val="18"/>
        </w:rPr>
      </w:pPr>
      <w:r>
        <w:rPr>
          <w:noProof/>
        </w:rPr>
        <w:lastRenderedPageBreak/>
        <w:drawing>
          <wp:inline distT="0" distB="0" distL="0" distR="0" wp14:anchorId="663DE1D8" wp14:editId="6ED5BE29">
            <wp:extent cx="3956050" cy="21978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2393" cy="2201330"/>
                    </a:xfrm>
                    <a:prstGeom prst="rect">
                      <a:avLst/>
                    </a:prstGeom>
                    <a:noFill/>
                    <a:ln>
                      <a:noFill/>
                    </a:ln>
                  </pic:spPr>
                </pic:pic>
              </a:graphicData>
            </a:graphic>
          </wp:inline>
        </w:drawing>
      </w:r>
    </w:p>
    <w:p w14:paraId="2235CBAC" w14:textId="288A27D2" w:rsidR="00766F05" w:rsidRPr="0054671B" w:rsidRDefault="00766F05" w:rsidP="00E906E5">
      <w:pPr>
        <w:pStyle w:val="ListParagraph"/>
        <w:spacing w:line="360" w:lineRule="auto"/>
        <w:jc w:val="center"/>
      </w:pPr>
      <w:r w:rsidRPr="0054671B">
        <w:t xml:space="preserve">Fig. </w:t>
      </w:r>
      <w:r w:rsidR="004D5DDD" w:rsidRPr="0054671B">
        <w:t>3</w:t>
      </w:r>
      <w:r w:rsidRPr="0054671B">
        <w:t>. Dispersion of provincial real wage, 2008-2020</w:t>
      </w:r>
    </w:p>
    <w:p w14:paraId="0D9F5864" w14:textId="24AE4A73" w:rsidR="00E906E5" w:rsidRPr="0054671B" w:rsidRDefault="00E906E5" w:rsidP="00E906E5">
      <w:pPr>
        <w:pStyle w:val="ListParagraph"/>
        <w:spacing w:line="360" w:lineRule="auto"/>
        <w:jc w:val="center"/>
      </w:pPr>
    </w:p>
    <w:p w14:paraId="131193D9" w14:textId="77777777" w:rsidR="002C2C3B" w:rsidRPr="0054671B" w:rsidRDefault="002C2C3B" w:rsidP="002C2C3B">
      <w:pPr>
        <w:pStyle w:val="ListParagraph"/>
        <w:ind w:left="1440"/>
        <w:rPr>
          <w:rFonts w:ascii="Bookman Old Style" w:eastAsia="Adobe Myungjo Std M" w:hAnsi="Bookman Old Style"/>
          <w:b/>
          <w:szCs w:val="18"/>
        </w:rPr>
      </w:pPr>
    </w:p>
    <w:p w14:paraId="112D609C" w14:textId="7FC8A67C" w:rsidR="00766F05" w:rsidRPr="0054671B" w:rsidRDefault="00766F05" w:rsidP="007C6CF6">
      <w:pPr>
        <w:pStyle w:val="ListParagraph"/>
        <w:numPr>
          <w:ilvl w:val="1"/>
          <w:numId w:val="2"/>
        </w:numPr>
        <w:rPr>
          <w:rFonts w:ascii="Bookman Old Style" w:eastAsia="Adobe Myungjo Std M" w:hAnsi="Bookman Old Style"/>
          <w:b/>
          <w:szCs w:val="18"/>
        </w:rPr>
      </w:pPr>
      <w:r w:rsidRPr="0054671B">
        <w:rPr>
          <w:rFonts w:ascii="Bookman Old Style" w:eastAsia="Adobe Myungjo Std M" w:hAnsi="Bookman Old Style"/>
          <w:b/>
          <w:szCs w:val="18"/>
        </w:rPr>
        <w:t>Testing</w:t>
      </w:r>
      <w:r w:rsidR="00520C24" w:rsidRPr="0054671B">
        <w:rPr>
          <w:rFonts w:ascii="Bookman Old Style" w:eastAsia="Adobe Myungjo Std M" w:hAnsi="Bookman Old Style"/>
          <w:b/>
          <w:szCs w:val="18"/>
        </w:rPr>
        <w:t xml:space="preserve"> and identifying</w:t>
      </w:r>
      <w:r w:rsidRPr="0054671B">
        <w:rPr>
          <w:rFonts w:ascii="Bookman Old Style" w:eastAsia="Adobe Myungjo Std M" w:hAnsi="Bookman Old Style"/>
          <w:b/>
          <w:szCs w:val="18"/>
        </w:rPr>
        <w:t xml:space="preserve"> for convergence clubs </w:t>
      </w:r>
    </w:p>
    <w:p w14:paraId="0548785C" w14:textId="483E16FF" w:rsidR="00766F05" w:rsidRPr="0054671B" w:rsidRDefault="00766F05" w:rsidP="00766F05">
      <w:pPr>
        <w:pStyle w:val="ListParagraph"/>
        <w:ind w:left="1440"/>
        <w:rPr>
          <w:rFonts w:ascii="Bookman Old Style" w:eastAsia="Adobe Myungjo Std M" w:hAnsi="Bookman Old Style"/>
          <w:b/>
          <w:szCs w:val="18"/>
        </w:rPr>
      </w:pPr>
    </w:p>
    <w:p w14:paraId="227AEA74" w14:textId="60936CFF" w:rsidR="009B4476" w:rsidRPr="0054671B" w:rsidRDefault="00C30155" w:rsidP="00C05620">
      <w:pPr>
        <w:pStyle w:val="ListParagraph"/>
        <w:spacing w:line="360" w:lineRule="auto"/>
        <w:ind w:left="709"/>
        <w:jc w:val="both"/>
      </w:pPr>
      <w:r w:rsidRPr="0054671B">
        <w:t>We begin the formal test f</w:t>
      </w:r>
      <w:r w:rsidR="00276B47" w:rsidRPr="0054671B">
        <w:t>or</w:t>
      </w:r>
      <w:r w:rsidRPr="0054671B">
        <w:t xml:space="preserve"> convergence by </w:t>
      </w:r>
      <w:r w:rsidR="00B575BE" w:rsidRPr="0054671B">
        <w:t>appl</w:t>
      </w:r>
      <w:r w:rsidRPr="0054671B">
        <w:t>ying</w:t>
      </w:r>
      <w:r w:rsidR="00B575BE" w:rsidRPr="0054671B">
        <w:t xml:space="preserve"> log </w:t>
      </w:r>
      <w:r w:rsidR="00B575BE" w:rsidRPr="0054671B">
        <w:rPr>
          <w:i/>
          <w:iCs/>
        </w:rPr>
        <w:t>t</w:t>
      </w:r>
      <w:r w:rsidR="00B575BE" w:rsidRPr="0054671B">
        <w:t xml:space="preserve"> regression on</w:t>
      </w:r>
      <w:r w:rsidRPr="0054671B">
        <w:t xml:space="preserve"> real</w:t>
      </w:r>
      <w:r w:rsidR="00B575BE" w:rsidRPr="0054671B">
        <w:t xml:space="preserve"> wage </w:t>
      </w:r>
      <w:r w:rsidRPr="0054671B">
        <w:t>across</w:t>
      </w:r>
      <w:r w:rsidR="00B575BE" w:rsidRPr="0054671B">
        <w:t xml:space="preserve"> 34 Indonesian provinces over the 2008:</w:t>
      </w:r>
      <w:r w:rsidRPr="0054671B">
        <w:t>01 -</w:t>
      </w:r>
      <w:r w:rsidR="00B575BE" w:rsidRPr="0054671B">
        <w:t xml:space="preserve"> 2020:12</w:t>
      </w:r>
      <w:r w:rsidRPr="0054671B">
        <w:t xml:space="preserve"> period</w:t>
      </w:r>
      <w:r w:rsidR="00B575BE" w:rsidRPr="0054671B">
        <w:t xml:space="preserve">. </w:t>
      </w:r>
      <w:r w:rsidRPr="0054671B">
        <w:t>As reported in Table 1, t</w:t>
      </w:r>
      <w:r w:rsidR="00B575BE" w:rsidRPr="0054671B">
        <w:t>he results s</w:t>
      </w:r>
      <w:r w:rsidRPr="0054671B">
        <w:t>uggest</w:t>
      </w:r>
      <w:r w:rsidR="00B575BE" w:rsidRPr="0054671B">
        <w:t xml:space="preserve"> reject</w:t>
      </w:r>
      <w:r w:rsidR="00276B47" w:rsidRPr="0054671B">
        <w:t>ing the</w:t>
      </w:r>
      <w:r w:rsidR="00B575BE" w:rsidRPr="0054671B">
        <w:t xml:space="preserve"> null hypothesis of overall convergence. </w:t>
      </w:r>
      <w:r w:rsidR="00576796" w:rsidRPr="0054671B">
        <w:t>Therefore, we can support our findings from preliminary inspection and conclude that I</w:t>
      </w:r>
      <w:r w:rsidR="00B575BE" w:rsidRPr="0054671B">
        <w:t xml:space="preserve">ndonesian provinces </w:t>
      </w:r>
      <w:r w:rsidR="00576796" w:rsidRPr="0054671B">
        <w:t>d</w:t>
      </w:r>
      <w:r w:rsidR="00EE56C1">
        <w:t>o</w:t>
      </w:r>
      <w:r w:rsidR="00576796" w:rsidRPr="0054671B">
        <w:t xml:space="preserve"> not converge to a common equilibrium in terms of real wage </w:t>
      </w:r>
      <w:r w:rsidR="00B575BE" w:rsidRPr="0054671B">
        <w:t>during the observation period</w:t>
      </w:r>
      <w:r w:rsidR="00576796" w:rsidRPr="0054671B">
        <w:t>. As real wage is partially linked to the price level in each province, th</w:t>
      </w:r>
      <w:r w:rsidR="00731BE2" w:rsidRPr="0054671B">
        <w:t>is result is consistent with the</w:t>
      </w:r>
      <w:r w:rsidR="00576796" w:rsidRPr="0054671B">
        <w:t xml:space="preserve"> evidence from previous studies where overall convergence is not observed in regional price dynamics across Indonesia prices</w:t>
      </w:r>
      <w:r w:rsidR="00783463" w:rsidRPr="0054671B">
        <w:t xml:space="preserve"> </w:t>
      </w:r>
      <w:r w:rsidR="00576796" w:rsidRPr="0054671B">
        <w:t>(</w:t>
      </w:r>
      <w:r w:rsidR="00783463" w:rsidRPr="0054671B">
        <w:fldChar w:fldCharType="begin"/>
      </w:r>
      <w:r w:rsidR="004C42BA" w:rsidRPr="0054671B">
        <w:instrText xml:space="preserve"> ADDIN ZOTERO_ITEM CSL_CITATION {"citationID":"BkAgc4c8","properties":{"formattedCitation":"(Jangam &amp; Akram, 2019)","plainCitation":"(Jangam &amp; Akram, 2019)","dontUpdate":true,"noteIndex":0},"citationItems":[{"id":51,"uris":["http://zotero.org/users/local/9Bu69DCL/items/KZKTJYPA"],"uri":["http://zotero.org/users/local/9Bu69DCL/items/KZKTJYPA"],"itemData":{"id":51,"type":"article-journal","container-title":"Bulletin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rsidR="00783463" w:rsidRPr="0054671B">
        <w:fldChar w:fldCharType="separate"/>
      </w:r>
      <w:r w:rsidR="00783463" w:rsidRPr="0054671B">
        <w:rPr>
          <w:rFonts w:ascii="Calibri" w:hAnsi="Calibri" w:cs="Calibri"/>
        </w:rPr>
        <w:t>Jangam &amp; Akram</w:t>
      </w:r>
      <w:r w:rsidR="00576796" w:rsidRPr="0054671B">
        <w:rPr>
          <w:rFonts w:ascii="Calibri" w:hAnsi="Calibri" w:cs="Calibri"/>
        </w:rPr>
        <w:t xml:space="preserve">, </w:t>
      </w:r>
      <w:r w:rsidR="00783463" w:rsidRPr="0054671B">
        <w:rPr>
          <w:rFonts w:ascii="Calibri" w:hAnsi="Calibri" w:cs="Calibri"/>
        </w:rPr>
        <w:t>2019</w:t>
      </w:r>
      <w:r w:rsidR="00783463" w:rsidRPr="0054671B">
        <w:fldChar w:fldCharType="end"/>
      </w:r>
      <w:r w:rsidR="00576796" w:rsidRPr="0054671B">
        <w:t>;</w:t>
      </w:r>
      <w:r w:rsidR="00731BE2" w:rsidRPr="0054671B">
        <w:t xml:space="preserve"> </w:t>
      </w:r>
      <w:r w:rsidR="00F60C11" w:rsidRPr="00A47BDF">
        <w:fldChar w:fldCharType="begin"/>
      </w:r>
      <w:r w:rsidR="009B1E97" w:rsidRPr="00A47BDF">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rsidRPr="00A47BDF">
        <w:fldChar w:fldCharType="separate"/>
      </w:r>
      <w:r w:rsidR="00F60C11" w:rsidRPr="00A47BDF">
        <w:rPr>
          <w:rFonts w:ascii="Calibri" w:hAnsi="Calibri" w:cs="Calibri"/>
        </w:rPr>
        <w:t>Aginta 2021)</w:t>
      </w:r>
      <w:r w:rsidR="00F60C11" w:rsidRPr="00A47BDF">
        <w:fldChar w:fldCharType="end"/>
      </w:r>
      <w:r w:rsidR="00576796" w:rsidRPr="00A47BDF">
        <w:t>.</w:t>
      </w:r>
      <w:r w:rsidR="00731BE2" w:rsidRPr="00A47BDF">
        <w:t xml:space="preserve"> </w:t>
      </w:r>
      <w:r w:rsidR="006D276B" w:rsidRPr="00A47BDF">
        <w:t xml:space="preserve">It is important to </w:t>
      </w:r>
      <w:r w:rsidR="009C0D5B" w:rsidRPr="00A47BDF">
        <w:t>emphasize</w:t>
      </w:r>
      <w:r w:rsidR="006D276B" w:rsidRPr="00A47BDF">
        <w:t xml:space="preserve"> that</w:t>
      </w:r>
      <w:r w:rsidR="009C0D5B" w:rsidRPr="00A47BDF">
        <w:t>,</w:t>
      </w:r>
      <w:r w:rsidR="006D276B" w:rsidRPr="00A47BDF">
        <w:t xml:space="preserve"> given the</w:t>
      </w:r>
      <w:r w:rsidR="009C0D5B" w:rsidRPr="00A47BDF">
        <w:t xml:space="preserve"> method used to build r</w:t>
      </w:r>
      <w:r w:rsidR="006D276B" w:rsidRPr="00A47BDF">
        <w:t xml:space="preserve">eal wage data </w:t>
      </w:r>
      <w:r w:rsidR="009C0D5B" w:rsidRPr="00A47BDF">
        <w:t xml:space="preserve">in this analysis </w:t>
      </w:r>
      <w:r w:rsidR="000D5878" w:rsidRPr="00A47BDF">
        <w:t xml:space="preserve">as </w:t>
      </w:r>
      <w:r w:rsidR="009C0D5B" w:rsidRPr="00A47BDF">
        <w:t>describe</w:t>
      </w:r>
      <w:r w:rsidR="006D276B" w:rsidRPr="00A47BDF">
        <w:t xml:space="preserve">d in </w:t>
      </w:r>
      <w:r w:rsidR="0010523A" w:rsidRPr="00A47BDF">
        <w:t>Section 3.2</w:t>
      </w:r>
      <w:r w:rsidR="006D276B" w:rsidRPr="00A47BDF">
        <w:t xml:space="preserve">, the absence of overall convergence from </w:t>
      </w:r>
      <w:r w:rsidR="008E6657" w:rsidRPr="00A47BDF">
        <w:t xml:space="preserve">log </w:t>
      </w:r>
      <w:r w:rsidR="008E6657" w:rsidRPr="00A47BDF">
        <w:rPr>
          <w:i/>
          <w:iCs/>
        </w:rPr>
        <w:t>t</w:t>
      </w:r>
      <w:r w:rsidR="008E6657" w:rsidRPr="00A47BDF">
        <w:t xml:space="preserve"> regression does not necessarily imply divergence in labor’s purchasing power</w:t>
      </w:r>
      <w:r w:rsidR="00EE40CF" w:rsidRPr="00A47BDF">
        <w:t xml:space="preserve"> a</w:t>
      </w:r>
      <w:r w:rsidR="0010523A" w:rsidRPr="00A47BDF">
        <w:t>mong</w:t>
      </w:r>
      <w:r w:rsidR="00EE40CF" w:rsidRPr="00A47BDF">
        <w:t xml:space="preserve"> Indonesian </w:t>
      </w:r>
      <w:r w:rsidR="0010523A" w:rsidRPr="00A47BDF">
        <w:t>provinces</w:t>
      </w:r>
      <w:r w:rsidR="00EE40CF" w:rsidRPr="00A47BDF">
        <w:t>.</w:t>
      </w:r>
    </w:p>
    <w:p w14:paraId="07194A54" w14:textId="15F49F1F" w:rsidR="000D4F2D" w:rsidRPr="0054671B" w:rsidRDefault="000D4F2D" w:rsidP="000D4F2D">
      <w:pPr>
        <w:pStyle w:val="ListParagraph"/>
        <w:spacing w:line="360" w:lineRule="auto"/>
        <w:ind w:left="709"/>
        <w:jc w:val="center"/>
      </w:pPr>
      <w:r w:rsidRPr="0054671B">
        <w:rPr>
          <w:rFonts w:hint="eastAsia"/>
        </w:rPr>
        <w:t>T</w:t>
      </w:r>
      <w:r w:rsidRPr="0054671B">
        <w:t xml:space="preserve">able 1. </w:t>
      </w:r>
      <w:r w:rsidR="00A158F9" w:rsidRPr="0054671B">
        <w:t>Test of o</w:t>
      </w:r>
      <w:r w:rsidRPr="0054671B">
        <w:t>verall convergence</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rsidRPr="0054671B" w14:paraId="7F4BA647" w14:textId="77777777" w:rsidTr="00731BE2">
        <w:tc>
          <w:tcPr>
            <w:tcW w:w="2337" w:type="dxa"/>
            <w:vAlign w:val="center"/>
          </w:tcPr>
          <w:p w14:paraId="2D8B3486" w14:textId="77777777" w:rsidR="000D4F2D" w:rsidRPr="0054671B"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54671B"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54671B">
              <w:rPr>
                <w:rFonts w:hint="eastAsia"/>
                <w:sz w:val="22"/>
                <w:szCs w:val="22"/>
              </w:rPr>
              <w:t>C</w:t>
            </w:r>
            <w:r w:rsidRPr="0054671B">
              <w:rPr>
                <w:sz w:val="22"/>
                <w:szCs w:val="22"/>
              </w:rPr>
              <w:t>oefficient</w:t>
            </w:r>
          </w:p>
        </w:tc>
        <w:tc>
          <w:tcPr>
            <w:tcW w:w="2338" w:type="dxa"/>
            <w:vAlign w:val="center"/>
          </w:tcPr>
          <w:p w14:paraId="2D71461C" w14:textId="4035EE3E" w:rsidR="000D4F2D" w:rsidRPr="0054671B" w:rsidRDefault="000D4F2D" w:rsidP="00C05620">
            <w:pPr>
              <w:pStyle w:val="ListParagraph"/>
              <w:adjustRightInd w:val="0"/>
              <w:snapToGrid w:val="0"/>
              <w:ind w:left="0"/>
              <w:contextualSpacing w:val="0"/>
              <w:jc w:val="center"/>
              <w:rPr>
                <w:sz w:val="22"/>
                <w:szCs w:val="22"/>
              </w:rPr>
            </w:pPr>
            <w:r w:rsidRPr="0054671B">
              <w:rPr>
                <w:rFonts w:hint="eastAsia"/>
                <w:sz w:val="22"/>
                <w:szCs w:val="22"/>
              </w:rPr>
              <w:t>S</w:t>
            </w:r>
            <w:r w:rsidRPr="0054671B">
              <w:rPr>
                <w:sz w:val="22"/>
                <w:szCs w:val="22"/>
              </w:rPr>
              <w:t>tandard error</w:t>
            </w:r>
          </w:p>
        </w:tc>
        <w:tc>
          <w:tcPr>
            <w:tcW w:w="2338" w:type="dxa"/>
            <w:vAlign w:val="center"/>
          </w:tcPr>
          <w:p w14:paraId="6D9B7104" w14:textId="48BE48CD" w:rsidR="000D4F2D" w:rsidRPr="0054671B" w:rsidRDefault="000D4F2D" w:rsidP="00C05620">
            <w:pPr>
              <w:pStyle w:val="ListParagraph"/>
              <w:adjustRightInd w:val="0"/>
              <w:snapToGrid w:val="0"/>
              <w:ind w:left="0"/>
              <w:contextualSpacing w:val="0"/>
              <w:jc w:val="center"/>
              <w:rPr>
                <w:sz w:val="22"/>
                <w:szCs w:val="22"/>
              </w:rPr>
            </w:pPr>
            <w:r w:rsidRPr="0054671B">
              <w:rPr>
                <w:rFonts w:hint="eastAsia"/>
                <w:i/>
                <w:iCs/>
                <w:sz w:val="22"/>
                <w:szCs w:val="22"/>
              </w:rPr>
              <w:t>t</w:t>
            </w:r>
            <w:r w:rsidRPr="0054671B">
              <w:rPr>
                <w:sz w:val="22"/>
                <w:szCs w:val="22"/>
              </w:rPr>
              <w:t>-statistics</w:t>
            </w:r>
          </w:p>
        </w:tc>
      </w:tr>
      <w:tr w:rsidR="000D4F2D" w:rsidRPr="0054671B" w14:paraId="59874F05" w14:textId="77777777" w:rsidTr="00731BE2">
        <w:tc>
          <w:tcPr>
            <w:tcW w:w="2337" w:type="dxa"/>
            <w:vAlign w:val="center"/>
          </w:tcPr>
          <w:p w14:paraId="1436ED81" w14:textId="4A576754" w:rsidR="000D4F2D" w:rsidRPr="0054671B"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54671B">
              <w:rPr>
                <w:sz w:val="22"/>
                <w:szCs w:val="22"/>
              </w:rPr>
              <w:t>Log(t)</w:t>
            </w:r>
          </w:p>
        </w:tc>
        <w:tc>
          <w:tcPr>
            <w:tcW w:w="2337" w:type="dxa"/>
            <w:vAlign w:val="center"/>
          </w:tcPr>
          <w:p w14:paraId="1A421D25" w14:textId="29A575F6" w:rsidR="000D4F2D" w:rsidRPr="0054671B"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54671B">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54671B" w:rsidRDefault="000D4F2D" w:rsidP="00C05620">
            <w:pPr>
              <w:pStyle w:val="HTMLPreformatted"/>
              <w:shd w:val="clear" w:color="auto" w:fill="FFFFFF"/>
              <w:adjustRightInd w:val="0"/>
              <w:snapToGrid w:val="0"/>
              <w:jc w:val="center"/>
              <w:rPr>
                <w:rFonts w:ascii="Lucida Console" w:hAnsi="Lucida Console"/>
                <w:color w:val="000000"/>
                <w:sz w:val="20"/>
                <w:szCs w:val="20"/>
              </w:rPr>
            </w:pPr>
            <w:r w:rsidRPr="0054671B">
              <w:rPr>
                <w:rFonts w:ascii="Lucida Console" w:hAnsi="Lucida Console"/>
                <w:color w:val="000000"/>
                <w:sz w:val="20"/>
                <w:szCs w:val="20"/>
              </w:rPr>
              <w:t>0.014</w:t>
            </w:r>
          </w:p>
        </w:tc>
        <w:tc>
          <w:tcPr>
            <w:tcW w:w="2338" w:type="dxa"/>
            <w:vAlign w:val="center"/>
          </w:tcPr>
          <w:p w14:paraId="39DFCB4E" w14:textId="413ACABD" w:rsidR="000D4F2D" w:rsidRPr="0054671B" w:rsidRDefault="000D4F2D" w:rsidP="00C05620">
            <w:pPr>
              <w:pStyle w:val="HTMLPreformatted"/>
              <w:shd w:val="clear" w:color="auto" w:fill="FFFFFF"/>
              <w:adjustRightInd w:val="0"/>
              <w:snapToGrid w:val="0"/>
              <w:jc w:val="center"/>
              <w:rPr>
                <w:rFonts w:ascii="Lucida Console" w:hAnsi="Lucida Console"/>
                <w:color w:val="000000"/>
                <w:sz w:val="20"/>
                <w:szCs w:val="20"/>
              </w:rPr>
            </w:pPr>
            <w:r w:rsidRPr="0054671B">
              <w:rPr>
                <w:rFonts w:ascii="Lucida Console" w:hAnsi="Lucida Console"/>
                <w:color w:val="000000"/>
                <w:sz w:val="20"/>
                <w:szCs w:val="20"/>
              </w:rPr>
              <w:t>-79.721</w:t>
            </w:r>
          </w:p>
        </w:tc>
      </w:tr>
    </w:tbl>
    <w:p w14:paraId="25EB4CA9" w14:textId="302CF8B7" w:rsidR="000D4F2D" w:rsidRPr="0054671B" w:rsidRDefault="000D4F2D" w:rsidP="00B575BE">
      <w:pPr>
        <w:pStyle w:val="ListParagraph"/>
        <w:spacing w:line="360" w:lineRule="auto"/>
        <w:ind w:left="709"/>
        <w:jc w:val="both"/>
        <w:rPr>
          <w:sz w:val="20"/>
          <w:szCs w:val="20"/>
        </w:rPr>
      </w:pPr>
      <w:r w:rsidRPr="0054671B">
        <w:rPr>
          <w:rFonts w:hint="eastAsia"/>
          <w:i/>
          <w:iCs/>
          <w:sz w:val="20"/>
          <w:szCs w:val="20"/>
        </w:rPr>
        <w:t>N</w:t>
      </w:r>
      <w:r w:rsidRPr="0054671B">
        <w:rPr>
          <w:i/>
          <w:iCs/>
          <w:sz w:val="20"/>
          <w:szCs w:val="20"/>
        </w:rPr>
        <w:t>ote:</w:t>
      </w:r>
      <w:r w:rsidR="00457CB0" w:rsidRPr="0054671B">
        <w:rPr>
          <w:sz w:val="20"/>
          <w:szCs w:val="20"/>
        </w:rPr>
        <w:t xml:space="preserve"> </w:t>
      </w:r>
      <w:r w:rsidR="00457CB0" w:rsidRPr="0054671B">
        <w:rPr>
          <w:i/>
          <w:iCs/>
          <w:sz w:val="20"/>
          <w:szCs w:val="20"/>
        </w:rPr>
        <w:t>t</w:t>
      </w:r>
      <w:r w:rsidR="00457CB0" w:rsidRPr="0054671B">
        <w:rPr>
          <w:sz w:val="20"/>
          <w:szCs w:val="20"/>
        </w:rPr>
        <w:t xml:space="preserve">-statistic &lt; -1.65 implies the rejection of </w:t>
      </w:r>
      <w:r w:rsidR="00444427" w:rsidRPr="0054671B">
        <w:rPr>
          <w:sz w:val="20"/>
          <w:szCs w:val="20"/>
        </w:rPr>
        <w:t xml:space="preserve">the </w:t>
      </w:r>
      <w:r w:rsidRPr="0054671B">
        <w:rPr>
          <w:sz w:val="20"/>
          <w:szCs w:val="20"/>
        </w:rPr>
        <w:t>null hypothesis of convergence.</w:t>
      </w:r>
    </w:p>
    <w:p w14:paraId="2499D55D" w14:textId="77777777" w:rsidR="009B4476" w:rsidRPr="0054671B" w:rsidRDefault="000D4F2D" w:rsidP="00C05620">
      <w:pPr>
        <w:pStyle w:val="ListParagraph"/>
        <w:spacing w:line="360" w:lineRule="auto"/>
        <w:ind w:left="709"/>
        <w:jc w:val="both"/>
        <w:rPr>
          <w:rFonts w:ascii="Bookman Old Style" w:eastAsia="Adobe Myungjo Std M" w:hAnsi="Bookman Old Style"/>
          <w:b/>
          <w:szCs w:val="18"/>
        </w:rPr>
      </w:pPr>
      <w:r w:rsidRPr="0054671B">
        <w:rPr>
          <w:rFonts w:ascii="Bookman Old Style" w:eastAsia="Adobe Myungjo Std M" w:hAnsi="Bookman Old Style"/>
          <w:b/>
          <w:szCs w:val="18"/>
        </w:rPr>
        <w:tab/>
      </w:r>
      <w:r w:rsidRPr="0054671B">
        <w:rPr>
          <w:rFonts w:ascii="Bookman Old Style" w:eastAsia="Adobe Myungjo Std M" w:hAnsi="Bookman Old Style"/>
          <w:b/>
          <w:szCs w:val="18"/>
        </w:rPr>
        <w:tab/>
      </w:r>
    </w:p>
    <w:p w14:paraId="58F96013" w14:textId="608125C7" w:rsidR="00084A84" w:rsidRPr="0054671B" w:rsidRDefault="008C1A17" w:rsidP="00C05620">
      <w:pPr>
        <w:pStyle w:val="ListParagraph"/>
        <w:spacing w:line="360" w:lineRule="auto"/>
        <w:ind w:left="709"/>
        <w:jc w:val="both"/>
      </w:pPr>
      <w:r w:rsidRPr="0054671B">
        <w:t xml:space="preserve">We continue the analysis with the clustering algorithm </w:t>
      </w:r>
      <w:r w:rsidR="00731BE2" w:rsidRPr="0054671B">
        <w:t xml:space="preserve">by </w:t>
      </w:r>
      <w:r w:rsidR="00E906E5" w:rsidRPr="0054671B">
        <w:fldChar w:fldCharType="begin"/>
      </w:r>
      <w:r w:rsidR="009B1E97" w:rsidRPr="0054671B">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rsidRPr="0054671B">
        <w:fldChar w:fldCharType="separate"/>
      </w:r>
      <w:r w:rsidR="00E906E5" w:rsidRPr="0054671B">
        <w:rPr>
          <w:rFonts w:ascii="Calibri" w:hAnsi="Calibri" w:cs="Calibri"/>
        </w:rPr>
        <w:t>Phillips &amp; Sul (2009)</w:t>
      </w:r>
      <w:r w:rsidR="00E906E5" w:rsidRPr="0054671B">
        <w:fldChar w:fldCharType="end"/>
      </w:r>
      <w:r w:rsidR="00731BE2" w:rsidRPr="0054671B">
        <w:t xml:space="preserve"> to identify </w:t>
      </w:r>
      <w:r w:rsidRPr="0054671B">
        <w:t xml:space="preserve">club </w:t>
      </w:r>
      <w:r w:rsidR="00731BE2" w:rsidRPr="0054671B">
        <w:t xml:space="preserve">convergence. Table 2 presents the results. </w:t>
      </w:r>
    </w:p>
    <w:p w14:paraId="61B75802" w14:textId="77777777" w:rsidR="009B4476" w:rsidRPr="0054671B" w:rsidRDefault="009B4476" w:rsidP="00C05620">
      <w:pPr>
        <w:pStyle w:val="ListParagraph"/>
        <w:spacing w:line="360" w:lineRule="auto"/>
        <w:ind w:left="709"/>
        <w:jc w:val="both"/>
        <w:sectPr w:rsidR="009B4476" w:rsidRPr="0054671B">
          <w:pgSz w:w="12240" w:h="15840"/>
          <w:pgMar w:top="1440" w:right="1440" w:bottom="1440" w:left="1440" w:header="720" w:footer="720" w:gutter="0"/>
          <w:cols w:space="720"/>
          <w:docGrid w:linePitch="360"/>
        </w:sectPr>
      </w:pPr>
    </w:p>
    <w:p w14:paraId="2EB420FE" w14:textId="0ADE69A4" w:rsidR="00C05620" w:rsidRPr="0054671B" w:rsidRDefault="00C05620" w:rsidP="00C05620">
      <w:pPr>
        <w:pStyle w:val="ListParagraph"/>
        <w:spacing w:line="360" w:lineRule="auto"/>
        <w:ind w:left="709"/>
        <w:jc w:val="center"/>
      </w:pPr>
      <w:r w:rsidRPr="0054671B">
        <w:rPr>
          <w:rFonts w:hint="eastAsia"/>
        </w:rPr>
        <w:lastRenderedPageBreak/>
        <w:t>T</w:t>
      </w:r>
      <w:r w:rsidRPr="0054671B">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rsidRPr="0054671B" w14:paraId="7CB6525C" w14:textId="77777777" w:rsidTr="00C05620">
        <w:tc>
          <w:tcPr>
            <w:tcW w:w="2202" w:type="dxa"/>
          </w:tcPr>
          <w:p w14:paraId="15FDE381" w14:textId="77777777" w:rsidR="00C05620" w:rsidRPr="0054671B"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54671B" w:rsidRDefault="00C05620" w:rsidP="00C05620">
            <w:pPr>
              <w:pStyle w:val="ListParagraph"/>
              <w:adjustRightInd w:val="0"/>
              <w:snapToGrid w:val="0"/>
              <w:ind w:left="0"/>
              <w:contextualSpacing w:val="0"/>
              <w:jc w:val="center"/>
              <w:rPr>
                <w:sz w:val="22"/>
                <w:szCs w:val="22"/>
              </w:rPr>
            </w:pPr>
            <w:r w:rsidRPr="0054671B">
              <w:rPr>
                <w:rFonts w:hint="eastAsia"/>
                <w:sz w:val="22"/>
                <w:szCs w:val="22"/>
              </w:rPr>
              <w:t>C</w:t>
            </w:r>
            <w:r w:rsidRPr="0054671B">
              <w:rPr>
                <w:sz w:val="22"/>
                <w:szCs w:val="22"/>
              </w:rPr>
              <w:t>lub 1</w:t>
            </w:r>
          </w:p>
        </w:tc>
        <w:tc>
          <w:tcPr>
            <w:tcW w:w="2150" w:type="dxa"/>
          </w:tcPr>
          <w:p w14:paraId="4ABDE88D" w14:textId="76B6DA97" w:rsidR="00C05620" w:rsidRPr="0054671B" w:rsidRDefault="00C05620" w:rsidP="00C05620">
            <w:pPr>
              <w:pStyle w:val="ListParagraph"/>
              <w:adjustRightInd w:val="0"/>
              <w:snapToGrid w:val="0"/>
              <w:ind w:left="0"/>
              <w:contextualSpacing w:val="0"/>
              <w:jc w:val="center"/>
              <w:rPr>
                <w:sz w:val="22"/>
                <w:szCs w:val="22"/>
              </w:rPr>
            </w:pPr>
            <w:r w:rsidRPr="0054671B">
              <w:rPr>
                <w:rFonts w:hint="eastAsia"/>
                <w:sz w:val="22"/>
                <w:szCs w:val="22"/>
              </w:rPr>
              <w:t>C</w:t>
            </w:r>
            <w:r w:rsidRPr="0054671B">
              <w:rPr>
                <w:sz w:val="22"/>
                <w:szCs w:val="22"/>
              </w:rPr>
              <w:t>lub 2</w:t>
            </w:r>
          </w:p>
        </w:tc>
        <w:tc>
          <w:tcPr>
            <w:tcW w:w="2150" w:type="dxa"/>
          </w:tcPr>
          <w:p w14:paraId="728F40D0" w14:textId="7A61C49B" w:rsidR="00C05620" w:rsidRPr="0054671B" w:rsidRDefault="00C05620" w:rsidP="00C05620">
            <w:pPr>
              <w:pStyle w:val="ListParagraph"/>
              <w:adjustRightInd w:val="0"/>
              <w:snapToGrid w:val="0"/>
              <w:ind w:left="0"/>
              <w:contextualSpacing w:val="0"/>
              <w:jc w:val="center"/>
              <w:rPr>
                <w:sz w:val="22"/>
                <w:szCs w:val="22"/>
              </w:rPr>
            </w:pPr>
            <w:r w:rsidRPr="0054671B">
              <w:rPr>
                <w:rFonts w:hint="eastAsia"/>
                <w:sz w:val="22"/>
                <w:szCs w:val="22"/>
              </w:rPr>
              <w:t>C</w:t>
            </w:r>
            <w:r w:rsidRPr="0054671B">
              <w:rPr>
                <w:sz w:val="22"/>
                <w:szCs w:val="22"/>
              </w:rPr>
              <w:t>lub 3</w:t>
            </w:r>
          </w:p>
        </w:tc>
      </w:tr>
      <w:tr w:rsidR="00C05620" w:rsidRPr="0054671B" w14:paraId="5EC1CA6B" w14:textId="77777777" w:rsidTr="00C05620">
        <w:tc>
          <w:tcPr>
            <w:tcW w:w="2202" w:type="dxa"/>
            <w:tcBorders>
              <w:bottom w:val="nil"/>
            </w:tcBorders>
          </w:tcPr>
          <w:p w14:paraId="79829BB7" w14:textId="4704D31E" w:rsidR="00C05620" w:rsidRPr="0054671B" w:rsidRDefault="00C05620" w:rsidP="00C05620">
            <w:pPr>
              <w:pStyle w:val="ListParagraph"/>
              <w:adjustRightInd w:val="0"/>
              <w:snapToGrid w:val="0"/>
              <w:ind w:left="0"/>
              <w:contextualSpacing w:val="0"/>
              <w:jc w:val="center"/>
              <w:rPr>
                <w:sz w:val="22"/>
                <w:szCs w:val="22"/>
              </w:rPr>
            </w:pPr>
            <w:r w:rsidRPr="0054671B">
              <w:rPr>
                <w:rFonts w:hint="eastAsia"/>
                <w:sz w:val="22"/>
                <w:szCs w:val="22"/>
              </w:rPr>
              <w:t>C</w:t>
            </w:r>
            <w:r w:rsidRPr="0054671B">
              <w:rPr>
                <w:sz w:val="22"/>
                <w:szCs w:val="22"/>
              </w:rPr>
              <w:t>oefficient</w:t>
            </w:r>
          </w:p>
        </w:tc>
        <w:tc>
          <w:tcPr>
            <w:tcW w:w="2149" w:type="dxa"/>
            <w:tcBorders>
              <w:bottom w:val="nil"/>
            </w:tcBorders>
          </w:tcPr>
          <w:p w14:paraId="229CA4E8" w14:textId="278C8847" w:rsidR="00C05620" w:rsidRPr="0054671B"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54671B">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54671B"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54671B">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54671B"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54671B">
              <w:rPr>
                <w:rFonts w:asciiTheme="minorHAnsi" w:eastAsiaTheme="minorEastAsia" w:hAnsiTheme="minorHAnsi" w:cstheme="minorBidi"/>
                <w:sz w:val="22"/>
                <w:szCs w:val="22"/>
                <w:lang w:eastAsia="en-US"/>
              </w:rPr>
              <w:t>-0.014</w:t>
            </w:r>
          </w:p>
        </w:tc>
      </w:tr>
      <w:tr w:rsidR="009241A2" w:rsidRPr="0054671B" w14:paraId="3AE16A1E" w14:textId="77777777" w:rsidTr="006E4D31">
        <w:tc>
          <w:tcPr>
            <w:tcW w:w="2202" w:type="dxa"/>
            <w:tcBorders>
              <w:top w:val="nil"/>
              <w:bottom w:val="nil"/>
            </w:tcBorders>
            <w:vAlign w:val="center"/>
          </w:tcPr>
          <w:p w14:paraId="6EBE77F0" w14:textId="17889096" w:rsidR="009241A2" w:rsidRPr="0054671B" w:rsidRDefault="009241A2" w:rsidP="009241A2">
            <w:pPr>
              <w:pStyle w:val="ListParagraph"/>
              <w:adjustRightInd w:val="0"/>
              <w:snapToGrid w:val="0"/>
              <w:ind w:left="0"/>
              <w:contextualSpacing w:val="0"/>
              <w:jc w:val="center"/>
              <w:rPr>
                <w:i/>
                <w:iCs/>
              </w:rPr>
            </w:pPr>
            <w:r w:rsidRPr="0054671B">
              <w:rPr>
                <w:rFonts w:hint="eastAsia"/>
                <w:sz w:val="22"/>
                <w:szCs w:val="22"/>
              </w:rPr>
              <w:t>S</w:t>
            </w:r>
            <w:r w:rsidRPr="0054671B">
              <w:rPr>
                <w:sz w:val="22"/>
                <w:szCs w:val="22"/>
              </w:rPr>
              <w:t>tandard error</w:t>
            </w:r>
          </w:p>
        </w:tc>
        <w:tc>
          <w:tcPr>
            <w:tcW w:w="2149" w:type="dxa"/>
            <w:tcBorders>
              <w:top w:val="nil"/>
              <w:bottom w:val="nil"/>
            </w:tcBorders>
          </w:tcPr>
          <w:p w14:paraId="1C0C1BB0" w14:textId="6D1F8EF9" w:rsidR="009241A2" w:rsidRPr="0054671B"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54671B">
              <w:rPr>
                <w:rFonts w:asciiTheme="minorHAnsi" w:eastAsiaTheme="minorEastAsia" w:hAnsiTheme="minorHAnsi" w:cstheme="minorBidi" w:hint="eastAsia"/>
                <w:sz w:val="22"/>
                <w:szCs w:val="22"/>
                <w:lang w:eastAsia="en-US"/>
              </w:rPr>
              <w:t>0</w:t>
            </w:r>
            <w:r w:rsidRPr="0054671B">
              <w:rPr>
                <w:rFonts w:asciiTheme="minorHAnsi" w:eastAsiaTheme="minorEastAsia" w:hAnsiTheme="minorHAnsi" w:cstheme="minorBidi"/>
                <w:sz w:val="22"/>
                <w:szCs w:val="22"/>
                <w:lang w:eastAsia="en-US"/>
              </w:rPr>
              <w:t>.232</w:t>
            </w:r>
          </w:p>
        </w:tc>
        <w:tc>
          <w:tcPr>
            <w:tcW w:w="2150" w:type="dxa"/>
            <w:tcBorders>
              <w:top w:val="nil"/>
              <w:bottom w:val="nil"/>
            </w:tcBorders>
          </w:tcPr>
          <w:p w14:paraId="178EFF30" w14:textId="6EBCE768" w:rsidR="009241A2" w:rsidRPr="0054671B"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54671B">
              <w:rPr>
                <w:rFonts w:asciiTheme="minorHAnsi" w:eastAsiaTheme="minorEastAsia" w:hAnsiTheme="minorHAnsi" w:cstheme="minorBidi" w:hint="eastAsia"/>
                <w:sz w:val="22"/>
                <w:szCs w:val="22"/>
                <w:lang w:eastAsia="en-US"/>
              </w:rPr>
              <w:t>0</w:t>
            </w:r>
            <w:r w:rsidRPr="0054671B">
              <w:rPr>
                <w:rFonts w:asciiTheme="minorHAnsi" w:eastAsiaTheme="minorEastAsia" w:hAnsiTheme="minorHAnsi" w:cstheme="minorBidi"/>
                <w:sz w:val="22"/>
                <w:szCs w:val="22"/>
                <w:lang w:eastAsia="en-US"/>
              </w:rPr>
              <w:t>.242</w:t>
            </w:r>
          </w:p>
        </w:tc>
        <w:tc>
          <w:tcPr>
            <w:tcW w:w="2150" w:type="dxa"/>
            <w:tcBorders>
              <w:top w:val="nil"/>
              <w:bottom w:val="nil"/>
            </w:tcBorders>
          </w:tcPr>
          <w:p w14:paraId="63E09C84" w14:textId="600671D9" w:rsidR="009241A2" w:rsidRPr="0054671B"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54671B">
              <w:rPr>
                <w:rFonts w:asciiTheme="minorHAnsi" w:eastAsiaTheme="minorEastAsia" w:hAnsiTheme="minorHAnsi" w:cstheme="minorBidi" w:hint="eastAsia"/>
                <w:sz w:val="22"/>
                <w:szCs w:val="22"/>
                <w:lang w:eastAsia="en-US"/>
              </w:rPr>
              <w:t>0</w:t>
            </w:r>
            <w:r w:rsidRPr="0054671B">
              <w:rPr>
                <w:rFonts w:asciiTheme="minorHAnsi" w:eastAsiaTheme="minorEastAsia" w:hAnsiTheme="minorHAnsi" w:cstheme="minorBidi"/>
                <w:sz w:val="22"/>
                <w:szCs w:val="22"/>
                <w:lang w:eastAsia="en-US"/>
              </w:rPr>
              <w:t>.108</w:t>
            </w:r>
          </w:p>
        </w:tc>
      </w:tr>
      <w:tr w:rsidR="009241A2" w:rsidRPr="0054671B" w14:paraId="4F5AC5AE" w14:textId="77777777" w:rsidTr="00CE4A9D">
        <w:tc>
          <w:tcPr>
            <w:tcW w:w="2202" w:type="dxa"/>
            <w:tcBorders>
              <w:top w:val="nil"/>
              <w:bottom w:val="nil"/>
            </w:tcBorders>
          </w:tcPr>
          <w:p w14:paraId="4B7F4157" w14:textId="1AB6CA08" w:rsidR="009241A2" w:rsidRPr="0054671B" w:rsidRDefault="009241A2" w:rsidP="009241A2">
            <w:pPr>
              <w:pStyle w:val="ListParagraph"/>
              <w:adjustRightInd w:val="0"/>
              <w:snapToGrid w:val="0"/>
              <w:ind w:left="0"/>
              <w:contextualSpacing w:val="0"/>
              <w:jc w:val="center"/>
              <w:rPr>
                <w:sz w:val="22"/>
                <w:szCs w:val="22"/>
              </w:rPr>
            </w:pPr>
            <w:r w:rsidRPr="0054671B">
              <w:rPr>
                <w:rFonts w:hint="eastAsia"/>
                <w:i/>
                <w:iCs/>
                <w:sz w:val="22"/>
                <w:szCs w:val="22"/>
              </w:rPr>
              <w:t>t</w:t>
            </w:r>
            <w:r w:rsidRPr="0054671B">
              <w:rPr>
                <w:sz w:val="22"/>
                <w:szCs w:val="22"/>
              </w:rPr>
              <w:t>-statistics</w:t>
            </w:r>
          </w:p>
        </w:tc>
        <w:tc>
          <w:tcPr>
            <w:tcW w:w="2149" w:type="dxa"/>
            <w:tcBorders>
              <w:top w:val="nil"/>
              <w:bottom w:val="nil"/>
            </w:tcBorders>
          </w:tcPr>
          <w:p w14:paraId="6BFA719B" w14:textId="75943317" w:rsidR="009241A2" w:rsidRPr="0054671B"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54671B">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9241A2" w:rsidRPr="0054671B"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54671B">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9241A2" w:rsidRPr="0054671B"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54671B">
              <w:rPr>
                <w:rFonts w:asciiTheme="minorHAnsi" w:eastAsiaTheme="minorEastAsia" w:hAnsiTheme="minorHAnsi" w:cstheme="minorBidi"/>
                <w:sz w:val="22"/>
                <w:szCs w:val="22"/>
                <w:lang w:eastAsia="en-US"/>
              </w:rPr>
              <w:t>-0.126</w:t>
            </w:r>
          </w:p>
        </w:tc>
      </w:tr>
      <w:tr w:rsidR="009241A2" w:rsidRPr="0054671B" w14:paraId="43A0466E" w14:textId="77777777" w:rsidTr="00CE4A9D">
        <w:tc>
          <w:tcPr>
            <w:tcW w:w="2202" w:type="dxa"/>
            <w:tcBorders>
              <w:top w:val="nil"/>
              <w:bottom w:val="single" w:sz="4" w:space="0" w:color="auto"/>
            </w:tcBorders>
          </w:tcPr>
          <w:p w14:paraId="685E8DB5" w14:textId="0D32E718" w:rsidR="009241A2" w:rsidRPr="0054671B" w:rsidRDefault="009241A2" w:rsidP="009241A2">
            <w:pPr>
              <w:pStyle w:val="ListParagraph"/>
              <w:adjustRightInd w:val="0"/>
              <w:snapToGrid w:val="0"/>
              <w:ind w:left="0"/>
              <w:contextualSpacing w:val="0"/>
              <w:jc w:val="center"/>
              <w:rPr>
                <w:sz w:val="22"/>
                <w:szCs w:val="22"/>
              </w:rPr>
            </w:pPr>
            <w:r w:rsidRPr="0054671B">
              <w:rPr>
                <w:rFonts w:hint="eastAsia"/>
                <w:sz w:val="22"/>
                <w:szCs w:val="22"/>
              </w:rPr>
              <w:t>N</w:t>
            </w:r>
            <w:r w:rsidRPr="0054671B">
              <w:rPr>
                <w:sz w:val="22"/>
                <w:szCs w:val="22"/>
              </w:rPr>
              <w:t>umber of provinces</w:t>
            </w:r>
          </w:p>
        </w:tc>
        <w:tc>
          <w:tcPr>
            <w:tcW w:w="2149" w:type="dxa"/>
            <w:tcBorders>
              <w:top w:val="nil"/>
              <w:bottom w:val="single" w:sz="4" w:space="0" w:color="auto"/>
            </w:tcBorders>
          </w:tcPr>
          <w:p w14:paraId="0E6F4F5E" w14:textId="57E1A9C4" w:rsidR="009241A2" w:rsidRPr="0054671B" w:rsidRDefault="009241A2" w:rsidP="009241A2">
            <w:pPr>
              <w:pStyle w:val="ListParagraph"/>
              <w:adjustRightInd w:val="0"/>
              <w:snapToGrid w:val="0"/>
              <w:ind w:left="0"/>
              <w:contextualSpacing w:val="0"/>
              <w:jc w:val="center"/>
              <w:rPr>
                <w:sz w:val="22"/>
                <w:szCs w:val="22"/>
              </w:rPr>
            </w:pPr>
            <w:r w:rsidRPr="0054671B">
              <w:rPr>
                <w:rFonts w:hint="eastAsia"/>
                <w:sz w:val="22"/>
                <w:szCs w:val="22"/>
              </w:rPr>
              <w:t>3</w:t>
            </w:r>
          </w:p>
        </w:tc>
        <w:tc>
          <w:tcPr>
            <w:tcW w:w="2150" w:type="dxa"/>
            <w:tcBorders>
              <w:top w:val="nil"/>
              <w:bottom w:val="single" w:sz="4" w:space="0" w:color="auto"/>
            </w:tcBorders>
          </w:tcPr>
          <w:p w14:paraId="5F44913A" w14:textId="073AA983" w:rsidR="009241A2" w:rsidRPr="0054671B" w:rsidRDefault="009241A2" w:rsidP="009241A2">
            <w:pPr>
              <w:pStyle w:val="ListParagraph"/>
              <w:adjustRightInd w:val="0"/>
              <w:snapToGrid w:val="0"/>
              <w:ind w:left="0"/>
              <w:contextualSpacing w:val="0"/>
              <w:jc w:val="center"/>
              <w:rPr>
                <w:sz w:val="22"/>
                <w:szCs w:val="22"/>
              </w:rPr>
            </w:pPr>
            <w:r w:rsidRPr="0054671B">
              <w:rPr>
                <w:rFonts w:hint="eastAsia"/>
                <w:sz w:val="22"/>
                <w:szCs w:val="22"/>
              </w:rPr>
              <w:t>9</w:t>
            </w:r>
          </w:p>
        </w:tc>
        <w:tc>
          <w:tcPr>
            <w:tcW w:w="2150" w:type="dxa"/>
            <w:tcBorders>
              <w:top w:val="nil"/>
              <w:bottom w:val="single" w:sz="4" w:space="0" w:color="auto"/>
            </w:tcBorders>
          </w:tcPr>
          <w:p w14:paraId="6484543B" w14:textId="56458414" w:rsidR="009241A2" w:rsidRPr="0054671B" w:rsidRDefault="009241A2" w:rsidP="009241A2">
            <w:pPr>
              <w:pStyle w:val="ListParagraph"/>
              <w:adjustRightInd w:val="0"/>
              <w:snapToGrid w:val="0"/>
              <w:ind w:left="0"/>
              <w:contextualSpacing w:val="0"/>
              <w:jc w:val="center"/>
              <w:rPr>
                <w:sz w:val="22"/>
                <w:szCs w:val="22"/>
              </w:rPr>
            </w:pPr>
            <w:r w:rsidRPr="0054671B">
              <w:rPr>
                <w:rFonts w:hint="eastAsia"/>
                <w:sz w:val="22"/>
                <w:szCs w:val="22"/>
              </w:rPr>
              <w:t>2</w:t>
            </w:r>
            <w:r w:rsidRPr="0054671B">
              <w:rPr>
                <w:sz w:val="22"/>
                <w:szCs w:val="22"/>
              </w:rPr>
              <w:t>2</w:t>
            </w:r>
          </w:p>
        </w:tc>
      </w:tr>
    </w:tbl>
    <w:p w14:paraId="7179DA36" w14:textId="37D85F66" w:rsidR="008C1A17" w:rsidRPr="0054671B" w:rsidRDefault="008C1A17" w:rsidP="0016290A">
      <w:pPr>
        <w:pStyle w:val="ListParagraph"/>
        <w:spacing w:after="0" w:line="240" w:lineRule="auto"/>
        <w:ind w:left="709"/>
        <w:contextualSpacing w:val="0"/>
        <w:jc w:val="both"/>
        <w:rPr>
          <w:sz w:val="20"/>
          <w:szCs w:val="20"/>
        </w:rPr>
      </w:pPr>
      <w:r w:rsidRPr="0054671B">
        <w:rPr>
          <w:rFonts w:hint="eastAsia"/>
          <w:i/>
          <w:iCs/>
          <w:sz w:val="20"/>
          <w:szCs w:val="20"/>
        </w:rPr>
        <w:t>N</w:t>
      </w:r>
      <w:r w:rsidRPr="0054671B">
        <w:rPr>
          <w:i/>
          <w:iCs/>
          <w:sz w:val="20"/>
          <w:szCs w:val="20"/>
        </w:rPr>
        <w:t>ote:</w:t>
      </w:r>
      <w:r w:rsidRPr="0054671B">
        <w:rPr>
          <w:sz w:val="20"/>
          <w:szCs w:val="20"/>
        </w:rPr>
        <w:t xml:space="preserve"> </w:t>
      </w:r>
      <w:r w:rsidRPr="0054671B">
        <w:rPr>
          <w:i/>
          <w:iCs/>
          <w:sz w:val="20"/>
          <w:szCs w:val="20"/>
        </w:rPr>
        <w:t>t</w:t>
      </w:r>
      <w:r w:rsidRPr="0054671B">
        <w:rPr>
          <w:sz w:val="20"/>
          <w:szCs w:val="20"/>
        </w:rPr>
        <w:t>-statistic &lt; -1.65 implies the rejection of null hypothesis of convergence.</w:t>
      </w:r>
    </w:p>
    <w:p w14:paraId="02D0A526" w14:textId="0BE5CB0E" w:rsidR="0016290A" w:rsidRPr="0054671B" w:rsidRDefault="0016290A" w:rsidP="0016290A">
      <w:pPr>
        <w:pStyle w:val="ListParagraph"/>
        <w:spacing w:after="0" w:line="240" w:lineRule="auto"/>
        <w:ind w:left="709"/>
        <w:contextualSpacing w:val="0"/>
        <w:jc w:val="both"/>
        <w:rPr>
          <w:sz w:val="18"/>
          <w:szCs w:val="18"/>
        </w:rPr>
      </w:pPr>
      <w:r w:rsidRPr="0054671B">
        <w:rPr>
          <w:sz w:val="18"/>
          <w:szCs w:val="18"/>
        </w:rPr>
        <w:t>Club 1: Jakarta, Riau Islands, Banten</w:t>
      </w:r>
    </w:p>
    <w:p w14:paraId="09AB83C6" w14:textId="66B3A340" w:rsidR="0016290A" w:rsidRPr="0054671B" w:rsidRDefault="0016290A" w:rsidP="0016290A">
      <w:pPr>
        <w:pStyle w:val="ListParagraph"/>
        <w:spacing w:after="0" w:line="240" w:lineRule="auto"/>
        <w:ind w:left="709"/>
        <w:jc w:val="both"/>
        <w:rPr>
          <w:sz w:val="18"/>
          <w:szCs w:val="18"/>
        </w:rPr>
      </w:pPr>
      <w:r w:rsidRPr="0054671B">
        <w:rPr>
          <w:rFonts w:hint="eastAsia"/>
          <w:sz w:val="18"/>
          <w:szCs w:val="18"/>
        </w:rPr>
        <w:t>C</w:t>
      </w:r>
      <w:r w:rsidRPr="0054671B">
        <w:rPr>
          <w:sz w:val="18"/>
          <w:szCs w:val="18"/>
        </w:rPr>
        <w:t xml:space="preserve">lub 2: Papua, East Kalimantan, North Kalimantan, West Java, West Papua, North Sulawesi, Bali, Central Kalimantan, </w:t>
      </w:r>
      <w:r w:rsidR="002444CA" w:rsidRPr="0054671B">
        <w:rPr>
          <w:sz w:val="18"/>
          <w:szCs w:val="18"/>
        </w:rPr>
        <w:tab/>
        <w:t xml:space="preserve">      </w:t>
      </w:r>
      <w:r w:rsidR="002444CA" w:rsidRPr="0054671B">
        <w:rPr>
          <w:sz w:val="18"/>
          <w:szCs w:val="18"/>
        </w:rPr>
        <w:tab/>
        <w:t xml:space="preserve">             </w:t>
      </w:r>
      <w:r w:rsidRPr="0054671B">
        <w:rPr>
          <w:sz w:val="18"/>
          <w:szCs w:val="18"/>
        </w:rPr>
        <w:t>South Sulawesi</w:t>
      </w:r>
    </w:p>
    <w:p w14:paraId="0002007B" w14:textId="15DF8672" w:rsidR="00C000C0" w:rsidRPr="0054671B" w:rsidRDefault="0016290A" w:rsidP="00C000C0">
      <w:pPr>
        <w:pStyle w:val="ListParagraph"/>
        <w:spacing w:after="0" w:line="240" w:lineRule="auto"/>
        <w:ind w:left="709"/>
        <w:jc w:val="both"/>
        <w:rPr>
          <w:sz w:val="18"/>
          <w:szCs w:val="18"/>
        </w:rPr>
      </w:pPr>
      <w:r w:rsidRPr="0054671B">
        <w:rPr>
          <w:rFonts w:hint="eastAsia"/>
          <w:sz w:val="18"/>
          <w:szCs w:val="18"/>
        </w:rPr>
        <w:t>C</w:t>
      </w:r>
      <w:r w:rsidRPr="0054671B">
        <w:rPr>
          <w:sz w:val="18"/>
          <w:szCs w:val="18"/>
        </w:rPr>
        <w:t xml:space="preserve">lub 3: </w:t>
      </w:r>
      <w:r w:rsidR="00C000C0" w:rsidRPr="0054671B">
        <w:rPr>
          <w:sz w:val="18"/>
          <w:szCs w:val="18"/>
        </w:rPr>
        <w:t xml:space="preserve">North Maluku, Riau, Maluku, West Sulawesi, South Kalimantan, Bangka Belitung, Southeast Sulawesi, </w:t>
      </w:r>
    </w:p>
    <w:p w14:paraId="5439BA23" w14:textId="0A9B7B30" w:rsidR="0016290A" w:rsidRPr="0054671B" w:rsidRDefault="00C000C0" w:rsidP="00C000C0">
      <w:pPr>
        <w:pStyle w:val="ListParagraph"/>
        <w:spacing w:after="0" w:line="240" w:lineRule="auto"/>
        <w:ind w:left="709"/>
        <w:jc w:val="both"/>
        <w:rPr>
          <w:sz w:val="18"/>
          <w:szCs w:val="18"/>
        </w:rPr>
      </w:pPr>
      <w:r w:rsidRPr="0054671B">
        <w:rPr>
          <w:sz w:val="18"/>
          <w:szCs w:val="18"/>
        </w:rPr>
        <w:tab/>
        <w:t xml:space="preserve">             West Sumatra, Aceh, Gorontalo, East Java, North Sumatra, Bengkulu, Yogyakarta, Central Java, South Sumatra,</w:t>
      </w:r>
      <w:r w:rsidRPr="0054671B">
        <w:rPr>
          <w:sz w:val="18"/>
          <w:szCs w:val="18"/>
        </w:rPr>
        <w:tab/>
        <w:t xml:space="preserve">             </w:t>
      </w:r>
      <w:r w:rsidRPr="0054671B">
        <w:rPr>
          <w:sz w:val="18"/>
          <w:szCs w:val="18"/>
        </w:rPr>
        <w:tab/>
        <w:t xml:space="preserve">             West Nusa Tenggara, Jambi, Lampung, Central Sulawesi, West Kalimantan, East Nusa Tenggara</w:t>
      </w:r>
    </w:p>
    <w:p w14:paraId="3FFB9AB2" w14:textId="77777777" w:rsidR="00FD509B" w:rsidRPr="0054671B" w:rsidRDefault="00FD509B" w:rsidP="006934EF">
      <w:pPr>
        <w:pStyle w:val="ListParagraph"/>
        <w:spacing w:line="360" w:lineRule="auto"/>
        <w:ind w:left="709" w:firstLineChars="322" w:firstLine="708"/>
        <w:jc w:val="both"/>
      </w:pPr>
    </w:p>
    <w:p w14:paraId="5F115062" w14:textId="75835DDD" w:rsidR="00060F45" w:rsidRPr="0054671B" w:rsidRDefault="00731BE2" w:rsidP="006934EF">
      <w:pPr>
        <w:pStyle w:val="ListParagraph"/>
        <w:spacing w:line="360" w:lineRule="auto"/>
        <w:ind w:left="709" w:firstLineChars="322" w:firstLine="708"/>
        <w:jc w:val="both"/>
      </w:pPr>
      <w:r w:rsidRPr="0054671B">
        <w:t>We find three significant initial clubs</w:t>
      </w:r>
      <w:r w:rsidR="00B2106A" w:rsidRPr="0054671B">
        <w:t xml:space="preserve"> that represent the convergence dynamics of regional wage across Indonesian provinces.</w:t>
      </w:r>
      <w:r w:rsidR="00B2106A" w:rsidRPr="0054671B">
        <w:rPr>
          <w:rStyle w:val="FootnoteReference"/>
        </w:rPr>
        <w:footnoteReference w:id="5"/>
      </w:r>
      <w:r w:rsidR="00B321D9" w:rsidRPr="0054671B">
        <w:t xml:space="preserve"> </w:t>
      </w:r>
      <w:r w:rsidR="004C5458" w:rsidRPr="0054671B">
        <w:t xml:space="preserve">These results are similar to those reported by </w:t>
      </w:r>
      <w:r w:rsidR="004C5458" w:rsidRPr="0054671B">
        <w:fldChar w:fldCharType="begin"/>
      </w:r>
      <w:r w:rsidR="00BA7897" w:rsidRPr="0054671B">
        <w:instrText xml:space="preserve"> ADDIN ZOTERO_ITEM CSL_CITATION {"citationID":"95lkoBtc","properties":{"formattedCitation":"(Neagu, 2020)","plainCitation":"(Neagu, 2020)","dontUpdate":true,"noteIndex":0},"citationItems":[{"id":372,"uris":["http://zotero.org/users/local/9Bu69DCL/items/267PF3Q2"],"uri":["http://zotero.org/users/local/9Bu69DCL/items/267PF3Q2"],"itemData":{"id":372,"type":"article-journal","container-title":"Studia Universitatis Vasile Goldiş, Arad-Seria Ştiinţe Economice","ISSN":"1584-2339","issue":"3","journalAbbreviation":"Studia Universitatis Vasile Goldiş, Arad-Seria Ştiinţe Economice","note":"publisher: Editura Universităţii Vasile Goldiş","page":"108-117","title":"Real Wage Convergence in Romania: Empirical Evidence Based on Club Converging","volume":"30","author":[{"family":"Neagu","given":"Olimpia"}],"issued":{"date-parts":[["2020"]]}}}],"schema":"https://github.com/citation-style-language/schema/raw/master/csl-citation.json"} </w:instrText>
      </w:r>
      <w:r w:rsidR="004C5458" w:rsidRPr="0054671B">
        <w:fldChar w:fldCharType="separate"/>
      </w:r>
      <w:r w:rsidR="004C5458" w:rsidRPr="0054671B">
        <w:rPr>
          <w:rFonts w:ascii="Calibri" w:hAnsi="Calibri" w:cs="Calibri"/>
        </w:rPr>
        <w:t>Neagu (2020)</w:t>
      </w:r>
      <w:r w:rsidR="004C5458" w:rsidRPr="0054671B">
        <w:fldChar w:fldCharType="end"/>
      </w:r>
      <w:r w:rsidR="004C5458" w:rsidRPr="0054671B">
        <w:t xml:space="preserve"> for the Romanian case. </w:t>
      </w:r>
      <w:r w:rsidR="001E7ACE" w:rsidRPr="0054671B">
        <w:t>Next, we</w:t>
      </w:r>
      <w:r w:rsidR="00513EE2" w:rsidRPr="0054671B">
        <w:t xml:space="preserve"> use </w:t>
      </w:r>
      <w:r w:rsidR="001D281F" w:rsidRPr="0054671B">
        <w:t xml:space="preserve">the </w:t>
      </w:r>
      <w:r w:rsidR="00513EE2" w:rsidRPr="0054671B">
        <w:t xml:space="preserve">merging method of </w:t>
      </w:r>
      <w:r w:rsidR="0024581A" w:rsidRPr="0054671B">
        <w:fldChar w:fldCharType="begin"/>
      </w:r>
      <w:r w:rsidR="00F44D2F" w:rsidRPr="0054671B">
        <w:instrText xml:space="preserve"> ADDIN ZOTERO_ITEM CSL_CITATION {"citationID":"VgacJ7qa","properties":{"formattedCitation":"(Phillips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24581A" w:rsidRPr="0054671B">
        <w:fldChar w:fldCharType="separate"/>
      </w:r>
      <w:r w:rsidR="0024581A" w:rsidRPr="0054671B">
        <w:rPr>
          <w:rFonts w:ascii="Calibri" w:hAnsi="Calibri" w:cs="Calibri"/>
        </w:rPr>
        <w:t>Phillips &amp; Sul (2009)</w:t>
      </w:r>
      <w:r w:rsidR="0024581A" w:rsidRPr="0054671B">
        <w:fldChar w:fldCharType="end"/>
      </w:r>
      <w:r w:rsidR="00513EE2" w:rsidRPr="0054671B">
        <w:t xml:space="preserve"> described in Appendix 2 to test whether the initial clubs can merge to their adjacent club and thus generate bigger club convergence. </w:t>
      </w:r>
      <w:r w:rsidR="001F021A" w:rsidRPr="0054671B">
        <w:t>The results from the merging test suggest rejecting the convergence hypothesis in any merging pair</w:t>
      </w:r>
      <w:r w:rsidR="00513EE2" w:rsidRPr="0054671B">
        <w:t xml:space="preserve"> (</w:t>
      </w:r>
      <m:oMath>
        <m:acc>
          <m:accPr>
            <m:ctrlPr>
              <w:rPr>
                <w:rFonts w:ascii="Cambria Math" w:hAnsi="Cambria Math"/>
              </w:rPr>
            </m:ctrlPr>
          </m:accPr>
          <m:e>
            <m:r>
              <m:rPr>
                <m:sty m:val="bi"/>
              </m:rPr>
              <w:rPr>
                <w:rFonts w:ascii="Cambria Math" w:hAnsi="Cambria Math"/>
              </w:rPr>
              <m:t>b</m:t>
            </m:r>
          </m:e>
        </m:acc>
      </m:oMath>
      <w:r w:rsidR="00513EE2" w:rsidRPr="0054671B">
        <w:t xml:space="preserve"> &lt; 0 and</w:t>
      </w:r>
      <w:r w:rsidR="00513EE2" w:rsidRPr="0054671B">
        <w:rPr>
          <w:i/>
          <w:iCs/>
        </w:rPr>
        <w:t xml:space="preserve"> t</w:t>
      </w:r>
      <w:r w:rsidR="00513EE2" w:rsidRPr="0054671B">
        <w:t>-statistics &lt; -1.65).</w:t>
      </w:r>
      <w:r w:rsidR="0024581A" w:rsidRPr="0054671B">
        <w:rPr>
          <w:rStyle w:val="FootnoteReference"/>
        </w:rPr>
        <w:footnoteReference w:id="6"/>
      </w:r>
      <w:r w:rsidR="00513EE2" w:rsidRPr="0054671B">
        <w:t xml:space="preserve"> Hence, we confirm the initial three clubs as the final club convergence. </w:t>
      </w:r>
      <w:r w:rsidR="004777B9" w:rsidRPr="0054671B">
        <w:t>The clubs are ordered from the highest to the lowest wage; club 1 consists of higher-wage provinces, while the lowest-wage provinces are clustered in club 3</w:t>
      </w:r>
      <w:r w:rsidR="0036179B" w:rsidRPr="0054671B">
        <w:t>.</w:t>
      </w:r>
      <w:r w:rsidR="00B321D9" w:rsidRPr="0054671B">
        <w:t xml:space="preserve"> As mentioned before, the club convergence method estimates the transition path of clubs a</w:t>
      </w:r>
      <w:r w:rsidR="004777B9" w:rsidRPr="0054671B">
        <w:t>nd</w:t>
      </w:r>
      <w:r w:rsidR="00AE04E2" w:rsidRPr="0054671B">
        <w:t xml:space="preserve"> all</w:t>
      </w:r>
      <w:r w:rsidR="00B321D9" w:rsidRPr="0054671B">
        <w:t xml:space="preserve"> individual</w:t>
      </w:r>
      <w:r w:rsidR="00AE04E2" w:rsidRPr="0054671B">
        <w:t xml:space="preserve"> units</w:t>
      </w:r>
      <w:r w:rsidR="00B321D9" w:rsidRPr="0054671B">
        <w:t>. Taking this advantage</w:t>
      </w:r>
      <w:r w:rsidR="00E31D2F" w:rsidRPr="0054671B">
        <w:t>,</w:t>
      </w:r>
      <w:r w:rsidR="00B321D9" w:rsidRPr="0054671B">
        <w:t xml:space="preserve"> i</w:t>
      </w:r>
      <w:r w:rsidR="00947042" w:rsidRPr="0054671B">
        <w:t xml:space="preserve">n Fig </w:t>
      </w:r>
      <w:r w:rsidR="005615FF">
        <w:t>4</w:t>
      </w:r>
      <w:r w:rsidR="00947042" w:rsidRPr="0054671B">
        <w:t xml:space="preserve"> we </w:t>
      </w:r>
      <w:r w:rsidR="00E31D2F" w:rsidRPr="0054671B">
        <w:t>show</w:t>
      </w:r>
      <w:r w:rsidR="000D30DB" w:rsidRPr="0054671B">
        <w:t xml:space="preserve"> </w:t>
      </w:r>
      <w:r w:rsidR="003D0BA2" w:rsidRPr="0054671B">
        <w:t xml:space="preserve">the </w:t>
      </w:r>
      <w:r w:rsidR="000D30DB" w:rsidRPr="0054671B">
        <w:t>evolution of</w:t>
      </w:r>
      <w:r w:rsidR="00E31D2F" w:rsidRPr="0054671B">
        <w:t xml:space="preserve"> </w:t>
      </w:r>
      <w:r w:rsidR="00947042" w:rsidRPr="0054671B">
        <w:t xml:space="preserve">the </w:t>
      </w:r>
      <w:r w:rsidR="00E31D2F" w:rsidRPr="0054671B">
        <w:t xml:space="preserve">computed </w:t>
      </w:r>
      <w:r w:rsidR="000D30DB" w:rsidRPr="0054671B">
        <w:t xml:space="preserve">clubs’ </w:t>
      </w:r>
      <w:r w:rsidR="00947042" w:rsidRPr="0054671B">
        <w:t xml:space="preserve">transition paths </w:t>
      </w:r>
      <w:r w:rsidR="000D30DB" w:rsidRPr="0054671B">
        <w:t>over time</w:t>
      </w:r>
      <w:r w:rsidR="00B321D9" w:rsidRPr="0054671B">
        <w:t xml:space="preserve">. Unlike </w:t>
      </w:r>
      <w:r w:rsidR="00947042" w:rsidRPr="0054671B">
        <w:t xml:space="preserve">using </w:t>
      </w:r>
      <w:r w:rsidR="008E7302" w:rsidRPr="0054671B">
        <w:t xml:space="preserve">the </w:t>
      </w:r>
      <w:r w:rsidR="00947042" w:rsidRPr="0054671B">
        <w:t>absolute value of wage on Y axes</w:t>
      </w:r>
      <w:r w:rsidR="00EB0AC1" w:rsidRPr="0054671B">
        <w:t xml:space="preserve"> (</w:t>
      </w:r>
      <w:r w:rsidR="004659A8" w:rsidRPr="0054671B">
        <w:t>similar</w:t>
      </w:r>
      <w:r w:rsidR="00EB0AC1" w:rsidRPr="0054671B">
        <w:t xml:space="preserve"> </w:t>
      </w:r>
      <w:r w:rsidR="004659A8" w:rsidRPr="0054671B">
        <w:t>to</w:t>
      </w:r>
      <w:r w:rsidR="00EB0AC1" w:rsidRPr="0054671B">
        <w:t xml:space="preserve"> Fig </w:t>
      </w:r>
      <w:r w:rsidR="00B06D08">
        <w:t>3</w:t>
      </w:r>
      <w:r w:rsidR="00EB0AC1" w:rsidRPr="0054671B">
        <w:t>)</w:t>
      </w:r>
      <w:r w:rsidR="00947042" w:rsidRPr="0054671B">
        <w:t xml:space="preserve">, </w:t>
      </w:r>
      <w:r w:rsidR="00B321D9" w:rsidRPr="0054671B">
        <w:t xml:space="preserve">in Fig </w:t>
      </w:r>
      <w:r w:rsidR="005615FF">
        <w:t>4</w:t>
      </w:r>
      <w:r w:rsidR="00B321D9" w:rsidRPr="0054671B">
        <w:t xml:space="preserve"> </w:t>
      </w:r>
      <w:r w:rsidR="00947042" w:rsidRPr="0054671B">
        <w:t xml:space="preserve">we </w:t>
      </w:r>
      <w:r w:rsidR="00B321D9" w:rsidRPr="0054671B">
        <w:t>plot</w:t>
      </w:r>
      <w:r w:rsidR="00947042" w:rsidRPr="0054671B">
        <w:t xml:space="preserve"> the relative </w:t>
      </w:r>
      <w:r w:rsidR="008E7302" w:rsidRPr="0054671B">
        <w:t>transition path</w:t>
      </w:r>
      <w:r w:rsidR="00B321D9" w:rsidRPr="0054671B">
        <w:t xml:space="preserve"> </w:t>
      </w:r>
      <w:r w:rsidR="000C1634" w:rsidRPr="0054671B">
        <w:t>of each club to</w:t>
      </w:r>
      <w:r w:rsidR="00947042" w:rsidRPr="0054671B">
        <w:t xml:space="preserve"> the cross-sectional average of all three clubs. </w:t>
      </w:r>
      <w:r w:rsidR="000C1634" w:rsidRPr="0054671B">
        <w:t xml:space="preserve">Interestingly, there is </w:t>
      </w:r>
      <w:r w:rsidR="008E7302" w:rsidRPr="0054671B">
        <w:t xml:space="preserve">an </w:t>
      </w:r>
      <w:r w:rsidR="000C1634" w:rsidRPr="0054671B">
        <w:t xml:space="preserve">indication of </w:t>
      </w:r>
      <w:r w:rsidR="00947CE5" w:rsidRPr="0054671B">
        <w:t xml:space="preserve">gap reduction between </w:t>
      </w:r>
      <w:r w:rsidR="000C1634" w:rsidRPr="0054671B">
        <w:t xml:space="preserve">club 1 and club 2 from 2008 until 2012. </w:t>
      </w:r>
      <w:r w:rsidR="008E7302" w:rsidRPr="0054671B">
        <w:t>However, the transition path of club 1 after that exhibited an increasing trend with a significantly higher slope than that of club 2, resulting in a larger gap between the two clubs.</w:t>
      </w:r>
      <w:r w:rsidR="000C1634" w:rsidRPr="0054671B">
        <w:t xml:space="preserve"> </w:t>
      </w:r>
      <w:r w:rsidR="00060F45" w:rsidRPr="0054671B">
        <w:t>In other words, t</w:t>
      </w:r>
      <w:r w:rsidR="00947042" w:rsidRPr="0054671B">
        <w:t>he</w:t>
      </w:r>
      <w:r w:rsidR="000C1634" w:rsidRPr="0054671B">
        <w:t xml:space="preserve"> pattern of expanding differences</w:t>
      </w:r>
      <w:r w:rsidR="00947042" w:rsidRPr="0054671B">
        <w:t xml:space="preserve"> </w:t>
      </w:r>
      <w:r w:rsidR="000C1634" w:rsidRPr="0054671B">
        <w:t xml:space="preserve">among </w:t>
      </w:r>
      <w:r w:rsidR="00947042" w:rsidRPr="0054671B">
        <w:t>the clubs’ transition path</w:t>
      </w:r>
      <w:r w:rsidR="002D06D6" w:rsidRPr="0054671B">
        <w:t>s</w:t>
      </w:r>
      <w:r w:rsidR="00947042" w:rsidRPr="0054671B">
        <w:t xml:space="preserve"> </w:t>
      </w:r>
      <w:r w:rsidR="000C1634" w:rsidRPr="0054671B">
        <w:t>supports</w:t>
      </w:r>
      <w:r w:rsidR="00947042" w:rsidRPr="0054671B">
        <w:t xml:space="preserve"> </w:t>
      </w:r>
      <w:r w:rsidR="000C1634" w:rsidRPr="0054671B">
        <w:t xml:space="preserve">the identification of significant </w:t>
      </w:r>
      <w:r w:rsidR="00947042" w:rsidRPr="0054671B">
        <w:t>club converge</w:t>
      </w:r>
      <w:r w:rsidR="000C1634" w:rsidRPr="0054671B">
        <w:t>nce</w:t>
      </w:r>
      <w:r w:rsidR="00947042" w:rsidRPr="0054671B">
        <w:t xml:space="preserve"> </w:t>
      </w:r>
      <w:r w:rsidR="000C1634" w:rsidRPr="0054671B">
        <w:t>over overall convergence</w:t>
      </w:r>
      <w:r w:rsidR="00947042" w:rsidRPr="0054671B">
        <w:t xml:space="preserve">. </w:t>
      </w:r>
      <w:r w:rsidR="00C458CC" w:rsidRPr="0054671B">
        <w:t xml:space="preserve">Instead of forming </w:t>
      </w:r>
      <w:r w:rsidR="00C678B6" w:rsidRPr="0054671B">
        <w:t xml:space="preserve">a </w:t>
      </w:r>
      <w:r w:rsidR="00C458CC" w:rsidRPr="0054671B">
        <w:t>converging shape</w:t>
      </w:r>
      <w:r w:rsidR="00060F45" w:rsidRPr="0054671B">
        <w:t>, reflected in</w:t>
      </w:r>
      <w:r w:rsidR="00C458CC" w:rsidRPr="0054671B">
        <w:t xml:space="preserve"> smaller gaps between clubs over time, </w:t>
      </w:r>
      <w:r w:rsidR="00947042" w:rsidRPr="0054671B">
        <w:t xml:space="preserve">the </w:t>
      </w:r>
      <w:r w:rsidR="00275950" w:rsidRPr="0054671B">
        <w:t xml:space="preserve">three </w:t>
      </w:r>
      <w:r w:rsidR="00947042" w:rsidRPr="0054671B">
        <w:t>transition path</w:t>
      </w:r>
      <w:r w:rsidR="00275950" w:rsidRPr="0054671B">
        <w:t>s</w:t>
      </w:r>
      <w:r w:rsidR="00947042" w:rsidRPr="0054671B">
        <w:t xml:space="preserve"> </w:t>
      </w:r>
      <w:r w:rsidR="00060F45" w:rsidRPr="0054671B">
        <w:t>demonstrate</w:t>
      </w:r>
      <w:r w:rsidR="00275950" w:rsidRPr="0054671B">
        <w:t xml:space="preserve"> increasing</w:t>
      </w:r>
      <w:r w:rsidR="00947042" w:rsidRPr="0054671B">
        <w:t xml:space="preserve"> dispersion between clubs, where </w:t>
      </w:r>
      <w:r w:rsidR="00C458CC" w:rsidRPr="0054671B">
        <w:t>c</w:t>
      </w:r>
      <w:r w:rsidR="00947042" w:rsidRPr="0054671B">
        <w:t xml:space="preserve">lub </w:t>
      </w:r>
      <w:r w:rsidR="00C458CC" w:rsidRPr="0054671B">
        <w:t>1</w:t>
      </w:r>
      <w:r w:rsidR="00947042" w:rsidRPr="0054671B">
        <w:t xml:space="preserve"> </w:t>
      </w:r>
      <w:r w:rsidR="00060F45" w:rsidRPr="0054671B">
        <w:t>is</w:t>
      </w:r>
      <w:r w:rsidR="00947042" w:rsidRPr="0054671B">
        <w:t xml:space="preserve"> systematically </w:t>
      </w:r>
      <w:r w:rsidR="00C458CC" w:rsidRPr="0054671B">
        <w:t xml:space="preserve">above </w:t>
      </w:r>
      <w:r w:rsidR="00947042" w:rsidRPr="0054671B">
        <w:t xml:space="preserve">the </w:t>
      </w:r>
      <w:r w:rsidR="00947042" w:rsidRPr="0054671B">
        <w:lastRenderedPageBreak/>
        <w:t xml:space="preserve">average, </w:t>
      </w:r>
      <w:r w:rsidR="00060F45" w:rsidRPr="0054671B">
        <w:t xml:space="preserve">club 2 steadily move from below towards the average, </w:t>
      </w:r>
      <w:r w:rsidR="00947042" w:rsidRPr="0054671B">
        <w:t xml:space="preserve">while </w:t>
      </w:r>
      <w:r w:rsidR="00C458CC" w:rsidRPr="0054671B">
        <w:t>c</w:t>
      </w:r>
      <w:r w:rsidR="00947042" w:rsidRPr="0054671B">
        <w:t xml:space="preserve">lub </w:t>
      </w:r>
      <w:r w:rsidR="00C458CC" w:rsidRPr="0054671B">
        <w:t>3</w:t>
      </w:r>
      <w:r w:rsidR="00947042" w:rsidRPr="0054671B">
        <w:t xml:space="preserve"> </w:t>
      </w:r>
      <w:r w:rsidR="00C458CC" w:rsidRPr="0054671B">
        <w:t>is</w:t>
      </w:r>
      <w:r w:rsidR="00947042" w:rsidRPr="0054671B">
        <w:t xml:space="preserve"> consistently </w:t>
      </w:r>
      <w:r w:rsidR="00C458CC" w:rsidRPr="0054671B">
        <w:t>below</w:t>
      </w:r>
      <w:r w:rsidR="00947042" w:rsidRPr="0054671B">
        <w:t xml:space="preserve"> the average.</w:t>
      </w:r>
      <w:r w:rsidR="006934EF" w:rsidRPr="0054671B">
        <w:t xml:space="preserve"> </w:t>
      </w:r>
    </w:p>
    <w:p w14:paraId="1DEC323E" w14:textId="77777777" w:rsidR="00787501" w:rsidRPr="0054671B" w:rsidRDefault="00787501" w:rsidP="006934EF">
      <w:pPr>
        <w:pStyle w:val="ListParagraph"/>
        <w:spacing w:line="360" w:lineRule="auto"/>
        <w:ind w:left="709" w:firstLineChars="322" w:firstLine="708"/>
        <w:jc w:val="both"/>
      </w:pPr>
    </w:p>
    <w:p w14:paraId="62D8E7DB" w14:textId="412AEBE7" w:rsidR="001E7ACE" w:rsidRPr="0054671B" w:rsidRDefault="001E7ACE" w:rsidP="00106418">
      <w:pPr>
        <w:pStyle w:val="ListParagraph"/>
        <w:spacing w:line="360" w:lineRule="auto"/>
        <w:ind w:left="709"/>
        <w:jc w:val="center"/>
      </w:pPr>
      <w:r w:rsidRPr="0054671B">
        <w:rPr>
          <w:noProof/>
        </w:rPr>
        <w:drawing>
          <wp:inline distT="0" distB="0" distL="0" distR="0" wp14:anchorId="5F377BD0" wp14:editId="7BF55F4C">
            <wp:extent cx="3600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1167" cy="2000648"/>
                    </a:xfrm>
                    <a:prstGeom prst="rect">
                      <a:avLst/>
                    </a:prstGeom>
                    <a:noFill/>
                    <a:ln>
                      <a:noFill/>
                    </a:ln>
                  </pic:spPr>
                </pic:pic>
              </a:graphicData>
            </a:graphic>
          </wp:inline>
        </w:drawing>
      </w:r>
    </w:p>
    <w:p w14:paraId="26A8E299" w14:textId="0B877728" w:rsidR="00D52B51" w:rsidRPr="0054671B" w:rsidRDefault="00D52B51" w:rsidP="001E7ACE">
      <w:pPr>
        <w:pStyle w:val="ListParagraph"/>
        <w:spacing w:line="360" w:lineRule="auto"/>
        <w:ind w:left="709"/>
        <w:jc w:val="center"/>
      </w:pPr>
      <w:r w:rsidRPr="0054671B">
        <w:t xml:space="preserve">Fig. </w:t>
      </w:r>
      <w:r w:rsidR="004873EA">
        <w:t>4</w:t>
      </w:r>
      <w:r w:rsidRPr="0054671B">
        <w:t>. The transition path of convergence clubs, 2008-2020</w:t>
      </w:r>
    </w:p>
    <w:p w14:paraId="39616140" w14:textId="77777777" w:rsidR="00FD509B" w:rsidRPr="0054671B" w:rsidRDefault="00FD509B" w:rsidP="0057212D">
      <w:pPr>
        <w:pStyle w:val="ListParagraph"/>
        <w:spacing w:line="360" w:lineRule="auto"/>
        <w:ind w:left="709" w:firstLineChars="322" w:firstLine="708"/>
        <w:jc w:val="both"/>
      </w:pPr>
    </w:p>
    <w:p w14:paraId="2AEDC7D8" w14:textId="59F4EB9F" w:rsidR="00947042" w:rsidRPr="0054671B" w:rsidRDefault="006934EF" w:rsidP="0057212D">
      <w:pPr>
        <w:pStyle w:val="ListParagraph"/>
        <w:spacing w:line="360" w:lineRule="auto"/>
        <w:ind w:left="709" w:firstLineChars="322" w:firstLine="708"/>
        <w:jc w:val="both"/>
      </w:pPr>
      <w:r w:rsidRPr="0054671B">
        <w:t>We</w:t>
      </w:r>
      <w:r w:rsidR="00060F45" w:rsidRPr="0054671B">
        <w:t xml:space="preserve"> then</w:t>
      </w:r>
      <w:r w:rsidRPr="0054671B">
        <w:t xml:space="preserve"> </w:t>
      </w:r>
      <w:r w:rsidR="00CD23B8" w:rsidRPr="0054671B">
        <w:t xml:space="preserve">analyze the within club transition dynamics by </w:t>
      </w:r>
      <w:r w:rsidRPr="0054671B">
        <w:t>plot</w:t>
      </w:r>
      <w:r w:rsidR="00CD23B8" w:rsidRPr="0054671B">
        <w:t>ting</w:t>
      </w:r>
      <w:r w:rsidRPr="0054671B">
        <w:t xml:space="preserve"> the transition path of provinces </w:t>
      </w:r>
      <w:r w:rsidR="00CD23B8" w:rsidRPr="0054671B">
        <w:t>in</w:t>
      </w:r>
      <w:r w:rsidRPr="0054671B">
        <w:t xml:space="preserve"> each club in Fig </w:t>
      </w:r>
      <w:r w:rsidR="002C6229">
        <w:t>5</w:t>
      </w:r>
      <w:r w:rsidRPr="0054671B">
        <w:t xml:space="preserve">. Unlike the diverging pattern shown in Fig </w:t>
      </w:r>
      <w:r w:rsidR="002C6229">
        <w:t>4</w:t>
      </w:r>
      <w:r w:rsidRPr="0054671B">
        <w:t xml:space="preserve">, the transition path in Fig </w:t>
      </w:r>
      <w:r w:rsidR="002C6229">
        <w:t>5</w:t>
      </w:r>
      <w:r w:rsidRPr="0054671B">
        <w:t xml:space="preserve"> (a), (b), and (c) demonstrate</w:t>
      </w:r>
      <w:r w:rsidR="002D06D6" w:rsidRPr="0054671B">
        <w:t xml:space="preserve"> a</w:t>
      </w:r>
      <w:r w:rsidRPr="0054671B">
        <w:t xml:space="preserve"> </w:t>
      </w:r>
      <w:r w:rsidR="002D06D6" w:rsidRPr="0054671B">
        <w:t xml:space="preserve">clear </w:t>
      </w:r>
      <w:r w:rsidRPr="0054671B">
        <w:t xml:space="preserve">convergence pattern, </w:t>
      </w:r>
      <w:r w:rsidR="00705C75" w:rsidRPr="0054671B">
        <w:t xml:space="preserve">with </w:t>
      </w:r>
      <w:r w:rsidR="004A0087" w:rsidRPr="0054671B">
        <w:t xml:space="preserve">a </w:t>
      </w:r>
      <w:r w:rsidR="00705C75" w:rsidRPr="0054671B">
        <w:t>smaller</w:t>
      </w:r>
      <w:r w:rsidRPr="0054671B">
        <w:t xml:space="preserve"> gap between provinces </w:t>
      </w:r>
      <w:r w:rsidR="00705C75" w:rsidRPr="0054671B">
        <w:t>in the final period</w:t>
      </w:r>
      <w:r w:rsidRPr="0054671B">
        <w:t>.</w:t>
      </w:r>
      <w:r w:rsidR="00705C75" w:rsidRPr="0054671B">
        <w:t xml:space="preserve"> </w:t>
      </w:r>
      <w:r w:rsidR="004A0087" w:rsidRPr="0054671B">
        <w:t>In club 1, although real wage in Banten and Jakarta improve over time, the convergence is largely driven by the declining real wage in Riau islands, particularly since 2015.</w:t>
      </w:r>
      <w:r w:rsidR="00925ACE" w:rsidRPr="0054671B">
        <w:t xml:space="preserve"> </w:t>
      </w:r>
      <w:r w:rsidR="00B77073" w:rsidRPr="0054671B">
        <w:t>It is worth noting that Riau Islands is renowned as the country's industrial hub, with shipbuilding, oil and gas, and electronics manufacture among its mainstays.</w:t>
      </w:r>
      <w:r w:rsidR="001D5F7F" w:rsidRPr="0054671B">
        <w:t xml:space="preserve"> </w:t>
      </w:r>
      <w:r w:rsidR="0025533D" w:rsidRPr="0054671B">
        <w:t>Despite its proximity to Singapore, the performance of the islands' industrial sector has deteriorated, with diminishing levels of FDI and exports</w:t>
      </w:r>
      <w:r w:rsidR="002E305F" w:rsidRPr="0054671B">
        <w:t xml:space="preserve"> </w:t>
      </w:r>
      <w:r w:rsidR="002E305F" w:rsidRPr="0054671B">
        <w:fldChar w:fldCharType="begin"/>
      </w:r>
      <w:r w:rsidR="002E305F" w:rsidRPr="0054671B">
        <w:instrText xml:space="preserve"> ADDIN ZOTERO_ITEM CSL_CITATION {"citationID":"f4dWSK2t","properties":{"formattedCitation":"(Negara &amp; Hutchinson, 2020)","plainCitation":"(Negara &amp; Hutchinson, 2020)","noteIndex":0},"citationItems":[{"id":369,"uris":["http://zotero.org/users/local/9Bu69DCL/items/GPRGFWEA"],"uri":["http://zotero.org/users/local/9Bu69DCL/items/GPRGFWEA"],"itemData":{"id":369,"type":"article-journal","container-title":"Bulletin of Indonesian Economic Studies","ISSN":"0007-4918","issue":"1","journalAbbreviation":"Bulletin of Indonesian Economic Studies","note":"publisher: Taylor &amp; Francis","page":"87-125","title":"Batam: Life after the FTZ?","volume":"56","author":[{"family":"Negara","given":"Siwage Dharma"},{"family":"Hutchinson","given":"Francis"}],"issued":{"date-parts":[["2020"]]}}}],"schema":"https://github.com/citation-style-language/schema/raw/master/csl-citation.json"} </w:instrText>
      </w:r>
      <w:r w:rsidR="002E305F" w:rsidRPr="0054671B">
        <w:fldChar w:fldCharType="separate"/>
      </w:r>
      <w:r w:rsidR="002E305F" w:rsidRPr="0054671B">
        <w:rPr>
          <w:rFonts w:ascii="Calibri" w:hAnsi="Calibri" w:cs="Calibri"/>
        </w:rPr>
        <w:t>(Negara &amp; Hutchinson, 2020)</w:t>
      </w:r>
      <w:r w:rsidR="002E305F" w:rsidRPr="0054671B">
        <w:fldChar w:fldCharType="end"/>
      </w:r>
      <w:r w:rsidR="002E305F" w:rsidRPr="0054671B">
        <w:t>.</w:t>
      </w:r>
      <w:r w:rsidR="001D5F7F" w:rsidRPr="0054671B">
        <w:t xml:space="preserve"> </w:t>
      </w:r>
      <w:r w:rsidR="0025533D" w:rsidRPr="0054671B">
        <w:t xml:space="preserve">On the other hand, </w:t>
      </w:r>
      <w:r w:rsidR="00925ACE" w:rsidRPr="0054671B">
        <w:t xml:space="preserve">Jakarta is the countries’ capital city </w:t>
      </w:r>
      <w:r w:rsidR="007A501E" w:rsidRPr="0054671B">
        <w:t>where large</w:t>
      </w:r>
      <w:r w:rsidR="00925ACE" w:rsidRPr="0054671B">
        <w:t xml:space="preserve"> business and financial </w:t>
      </w:r>
      <w:r w:rsidR="007A501E" w:rsidRPr="0054671B">
        <w:t>service</w:t>
      </w:r>
      <w:r w:rsidR="00925ACE" w:rsidRPr="0054671B">
        <w:t>s</w:t>
      </w:r>
      <w:r w:rsidR="007A501E" w:rsidRPr="0054671B">
        <w:t xml:space="preserve"> are centered, </w:t>
      </w:r>
      <w:r w:rsidR="000D3C49" w:rsidRPr="0054671B">
        <w:t xml:space="preserve">and </w:t>
      </w:r>
      <w:r w:rsidR="00D912D7" w:rsidRPr="0054671B">
        <w:t>Banten is a province that shares a border with Jakarta and relies heavily on the manufacturing industry to support its economy (around 37% of GDP).</w:t>
      </w:r>
      <w:r w:rsidR="00925ACE" w:rsidRPr="0054671B">
        <w:t xml:space="preserve"> </w:t>
      </w:r>
    </w:p>
    <w:tbl>
      <w:tblPr>
        <w:tblStyle w:val="TableGrid"/>
        <w:tblpPr w:leftFromText="142" w:rightFromText="142" w:vertAnchor="text" w:horzAnchor="margin" w:tblpXSpec="center" w:tblpY="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CC582F" w:rsidRPr="0054671B" w14:paraId="606EC2A7" w14:textId="77777777" w:rsidTr="00CC582F">
        <w:tc>
          <w:tcPr>
            <w:tcW w:w="8640" w:type="dxa"/>
          </w:tcPr>
          <w:p w14:paraId="3CC8C1E3" w14:textId="77777777" w:rsidR="00CC582F" w:rsidRPr="0054671B" w:rsidRDefault="00CC582F" w:rsidP="00CC582F">
            <w:pPr>
              <w:pStyle w:val="ListParagraph"/>
              <w:ind w:leftChars="272" w:left="598" w:rightChars="388" w:right="854"/>
              <w:jc w:val="center"/>
              <w:rPr>
                <w:rFonts w:ascii="Bookman Old Style" w:eastAsia="Adobe Myungjo Std M" w:hAnsi="Bookman Old Style"/>
                <w:b/>
                <w:szCs w:val="18"/>
              </w:rPr>
            </w:pPr>
            <w:r w:rsidRPr="0054671B">
              <w:rPr>
                <w:noProof/>
              </w:rPr>
              <w:lastRenderedPageBreak/>
              <w:drawing>
                <wp:inline distT="0" distB="0" distL="0" distR="0" wp14:anchorId="442F0431" wp14:editId="5AC0AF74">
                  <wp:extent cx="3177672" cy="176537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5601" cy="1769779"/>
                          </a:xfrm>
                          <a:prstGeom prst="rect">
                            <a:avLst/>
                          </a:prstGeom>
                          <a:noFill/>
                          <a:ln>
                            <a:noFill/>
                          </a:ln>
                        </pic:spPr>
                      </pic:pic>
                    </a:graphicData>
                  </a:graphic>
                </wp:inline>
              </w:drawing>
            </w:r>
          </w:p>
          <w:p w14:paraId="7CC3039E" w14:textId="77777777" w:rsidR="00CC582F" w:rsidRPr="0054671B" w:rsidRDefault="00CC582F" w:rsidP="00CC582F">
            <w:pPr>
              <w:pStyle w:val="ListParagraph"/>
              <w:numPr>
                <w:ilvl w:val="0"/>
                <w:numId w:val="4"/>
              </w:numPr>
              <w:ind w:rightChars="388" w:right="854"/>
              <w:jc w:val="center"/>
              <w:rPr>
                <w:rFonts w:ascii="Bookman Old Style" w:eastAsia="Adobe Myungjo Std M" w:hAnsi="Bookman Old Style"/>
                <w:bCs/>
                <w:szCs w:val="18"/>
              </w:rPr>
            </w:pPr>
            <w:r w:rsidRPr="0054671B">
              <w:rPr>
                <w:rFonts w:hint="eastAsia"/>
                <w:sz w:val="22"/>
                <w:szCs w:val="22"/>
              </w:rPr>
              <w:t>C</w:t>
            </w:r>
            <w:r w:rsidRPr="0054671B">
              <w:rPr>
                <w:sz w:val="22"/>
                <w:szCs w:val="22"/>
              </w:rPr>
              <w:t>lub 1</w:t>
            </w:r>
          </w:p>
        </w:tc>
      </w:tr>
      <w:tr w:rsidR="00CC582F" w:rsidRPr="0054671B" w14:paraId="1D63A73B" w14:textId="77777777" w:rsidTr="00CC582F">
        <w:tc>
          <w:tcPr>
            <w:tcW w:w="8640" w:type="dxa"/>
          </w:tcPr>
          <w:p w14:paraId="142E5D0F" w14:textId="77777777" w:rsidR="00CC582F" w:rsidRPr="0054671B" w:rsidRDefault="00CC582F" w:rsidP="00CC582F">
            <w:pPr>
              <w:pStyle w:val="ListParagraph"/>
              <w:ind w:leftChars="401" w:left="882" w:rightChars="388" w:right="854"/>
              <w:jc w:val="center"/>
              <w:rPr>
                <w:rFonts w:ascii="Bookman Old Style" w:eastAsia="Adobe Myungjo Std M" w:hAnsi="Bookman Old Style"/>
                <w:b/>
                <w:szCs w:val="18"/>
              </w:rPr>
            </w:pPr>
            <w:r w:rsidRPr="0054671B">
              <w:rPr>
                <w:noProof/>
              </w:rPr>
              <w:drawing>
                <wp:inline distT="0" distB="0" distL="0" distR="0" wp14:anchorId="2D17E54F" wp14:editId="08C4DE52">
                  <wp:extent cx="3414356" cy="18974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4929" cy="1908911"/>
                          </a:xfrm>
                          <a:prstGeom prst="rect">
                            <a:avLst/>
                          </a:prstGeom>
                          <a:noFill/>
                          <a:ln>
                            <a:noFill/>
                          </a:ln>
                        </pic:spPr>
                      </pic:pic>
                    </a:graphicData>
                  </a:graphic>
                </wp:inline>
              </w:drawing>
            </w:r>
          </w:p>
          <w:p w14:paraId="51B4BA80" w14:textId="77777777" w:rsidR="00CC582F" w:rsidRPr="0054671B" w:rsidRDefault="00CC582F" w:rsidP="00CC582F">
            <w:pPr>
              <w:pStyle w:val="ListParagraph"/>
              <w:numPr>
                <w:ilvl w:val="0"/>
                <w:numId w:val="4"/>
              </w:numPr>
              <w:ind w:rightChars="388" w:right="854"/>
              <w:jc w:val="center"/>
              <w:rPr>
                <w:rFonts w:ascii="Bookman Old Style" w:eastAsia="Adobe Myungjo Std M" w:hAnsi="Bookman Old Style"/>
                <w:b/>
                <w:szCs w:val="18"/>
              </w:rPr>
            </w:pPr>
            <w:r w:rsidRPr="0054671B">
              <w:rPr>
                <w:rFonts w:hint="eastAsia"/>
                <w:sz w:val="22"/>
                <w:szCs w:val="22"/>
              </w:rPr>
              <w:t>C</w:t>
            </w:r>
            <w:r w:rsidRPr="0054671B">
              <w:rPr>
                <w:sz w:val="22"/>
                <w:szCs w:val="22"/>
              </w:rPr>
              <w:t>lub 2</w:t>
            </w:r>
          </w:p>
        </w:tc>
      </w:tr>
      <w:tr w:rsidR="00CC582F" w:rsidRPr="0054671B" w14:paraId="3AAE1A2D" w14:textId="77777777" w:rsidTr="00CC582F">
        <w:tc>
          <w:tcPr>
            <w:tcW w:w="8640" w:type="dxa"/>
          </w:tcPr>
          <w:p w14:paraId="13133709" w14:textId="77777777" w:rsidR="00CC582F" w:rsidRPr="0054671B" w:rsidRDefault="00CC582F" w:rsidP="00CC582F">
            <w:pPr>
              <w:pStyle w:val="ListParagraph"/>
              <w:ind w:leftChars="465" w:left="1023" w:rightChars="388" w:right="854"/>
              <w:jc w:val="center"/>
              <w:rPr>
                <w:rFonts w:ascii="Bookman Old Style" w:eastAsia="Adobe Myungjo Std M" w:hAnsi="Bookman Old Style"/>
                <w:b/>
                <w:szCs w:val="18"/>
              </w:rPr>
            </w:pPr>
            <w:r w:rsidRPr="0054671B">
              <w:rPr>
                <w:noProof/>
              </w:rPr>
              <w:drawing>
                <wp:inline distT="0" distB="0" distL="0" distR="0" wp14:anchorId="0391A25F" wp14:editId="050EBAEE">
                  <wp:extent cx="3557080" cy="1976795"/>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535" cy="1984828"/>
                          </a:xfrm>
                          <a:prstGeom prst="rect">
                            <a:avLst/>
                          </a:prstGeom>
                          <a:noFill/>
                          <a:ln>
                            <a:noFill/>
                          </a:ln>
                        </pic:spPr>
                      </pic:pic>
                    </a:graphicData>
                  </a:graphic>
                </wp:inline>
              </w:drawing>
            </w:r>
          </w:p>
          <w:p w14:paraId="63331B60" w14:textId="77777777" w:rsidR="00CC582F" w:rsidRPr="0054671B" w:rsidRDefault="00CC582F" w:rsidP="00CC582F">
            <w:pPr>
              <w:pStyle w:val="ListParagraph"/>
              <w:numPr>
                <w:ilvl w:val="0"/>
                <w:numId w:val="4"/>
              </w:numPr>
              <w:ind w:rightChars="388" w:right="854"/>
              <w:jc w:val="center"/>
              <w:rPr>
                <w:rFonts w:ascii="Bookman Old Style" w:eastAsia="Adobe Myungjo Std M" w:hAnsi="Bookman Old Style"/>
                <w:b/>
                <w:szCs w:val="18"/>
              </w:rPr>
            </w:pPr>
            <w:r w:rsidRPr="0054671B">
              <w:rPr>
                <w:rFonts w:hint="eastAsia"/>
                <w:sz w:val="22"/>
                <w:szCs w:val="22"/>
              </w:rPr>
              <w:t>C</w:t>
            </w:r>
            <w:r w:rsidRPr="0054671B">
              <w:rPr>
                <w:sz w:val="22"/>
                <w:szCs w:val="22"/>
              </w:rPr>
              <w:t>lub 3</w:t>
            </w:r>
          </w:p>
        </w:tc>
      </w:tr>
    </w:tbl>
    <w:p w14:paraId="68AFEC7C" w14:textId="74CCE248" w:rsidR="00CC582F" w:rsidRPr="0054671B" w:rsidRDefault="00B53C74" w:rsidP="00CC582F">
      <w:pPr>
        <w:pStyle w:val="ListParagraph"/>
        <w:spacing w:after="0" w:line="360" w:lineRule="auto"/>
        <w:jc w:val="both"/>
      </w:pPr>
      <w:r w:rsidRPr="0054671B">
        <w:tab/>
      </w:r>
      <w:r w:rsidR="00CC582F" w:rsidRPr="0054671B">
        <w:t xml:space="preserve">Fig. </w:t>
      </w:r>
      <w:r w:rsidR="0038698D">
        <w:t>5</w:t>
      </w:r>
      <w:r w:rsidR="00CC582F" w:rsidRPr="0054671B">
        <w:t>. The transition path of provinces within each convergence club, 2008-2020</w:t>
      </w:r>
    </w:p>
    <w:p w14:paraId="178872FC" w14:textId="77777777" w:rsidR="00CC582F" w:rsidRPr="0054671B" w:rsidRDefault="00CC582F" w:rsidP="00B53C74">
      <w:pPr>
        <w:pStyle w:val="ListParagraph"/>
        <w:spacing w:after="0" w:line="360" w:lineRule="auto"/>
        <w:jc w:val="both"/>
      </w:pPr>
    </w:p>
    <w:p w14:paraId="4A0DC798" w14:textId="0D1AC3E6" w:rsidR="00F53207" w:rsidRPr="0054671B" w:rsidRDefault="00CC582F" w:rsidP="008B5764">
      <w:pPr>
        <w:pStyle w:val="ListParagraph"/>
        <w:spacing w:after="0" w:line="360" w:lineRule="auto"/>
        <w:jc w:val="both"/>
      </w:pPr>
      <w:r w:rsidRPr="0054671B">
        <w:tab/>
      </w:r>
      <w:r w:rsidR="00B53C74" w:rsidRPr="0054671B">
        <w:t xml:space="preserve">The convergence in club 2 is due to a combination of real wage declines in mining-based provinces (e.g., East Kalimantan, Papua, and West Papua) and improved conditions in </w:t>
      </w:r>
      <w:r w:rsidR="00983E3C" w:rsidRPr="0054671B">
        <w:t xml:space="preserve">the </w:t>
      </w:r>
      <w:r w:rsidR="009803E1" w:rsidRPr="0054671B">
        <w:t xml:space="preserve">industrialized province of </w:t>
      </w:r>
      <w:r w:rsidR="00B53C74" w:rsidRPr="0054671B">
        <w:t xml:space="preserve">West Java and </w:t>
      </w:r>
      <w:r w:rsidR="00983E3C" w:rsidRPr="0054671B">
        <w:t xml:space="preserve">the </w:t>
      </w:r>
      <w:r w:rsidR="009803E1" w:rsidRPr="0054671B">
        <w:t xml:space="preserve">newly established province of </w:t>
      </w:r>
      <w:r w:rsidR="00B53C74" w:rsidRPr="0054671B">
        <w:t>North Kalimantan.</w:t>
      </w:r>
      <w:r w:rsidRPr="0054671B">
        <w:t xml:space="preserve"> </w:t>
      </w:r>
      <w:r w:rsidR="006454A6" w:rsidRPr="0054671B">
        <w:t xml:space="preserve">Similarly, the consistent growth of real wages in Java's other two industrialized provinces (Central Java and East Java, respectively, with manufacturing shares of 30% and 34% of GDP) dominates </w:t>
      </w:r>
      <w:r w:rsidR="006454A6" w:rsidRPr="0054671B">
        <w:lastRenderedPageBreak/>
        <w:t xml:space="preserve">the club 3 convergence process. On the other hand, wage condition in East Nusa Tenggara continues to decline. </w:t>
      </w:r>
      <w:r w:rsidR="008B5764" w:rsidRPr="0054671B">
        <w:t xml:space="preserve">Agriculture's prolonged dominance – most of which is low-tech and </w:t>
      </w:r>
      <w:r w:rsidR="00A92EB0" w:rsidRPr="0054671B">
        <w:t>subsistence-oriented – plays a significant role in this phenomenon</w:t>
      </w:r>
      <w:r w:rsidR="00FC77C3">
        <w:t xml:space="preserve"> </w:t>
      </w:r>
      <w:r w:rsidR="00FC77C3">
        <w:fldChar w:fldCharType="begin"/>
      </w:r>
      <w:r w:rsidR="00FC77C3">
        <w:instrText xml:space="preserve"> ADDIN ZOTERO_ITEM CSL_CITATION {"citationID":"vRNL2d1W","properties":{"formattedCitation":"({\\i{}Decent Work Profile East Nusa Tenggara}, 2013)","plainCitation":"(Decent Work Profile East Nusa Tenggara, 2013)","noteIndex":0},"citationItems":[{"id":381,"uris":["http://zotero.org/users/local/9Bu69DCL/items/GWPZ4U5F"],"uri":["http://zotero.org/users/local/9Bu69DCL/items/GWPZ4U5F"],"itemData":{"id":381,"type":"book","event-place":"Geneva","ISBN":"978-92-2-127611-1","language":"English","publisher":"International Labour Organization","publisher-place":"Geneva","title":"Decent Work Profile East Nusa Tenggara","URL":"https://www.ilo.org/wcmsp5/groups/public/---dgreports/---integration/documents/publication/wcms_228702.pdf","issued":{"date-parts":[["2013"]]}}}],"schema":"https://github.com/citation-style-language/schema/raw/master/csl-citation.json"} </w:instrText>
      </w:r>
      <w:r w:rsidR="00FC77C3">
        <w:fldChar w:fldCharType="separate"/>
      </w:r>
      <w:r w:rsidR="00FC77C3" w:rsidRPr="00FC77C3">
        <w:rPr>
          <w:rFonts w:ascii="Calibri" w:hAnsi="Calibri" w:cs="Calibri"/>
          <w:szCs w:val="24"/>
        </w:rPr>
        <w:t>(</w:t>
      </w:r>
      <w:r w:rsidR="00FC77C3" w:rsidRPr="00FC77C3">
        <w:rPr>
          <w:rFonts w:ascii="Calibri" w:hAnsi="Calibri" w:cs="Calibri"/>
          <w:i/>
          <w:iCs/>
          <w:szCs w:val="24"/>
        </w:rPr>
        <w:t>Decent Work Profile East Nusa Tenggara</w:t>
      </w:r>
      <w:r w:rsidR="00FC77C3" w:rsidRPr="00FC77C3">
        <w:rPr>
          <w:rFonts w:ascii="Calibri" w:hAnsi="Calibri" w:cs="Calibri"/>
          <w:szCs w:val="24"/>
        </w:rPr>
        <w:t>, 2013)</w:t>
      </w:r>
      <w:r w:rsidR="00FC77C3">
        <w:fldChar w:fldCharType="end"/>
      </w:r>
      <w:r w:rsidR="00FC77C3">
        <w:t>.</w:t>
      </w:r>
    </w:p>
    <w:p w14:paraId="72B6C364" w14:textId="3EE026AB" w:rsidR="00FD509B" w:rsidRPr="0054671B" w:rsidRDefault="00A73A8C" w:rsidP="00FD509B">
      <w:pPr>
        <w:pStyle w:val="ListParagraph"/>
        <w:spacing w:line="360" w:lineRule="auto"/>
        <w:ind w:firstLine="720"/>
        <w:jc w:val="both"/>
      </w:pPr>
      <w:r w:rsidRPr="0054671B">
        <w:rPr>
          <w:rFonts w:hint="eastAsia"/>
        </w:rPr>
        <w:t>F</w:t>
      </w:r>
      <w:r w:rsidRPr="0054671B">
        <w:t xml:space="preserve">inally, we visualize the geographical distribution of club convergence in Fig </w:t>
      </w:r>
      <w:r w:rsidR="008813C3">
        <w:t>6</w:t>
      </w:r>
      <w:r w:rsidRPr="0054671B">
        <w:t>.</w:t>
      </w:r>
      <w:r w:rsidR="00F44D2F" w:rsidRPr="0054671B">
        <w:t xml:space="preserve"> It is worth noting that we capture geographical effects of club convergence </w:t>
      </w:r>
      <w:r w:rsidR="00F44D2F" w:rsidRPr="0054671B">
        <w:fldChar w:fldCharType="begin"/>
      </w:r>
      <w:r w:rsidR="00F44D2F" w:rsidRPr="0054671B">
        <w:instrText xml:space="preserve"> ADDIN ZOTERO_ITEM CSL_CITATION {"citationID":"cNpf6dJE","properties":{"formattedCitation":"(Barro et al., 1991; Quah, 1996)","plainCitation":"(Barro et al., 1991; Quah, 1996)","noteIndex":0},"citationItems":[{"id":193,"uris":["http://zotero.org/users/local/9Bu69DCL/items/4TBKQL6T"],"uri":["http://zotero.org/users/local/9Bu69DCL/items/4TBKQL6T"],"itemData":{"id":193,"type":"article-journal","container-title":"Brookings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E"}],"issued":{"date-parts":[["1991"]]}}},{"id":23,"uris":["http://zotero.org/users/local/9Bu69DCL/items/4A7UKAGF"],"uri":["http://zotero.org/users/local/9Bu69DCL/items/4A7UKAGF"],"itemData":{"id":23,"type":"article-journal","container-title":"Economic Journal","page":"1045–1055","title":"Twin peaks: growth and convergence in models of distribution dynamics","author":[{"family":"Quah","given":"D"}],"issued":{"date-parts":[["1996"]]}}}],"schema":"https://github.com/citation-style-language/schema/raw/master/csl-citation.json"} </w:instrText>
      </w:r>
      <w:r w:rsidR="00F44D2F" w:rsidRPr="0054671B">
        <w:fldChar w:fldCharType="separate"/>
      </w:r>
      <w:r w:rsidR="00F44D2F" w:rsidRPr="0054671B">
        <w:rPr>
          <w:rFonts w:ascii="Calibri" w:hAnsi="Calibri" w:cs="Calibri"/>
        </w:rPr>
        <w:t>(Barro et al., 1991; Quah, 1996)</w:t>
      </w:r>
      <w:r w:rsidR="00F44D2F" w:rsidRPr="0054671B">
        <w:fldChar w:fldCharType="end"/>
      </w:r>
      <w:r w:rsidR="00F44D2F" w:rsidRPr="0054671B">
        <w:t xml:space="preserve">, similar to what has been documented in the study of </w:t>
      </w:r>
      <w:r w:rsidR="00F44D2F" w:rsidRPr="0054671B">
        <w:fldChar w:fldCharType="begin"/>
      </w:r>
      <w:r w:rsidR="00335413" w:rsidRPr="0054671B">
        <w:instrText xml:space="preserve"> ADDIN ZOTERO_ITEM CSL_CITATION {"citationID":"FYYaCZNL","properties":{"formattedCitation":"(Aginta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F44D2F" w:rsidRPr="0054671B">
        <w:fldChar w:fldCharType="separate"/>
      </w:r>
      <w:r w:rsidR="00F44D2F" w:rsidRPr="0054671B">
        <w:rPr>
          <w:rFonts w:ascii="Calibri" w:hAnsi="Calibri" w:cs="Calibri"/>
        </w:rPr>
        <w:t>Aginta et al. (2020)</w:t>
      </w:r>
      <w:r w:rsidR="00F44D2F" w:rsidRPr="0054671B">
        <w:fldChar w:fldCharType="end"/>
      </w:r>
      <w:r w:rsidR="00F44D2F" w:rsidRPr="0054671B">
        <w:t xml:space="preserve"> and </w:t>
      </w:r>
      <w:r w:rsidR="00F44D2F" w:rsidRPr="0054671B">
        <w:fldChar w:fldCharType="begin"/>
      </w:r>
      <w:r w:rsidR="00335413" w:rsidRPr="0054671B">
        <w:instrText xml:space="preserve"> ADDIN ZOTERO_ITEM CSL_CITATION {"citationID":"tO5iRDnL","properties":{"formattedCitation":"(Aginta,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44D2F" w:rsidRPr="0054671B">
        <w:fldChar w:fldCharType="separate"/>
      </w:r>
      <w:r w:rsidR="00F44D2F" w:rsidRPr="0054671B">
        <w:rPr>
          <w:rFonts w:ascii="Calibri" w:hAnsi="Calibri" w:cs="Calibri"/>
        </w:rPr>
        <w:t>Aginta (2021)</w:t>
      </w:r>
      <w:r w:rsidR="00F44D2F" w:rsidRPr="0054671B">
        <w:fldChar w:fldCharType="end"/>
      </w:r>
      <w:r w:rsidR="00F44D2F" w:rsidRPr="0054671B">
        <w:t xml:space="preserve"> when studying regional income and price convergence in Indonesia. These geographical effects are </w:t>
      </w:r>
      <w:r w:rsidR="00FA438A" w:rsidRPr="0054671B">
        <w:t>apparent</w:t>
      </w:r>
      <w:r w:rsidR="00F44D2F" w:rsidRPr="0054671B">
        <w:t xml:space="preserve"> in Sumatra island</w:t>
      </w:r>
      <w:r w:rsidR="00FA438A" w:rsidRPr="0054671B">
        <w:t>,</w:t>
      </w:r>
      <w:r w:rsidR="00F44D2F" w:rsidRPr="0054671B">
        <w:t xml:space="preserve"> where a province and its neighboring provinces are clustered in the same club (club 3). </w:t>
      </w:r>
      <w:r w:rsidR="00493EE6" w:rsidRPr="0054671B">
        <w:t>A</w:t>
      </w:r>
      <w:r w:rsidR="00F44D2F" w:rsidRPr="0054671B">
        <w:t xml:space="preserve"> similar pattern is also observed in the distribution of club 2 </w:t>
      </w:r>
      <w:r w:rsidR="00AA57FC" w:rsidRPr="0054671B">
        <w:t>(</w:t>
      </w:r>
      <w:r w:rsidR="00F44D2F" w:rsidRPr="0054671B">
        <w:t>in Kalimantan and Papua island</w:t>
      </w:r>
      <w:r w:rsidR="00AA57FC" w:rsidRPr="0054671B">
        <w:t>) and club 1 (where Jakarta and its neighbor Banten clustered together).</w:t>
      </w:r>
    </w:p>
    <w:p w14:paraId="7008F39C" w14:textId="0BD827C2" w:rsidR="00FD509B" w:rsidRPr="0054671B" w:rsidRDefault="00165B69" w:rsidP="00FD509B">
      <w:pPr>
        <w:pStyle w:val="ListParagraph"/>
        <w:spacing w:line="360" w:lineRule="auto"/>
        <w:ind w:hanging="11"/>
        <w:jc w:val="center"/>
      </w:pPr>
      <w:r w:rsidRPr="0054671B">
        <w:rPr>
          <w:noProof/>
        </w:rPr>
        <w:drawing>
          <wp:inline distT="0" distB="0" distL="0" distR="0" wp14:anchorId="45386E6A" wp14:editId="51D4C9A2">
            <wp:extent cx="5353050" cy="244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050" cy="2444750"/>
                    </a:xfrm>
                    <a:prstGeom prst="rect">
                      <a:avLst/>
                    </a:prstGeom>
                    <a:noFill/>
                    <a:ln>
                      <a:noFill/>
                    </a:ln>
                  </pic:spPr>
                </pic:pic>
              </a:graphicData>
            </a:graphic>
          </wp:inline>
        </w:drawing>
      </w:r>
    </w:p>
    <w:p w14:paraId="148CF943" w14:textId="615BA37A" w:rsidR="00FD509B" w:rsidRPr="0054671B" w:rsidRDefault="00FD509B" w:rsidP="00FD509B">
      <w:pPr>
        <w:pStyle w:val="ListParagraph"/>
        <w:spacing w:line="360" w:lineRule="auto"/>
        <w:jc w:val="center"/>
      </w:pPr>
      <w:r w:rsidRPr="0054671B">
        <w:t xml:space="preserve">Fig. </w:t>
      </w:r>
      <w:r w:rsidR="008813C3">
        <w:t>6</w:t>
      </w:r>
      <w:r w:rsidRPr="0054671B">
        <w:t>. The geographical distribution of club convergence</w:t>
      </w:r>
    </w:p>
    <w:p w14:paraId="3E9F286D" w14:textId="6872D9AC" w:rsidR="00A73A8C" w:rsidRPr="0054671B" w:rsidRDefault="00A73A8C" w:rsidP="00B40673">
      <w:pPr>
        <w:pStyle w:val="ListParagraph"/>
        <w:spacing w:line="360" w:lineRule="auto"/>
        <w:ind w:firstLine="720"/>
        <w:jc w:val="both"/>
      </w:pPr>
    </w:p>
    <w:p w14:paraId="2E325E83" w14:textId="12D9599B" w:rsidR="007B3BC4" w:rsidRPr="0054671B" w:rsidRDefault="00C14939" w:rsidP="00B40673">
      <w:pPr>
        <w:pStyle w:val="ListParagraph"/>
        <w:spacing w:line="360" w:lineRule="auto"/>
        <w:ind w:firstLine="720"/>
        <w:jc w:val="both"/>
        <w:sectPr w:rsidR="007B3BC4" w:rsidRPr="0054671B">
          <w:pgSz w:w="12240" w:h="15840"/>
          <w:pgMar w:top="1440" w:right="1440" w:bottom="1440" w:left="1440" w:header="720" w:footer="720" w:gutter="0"/>
          <w:cols w:space="720"/>
          <w:docGrid w:linePitch="360"/>
        </w:sectPr>
      </w:pPr>
      <w:r w:rsidRPr="0054671B">
        <w:t xml:space="preserve">The </w:t>
      </w:r>
      <w:r w:rsidR="00BF48A6" w:rsidRPr="0054671B">
        <w:t>c</w:t>
      </w:r>
      <w:r w:rsidRPr="0054671B">
        <w:t>lub convergence test</w:t>
      </w:r>
      <w:r w:rsidR="00BF48A6" w:rsidRPr="0054671B">
        <w:t xml:space="preserve"> results</w:t>
      </w:r>
      <w:r w:rsidRPr="0054671B">
        <w:t xml:space="preserve"> </w:t>
      </w:r>
      <w:r w:rsidR="00BF48A6" w:rsidRPr="0054671B">
        <w:t>show</w:t>
      </w:r>
      <w:r w:rsidRPr="0054671B">
        <w:t xml:space="preserve"> </w:t>
      </w:r>
      <w:r w:rsidR="00316F6D" w:rsidRPr="0054671B">
        <w:t xml:space="preserve">the presence of </w:t>
      </w:r>
      <w:r w:rsidR="00554CE2" w:rsidRPr="0054671B">
        <w:t xml:space="preserve">a </w:t>
      </w:r>
      <w:r w:rsidRPr="0054671B">
        <w:t>persistent gap in regional real wage across Indonesia</w:t>
      </w:r>
      <w:r w:rsidR="00FA438A" w:rsidRPr="0054671B">
        <w:t>n</w:t>
      </w:r>
      <w:r w:rsidRPr="0054671B">
        <w:t xml:space="preserve"> provinces. Th</w:t>
      </w:r>
      <w:r w:rsidR="00FA438A" w:rsidRPr="0054671B">
        <w:t>e results also</w:t>
      </w:r>
      <w:r w:rsidRPr="0054671B">
        <w:t xml:space="preserve"> reflect</w:t>
      </w:r>
      <w:r w:rsidR="00B40673" w:rsidRPr="0054671B">
        <w:t xml:space="preserve"> wage </w:t>
      </w:r>
      <w:r w:rsidRPr="0054671B">
        <w:t>rigidity</w:t>
      </w:r>
      <w:r w:rsidR="00617AE2" w:rsidRPr="0054671B">
        <w:t xml:space="preserve"> as well as </w:t>
      </w:r>
      <w:r w:rsidR="003C7556" w:rsidRPr="0054671B">
        <w:t xml:space="preserve">heterogeneity in </w:t>
      </w:r>
      <w:r w:rsidR="00B40673" w:rsidRPr="0054671B">
        <w:t>macroeconomic and labor market</w:t>
      </w:r>
      <w:r w:rsidR="00617AE2" w:rsidRPr="0054671B">
        <w:t xml:space="preserve"> conditions</w:t>
      </w:r>
      <w:r w:rsidR="00B40673" w:rsidRPr="0054671B">
        <w:t xml:space="preserve"> across provinces. However, by this far we do not know which components of macroeconomic and labor market condition</w:t>
      </w:r>
      <w:r w:rsidR="004F5D91" w:rsidRPr="0054671B">
        <w:t>s</w:t>
      </w:r>
      <w:r w:rsidR="00B40673" w:rsidRPr="0054671B">
        <w:t xml:space="preserve"> explain regional wage disparity across Indonesian provinces. Therefore, in the next section, we investigate the important factors that contribute to the persistent regional wage disparity</w:t>
      </w:r>
      <w:r w:rsidR="00AE0B24" w:rsidRPr="0054671B">
        <w:t>.</w:t>
      </w:r>
      <w:r w:rsidR="00B40673" w:rsidRPr="0054671B">
        <w:t xml:space="preserve"> More specifically, we </w:t>
      </w:r>
      <w:r w:rsidR="00BF48A6" w:rsidRPr="0054671B">
        <w:t>aim</w:t>
      </w:r>
      <w:r w:rsidR="00B40673" w:rsidRPr="0054671B">
        <w:t xml:space="preserve"> to </w:t>
      </w:r>
      <w:r w:rsidR="00BF48A6" w:rsidRPr="0054671B">
        <w:t xml:space="preserve">provide empirical evidence to </w:t>
      </w:r>
      <w:r w:rsidR="00B40673" w:rsidRPr="0054671B">
        <w:t>a</w:t>
      </w:r>
      <w:r w:rsidR="00BF48A6" w:rsidRPr="0054671B">
        <w:t>ddress</w:t>
      </w:r>
      <w:r w:rsidR="00B40673" w:rsidRPr="0054671B">
        <w:t xml:space="preserve"> the following </w:t>
      </w:r>
      <w:r w:rsidR="00BF48A6" w:rsidRPr="0054671B">
        <w:t>qu</w:t>
      </w:r>
      <w:r w:rsidR="003203DD" w:rsidRPr="0054671B">
        <w:t>estion</w:t>
      </w:r>
      <w:r w:rsidR="00B40673" w:rsidRPr="0054671B">
        <w:t xml:space="preserve">: what regional factors influence the formation of club convergence? </w:t>
      </w:r>
      <w:r w:rsidRPr="0054671B">
        <w:t xml:space="preserve">   </w:t>
      </w:r>
    </w:p>
    <w:p w14:paraId="5092B417" w14:textId="75470074" w:rsidR="00766F05" w:rsidRPr="0054671B" w:rsidRDefault="00766F05" w:rsidP="00766F05">
      <w:pPr>
        <w:pStyle w:val="ListParagraph"/>
        <w:numPr>
          <w:ilvl w:val="1"/>
          <w:numId w:val="2"/>
        </w:numPr>
        <w:rPr>
          <w:rFonts w:ascii="Bookman Old Style" w:eastAsia="Adobe Myungjo Std M" w:hAnsi="Bookman Old Style"/>
          <w:b/>
          <w:szCs w:val="18"/>
        </w:rPr>
      </w:pPr>
      <w:r w:rsidRPr="0054671B">
        <w:rPr>
          <w:rFonts w:ascii="Bookman Old Style" w:eastAsia="Adobe Myungjo Std M" w:hAnsi="Bookman Old Style"/>
          <w:b/>
          <w:szCs w:val="18"/>
        </w:rPr>
        <w:lastRenderedPageBreak/>
        <w:t xml:space="preserve">Factors influencing the </w:t>
      </w:r>
      <w:r w:rsidR="00CD7A61" w:rsidRPr="0054671B">
        <w:rPr>
          <w:rFonts w:ascii="Bookman Old Style" w:eastAsia="Adobe Myungjo Std M" w:hAnsi="Bookman Old Style"/>
          <w:b/>
          <w:szCs w:val="18"/>
        </w:rPr>
        <w:t xml:space="preserve">club </w:t>
      </w:r>
      <w:r w:rsidRPr="0054671B">
        <w:rPr>
          <w:rFonts w:ascii="Bookman Old Style" w:eastAsia="Adobe Myungjo Std M" w:hAnsi="Bookman Old Style"/>
          <w:b/>
          <w:szCs w:val="18"/>
        </w:rPr>
        <w:t>convergence</w:t>
      </w:r>
    </w:p>
    <w:p w14:paraId="217068DB" w14:textId="77777777" w:rsidR="00766F05" w:rsidRPr="0054671B" w:rsidRDefault="00766F05" w:rsidP="00766F05">
      <w:pPr>
        <w:pStyle w:val="ListParagraph"/>
        <w:ind w:left="1440"/>
        <w:rPr>
          <w:rFonts w:ascii="Bookman Old Style" w:eastAsia="Adobe Myungjo Std M" w:hAnsi="Bookman Old Style"/>
          <w:b/>
          <w:szCs w:val="18"/>
        </w:rPr>
      </w:pPr>
    </w:p>
    <w:p w14:paraId="4FCD2FD8" w14:textId="03F44278" w:rsidR="0007361F" w:rsidRPr="0054671B" w:rsidRDefault="002A60F9" w:rsidP="00766E89">
      <w:pPr>
        <w:spacing w:after="0" w:line="360" w:lineRule="auto"/>
        <w:ind w:left="720" w:rightChars="1" w:right="2"/>
        <w:jc w:val="both"/>
      </w:pPr>
      <w:r w:rsidRPr="0054671B">
        <w:t>In t</w:t>
      </w:r>
      <w:r w:rsidR="00AE0B24" w:rsidRPr="0054671B">
        <w:t>his section</w:t>
      </w:r>
      <w:r w:rsidR="00554CE2" w:rsidRPr="0054671B">
        <w:t>,</w:t>
      </w:r>
      <w:r w:rsidR="00AE0B24" w:rsidRPr="0054671B">
        <w:t xml:space="preserve"> </w:t>
      </w:r>
      <w:r w:rsidRPr="0054671B">
        <w:t xml:space="preserve">we </w:t>
      </w:r>
      <w:r w:rsidR="00AE0B24" w:rsidRPr="0054671B">
        <w:t>examine</w:t>
      </w:r>
      <w:r w:rsidRPr="0054671B">
        <w:t xml:space="preserve"> and discuss</w:t>
      </w:r>
      <w:r w:rsidR="00D84FDE" w:rsidRPr="0054671B">
        <w:t xml:space="preserve"> </w:t>
      </w:r>
      <w:r w:rsidR="00AE0B24" w:rsidRPr="0054671B">
        <w:t xml:space="preserve">important conditioning factors that </w:t>
      </w:r>
      <w:r w:rsidRPr="0054671B">
        <w:t>theoretically influence</w:t>
      </w:r>
      <w:r w:rsidR="00AE0B24" w:rsidRPr="0054671B">
        <w:t xml:space="preserve"> </w:t>
      </w:r>
      <w:r w:rsidRPr="0054671B">
        <w:t xml:space="preserve">club </w:t>
      </w:r>
      <w:r w:rsidR="00AE0B24" w:rsidRPr="0054671B">
        <w:t>convergence formation</w:t>
      </w:r>
      <w:r w:rsidRPr="0054671B">
        <w:t xml:space="preserve">. </w:t>
      </w:r>
      <w:r w:rsidR="004F4BB8" w:rsidRPr="0054671B">
        <w:t>T</w:t>
      </w:r>
      <w:r w:rsidR="00766E89" w:rsidRPr="0054671B">
        <w:t>he club convergence hypothesis</w:t>
      </w:r>
      <w:r w:rsidR="004F4BB8" w:rsidRPr="0054671B">
        <w:t xml:space="preserve"> </w:t>
      </w:r>
      <w:r w:rsidR="00323478" w:rsidRPr="0054671B">
        <w:t>puts a large weight on the</w:t>
      </w:r>
      <w:r w:rsidR="004F4BB8" w:rsidRPr="0054671B">
        <w:t xml:space="preserve"> </w:t>
      </w:r>
      <w:r w:rsidR="00323478" w:rsidRPr="0054671B">
        <w:t xml:space="preserve">crucial roles </w:t>
      </w:r>
      <w:r w:rsidR="004F4BB8" w:rsidRPr="0054671B">
        <w:t xml:space="preserve">of </w:t>
      </w:r>
      <w:r w:rsidR="000B4DE0" w:rsidRPr="0054671B">
        <w:t xml:space="preserve">the </w:t>
      </w:r>
      <w:r w:rsidR="004F4BB8" w:rsidRPr="0054671B">
        <w:t>initial condition and</w:t>
      </w:r>
      <w:r w:rsidR="00766E89" w:rsidRPr="0054671B">
        <w:t xml:space="preserve"> structural characteristics </w:t>
      </w:r>
      <w:r w:rsidR="00323478" w:rsidRPr="0054671B">
        <w:t xml:space="preserve">in influencing </w:t>
      </w:r>
      <w:r w:rsidR="000B4DE0" w:rsidRPr="0054671B">
        <w:t xml:space="preserve">the </w:t>
      </w:r>
      <w:r w:rsidR="004F4BB8" w:rsidRPr="0054671B">
        <w:t>convergence process</w:t>
      </w:r>
      <w:r w:rsidR="000B4DE0" w:rsidRPr="0054671B">
        <w:t>;</w:t>
      </w:r>
      <w:r w:rsidR="004F4BB8" w:rsidRPr="0054671B">
        <w:t xml:space="preserve"> that is, countries or regions will </w:t>
      </w:r>
      <w:r w:rsidR="00766E89" w:rsidRPr="0054671B">
        <w:t xml:space="preserve">only converge </w:t>
      </w:r>
      <w:r w:rsidR="00000B51" w:rsidRPr="0054671B">
        <w:t xml:space="preserve">to </w:t>
      </w:r>
      <w:r w:rsidR="000B4DE0" w:rsidRPr="0054671B">
        <w:t xml:space="preserve">a </w:t>
      </w:r>
      <w:r w:rsidR="00000B51" w:rsidRPr="0054671B">
        <w:t>common steady-state</w:t>
      </w:r>
      <w:r w:rsidR="00766E89" w:rsidRPr="0054671B">
        <w:t xml:space="preserve"> if they </w:t>
      </w:r>
      <w:r w:rsidR="00000B51" w:rsidRPr="0054671B">
        <w:t xml:space="preserve">depart from similar </w:t>
      </w:r>
      <w:r w:rsidR="00766E89" w:rsidRPr="0054671B">
        <w:t>initial conditions</w:t>
      </w:r>
      <w:r w:rsidR="00000B51" w:rsidRPr="0054671B">
        <w:t xml:space="preserve"> and share same structural characteristics</w:t>
      </w:r>
      <w:r w:rsidR="00766E89" w:rsidRPr="0054671B">
        <w:t xml:space="preserve"> </w:t>
      </w:r>
      <w:r w:rsidR="00000B51" w:rsidRPr="0054671B">
        <w:fldChar w:fldCharType="begin"/>
      </w:r>
      <w:r w:rsidR="00000B51" w:rsidRPr="0054671B">
        <w:instrText xml:space="preserve"> ADDIN ZOTERO_ITEM CSL_CITATION {"citationID":"5fAP00U8","properties":{"formattedCitation":"(Galor, 1996)","plainCitation":"(Galor, 1996)","noteIndex":0},"citationItems":[{"id":82,"uris":["http://zotero.org/users/local/9Bu69DCL/items/RSE97NIJ"],"uri":["http://zotero.org/users/local/9Bu69DCL/items/RSE97NIJ"],"itemData":{"id":82,"type":"article-journal","abstract":"[This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000B51" w:rsidRPr="0054671B">
        <w:fldChar w:fldCharType="separate"/>
      </w:r>
      <w:r w:rsidR="00000B51" w:rsidRPr="0054671B">
        <w:rPr>
          <w:rFonts w:ascii="Calibri" w:hAnsi="Calibri" w:cs="Calibri"/>
        </w:rPr>
        <w:t>(Galor, 1996)</w:t>
      </w:r>
      <w:r w:rsidR="00000B51" w:rsidRPr="0054671B">
        <w:fldChar w:fldCharType="end"/>
      </w:r>
      <w:r w:rsidR="00766E89" w:rsidRPr="0054671B">
        <w:t>.</w:t>
      </w:r>
      <w:r w:rsidR="00555852" w:rsidRPr="0054671B">
        <w:rPr>
          <w:rStyle w:val="FootnoteReference"/>
        </w:rPr>
        <w:footnoteReference w:id="7"/>
      </w:r>
      <w:r w:rsidR="00555852" w:rsidRPr="0054671B">
        <w:t xml:space="preserve"> </w:t>
      </w:r>
      <w:r w:rsidR="004C1489" w:rsidRPr="0054671B">
        <w:t>Therefore, in addition to the level of real wage in 2008 to control for the initial condition, we also include sectoral and labor market indicators to capture the role of  structural characteristics in club convergence formation. Not only to be consistent with the theoretical foundation of convergence framework, the selection of variables in our ordered logit model is also comparable with previous club convergence studies</w:t>
      </w:r>
      <w:r w:rsidR="00E05E65" w:rsidRPr="0054671B">
        <w:t xml:space="preserve"> </w:t>
      </w:r>
      <w:r w:rsidR="0096046D" w:rsidRPr="0054671B">
        <w:fldChar w:fldCharType="begin"/>
      </w:r>
      <w:r w:rsidR="0096046D" w:rsidRPr="0054671B">
        <w:instrText xml:space="preserve"> ADDIN ZOTERO_ITEM CSL_CITATION {"citationID":"BOYEjAhV","properties":{"formattedCitation":"(Bartkowska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96046D" w:rsidRPr="0054671B">
        <w:fldChar w:fldCharType="separate"/>
      </w:r>
      <w:r w:rsidR="0096046D" w:rsidRPr="0054671B">
        <w:rPr>
          <w:rFonts w:ascii="Calibri" w:hAnsi="Calibri" w:cs="Calibri"/>
        </w:rPr>
        <w:t>(Bartkowska &amp; Riedl, 2012; Cutrini, 2019; Von Lyncker &amp; Thoennessen, 2017)</w:t>
      </w:r>
      <w:r w:rsidR="0096046D" w:rsidRPr="0054671B">
        <w:fldChar w:fldCharType="end"/>
      </w:r>
      <w:r w:rsidR="009721C1" w:rsidRPr="0054671B">
        <w:t>.</w:t>
      </w:r>
    </w:p>
    <w:p w14:paraId="39FFDCE2" w14:textId="38136CDD" w:rsidR="00E96243" w:rsidRPr="0054671B" w:rsidRDefault="0007361F" w:rsidP="0007361F">
      <w:pPr>
        <w:spacing w:after="0" w:line="360" w:lineRule="auto"/>
        <w:ind w:left="720" w:rightChars="1" w:right="2"/>
        <w:jc w:val="both"/>
      </w:pPr>
      <w:r w:rsidRPr="0054671B">
        <w:tab/>
        <w:t>The ordered logit specification requires variable</w:t>
      </w:r>
      <w:r w:rsidR="004465C3" w:rsidRPr="0054671B">
        <w:t>s</w:t>
      </w:r>
      <w:r w:rsidRPr="0054671B">
        <w:t xml:space="preserve"> to be explained in an ordinal manner </w:t>
      </w:r>
      <w:r w:rsidRPr="0054671B">
        <w:fldChar w:fldCharType="begin"/>
      </w:r>
      <w:r w:rsidRPr="0054671B">
        <w:instrText xml:space="preserve"> ADDIN ZOTERO_ITEM CSL_CITATION {"citationID":"6FdQZsFd","properties":{"formattedCitation":"(McKelvey &amp; Zavoina, 1975)","plainCitation":"(McKelvey &amp; Zavoina, 1975)","noteIndex":0},"citationItems":[{"id":186,"uris":["http://zotero.org/users/local/9Bu69DCL/items/8RL3W93Y"],"uri":["http://zotero.org/users/local/9Bu69DCL/items/8RL3W93Y"],"itemData":{"id":186,"type":"article-journal","container-title":"Journal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rsidRPr="0054671B">
        <w:fldChar w:fldCharType="separate"/>
      </w:r>
      <w:r w:rsidRPr="0054671B">
        <w:rPr>
          <w:rFonts w:ascii="Calibri" w:hAnsi="Calibri" w:cs="Calibri"/>
        </w:rPr>
        <w:t>(McKelvey &amp; Zavoina, 1975)</w:t>
      </w:r>
      <w:r w:rsidRPr="0054671B">
        <w:fldChar w:fldCharType="end"/>
      </w:r>
      <w:r w:rsidRPr="0054671B">
        <w:t xml:space="preserve">. Hence, we re-arrange the clubs by using the wage level of each club as </w:t>
      </w:r>
      <w:r w:rsidR="004465C3" w:rsidRPr="0054671B">
        <w:t xml:space="preserve">a </w:t>
      </w:r>
      <w:r w:rsidRPr="0054671B">
        <w:t>reference to order the clubs from club 1, club 2</w:t>
      </w:r>
      <w:r w:rsidR="000052C1" w:rsidRPr="0054671B">
        <w:t>,</w:t>
      </w:r>
      <w:r w:rsidRPr="0054671B">
        <w:t xml:space="preserve"> and club 3 as high</w:t>
      </w:r>
      <w:r w:rsidR="000E57BA" w:rsidRPr="0054671B">
        <w:t>-wage</w:t>
      </w:r>
      <w:r w:rsidRPr="0054671B">
        <w:t>, middle</w:t>
      </w:r>
      <w:r w:rsidR="000E57BA" w:rsidRPr="0054671B">
        <w:t>-wage</w:t>
      </w:r>
      <w:r w:rsidR="000052C1" w:rsidRPr="0054671B">
        <w:t>,</w:t>
      </w:r>
      <w:r w:rsidR="000E57BA" w:rsidRPr="0054671B">
        <w:t xml:space="preserve"> </w:t>
      </w:r>
      <w:r w:rsidRPr="0054671B">
        <w:t>and low</w:t>
      </w:r>
      <w:r w:rsidR="000E57BA" w:rsidRPr="0054671B">
        <w:t>-wage</w:t>
      </w:r>
      <w:r w:rsidRPr="0054671B">
        <w:t xml:space="preserve"> clubs, respectively.</w:t>
      </w:r>
      <w:r w:rsidRPr="0054671B">
        <w:rPr>
          <w:rFonts w:hint="eastAsia"/>
        </w:rPr>
        <w:t xml:space="preserve"> </w:t>
      </w:r>
      <w:r w:rsidRPr="0054671B">
        <w:t>Finally</w:t>
      </w:r>
      <w:r w:rsidR="002A60F9" w:rsidRPr="0054671B">
        <w:t xml:space="preserve">, </w:t>
      </w:r>
      <w:r w:rsidR="00DA586F" w:rsidRPr="0054671B">
        <w:t>as in</w:t>
      </w:r>
      <w:r w:rsidRPr="0054671B">
        <w:t xml:space="preserve"> previous</w:t>
      </w:r>
      <w:r w:rsidR="002A60F9" w:rsidRPr="0054671B">
        <w:t xml:space="preserve"> literature, </w:t>
      </w:r>
      <w:r w:rsidRPr="0054671B">
        <w:t xml:space="preserve">we </w:t>
      </w:r>
      <w:r w:rsidR="00E05BA2" w:rsidRPr="0054671B">
        <w:t xml:space="preserve">use </w:t>
      </w:r>
      <w:r w:rsidR="002A60F9" w:rsidRPr="0054671B">
        <w:t xml:space="preserve">these ordered </w:t>
      </w:r>
      <w:r w:rsidR="00AB6A95" w:rsidRPr="0054671B">
        <w:t xml:space="preserve">clubs </w:t>
      </w:r>
      <w:r w:rsidR="002A60F9" w:rsidRPr="0054671B">
        <w:t xml:space="preserve">as </w:t>
      </w:r>
      <w:r w:rsidR="000052C1" w:rsidRPr="0054671B">
        <w:t xml:space="preserve">the </w:t>
      </w:r>
      <w:r w:rsidR="002A60F9" w:rsidRPr="0054671B">
        <w:t xml:space="preserve">dependent variable </w:t>
      </w:r>
      <w:r w:rsidR="00571DB9" w:rsidRPr="0054671B">
        <w:t>of the</w:t>
      </w:r>
      <w:r w:rsidR="00DA586F" w:rsidRPr="0054671B">
        <w:t xml:space="preserve"> regression </w:t>
      </w:r>
      <w:r w:rsidR="00E05BA2" w:rsidRPr="0054671B">
        <w:t xml:space="preserve">while </w:t>
      </w:r>
      <w:r w:rsidR="002A60F9" w:rsidRPr="0054671B">
        <w:t xml:space="preserve">independent variables </w:t>
      </w:r>
      <w:r w:rsidR="00E05BA2" w:rsidRPr="0054671B">
        <w:t>consist of main</w:t>
      </w:r>
      <w:r w:rsidR="002A60F9" w:rsidRPr="0054671B">
        <w:t xml:space="preserve"> factors</w:t>
      </w:r>
      <w:r w:rsidR="00AB6A95" w:rsidRPr="0054671B">
        <w:t xml:space="preserve"> that </w:t>
      </w:r>
      <w:r w:rsidR="00E05BA2" w:rsidRPr="0054671B">
        <w:t xml:space="preserve">theoretically </w:t>
      </w:r>
      <w:r w:rsidR="00AB6A95" w:rsidRPr="0054671B">
        <w:t>influence</w:t>
      </w:r>
      <w:r w:rsidR="002A60F9" w:rsidRPr="0054671B">
        <w:t xml:space="preserve"> </w:t>
      </w:r>
      <w:r w:rsidR="00AB6A95" w:rsidRPr="0054671B">
        <w:t>club</w:t>
      </w:r>
      <w:r w:rsidR="002A60F9" w:rsidRPr="0054671B">
        <w:t xml:space="preserve"> convergence</w:t>
      </w:r>
      <w:r w:rsidR="00AB6A95" w:rsidRPr="0054671B">
        <w:t xml:space="preserve">. </w:t>
      </w:r>
      <w:r w:rsidR="002A60F9" w:rsidRPr="0054671B">
        <w:t>T</w:t>
      </w:r>
      <w:r w:rsidR="00DA586F" w:rsidRPr="0054671B">
        <w:t>able 3 contains</w:t>
      </w:r>
      <w:r w:rsidR="00AB6A95" w:rsidRPr="0054671B">
        <w:t xml:space="preserve"> </w:t>
      </w:r>
      <w:r w:rsidR="004465C3" w:rsidRPr="0054671B">
        <w:t xml:space="preserve">the </w:t>
      </w:r>
      <w:r w:rsidR="00AB6A95" w:rsidRPr="0054671B">
        <w:t>definition and source</w:t>
      </w:r>
      <w:r w:rsidR="000A2022" w:rsidRPr="0054671B">
        <w:t>s</w:t>
      </w:r>
      <w:r w:rsidR="00AB6A95" w:rsidRPr="0054671B">
        <w:t xml:space="preserve"> </w:t>
      </w:r>
      <w:r w:rsidR="00E05BA2" w:rsidRPr="0054671B">
        <w:t xml:space="preserve">of </w:t>
      </w:r>
      <w:r w:rsidR="00AB6A95" w:rsidRPr="0054671B">
        <w:t>variable</w:t>
      </w:r>
      <w:r w:rsidR="00E05BA2" w:rsidRPr="0054671B">
        <w:t>s</w:t>
      </w:r>
      <w:r w:rsidR="00DA586F" w:rsidRPr="0054671B">
        <w:t>.</w:t>
      </w:r>
    </w:p>
    <w:p w14:paraId="1A502691" w14:textId="47CB582E" w:rsidR="006E79B9" w:rsidRPr="0054671B" w:rsidRDefault="006E79B9" w:rsidP="006E79B9">
      <w:pPr>
        <w:spacing w:line="360" w:lineRule="auto"/>
        <w:ind w:left="720" w:rightChars="1" w:right="2"/>
        <w:jc w:val="center"/>
      </w:pPr>
      <w:r w:rsidRPr="0054671B">
        <w:rPr>
          <w:rFonts w:hint="eastAsia"/>
        </w:rPr>
        <w:t>T</w:t>
      </w:r>
      <w:r w:rsidRPr="0054671B">
        <w:t xml:space="preserve">able 3. </w:t>
      </w:r>
      <w:r w:rsidR="00025BA9" w:rsidRPr="0054671B">
        <w:t>V</w:t>
      </w:r>
      <w:r w:rsidRPr="0054671B">
        <w:t>ariables</w:t>
      </w:r>
      <w:r w:rsidR="00025BA9" w:rsidRPr="0054671B">
        <w:t xml:space="preserve"> in ordered logit estimation</w:t>
      </w:r>
    </w:p>
    <w:tbl>
      <w:tblPr>
        <w:tblStyle w:val="TableGrid"/>
        <w:tblW w:w="8631" w:type="dxa"/>
        <w:tblInd w:w="720" w:type="dxa"/>
        <w:tblBorders>
          <w:left w:val="none" w:sz="0" w:space="0" w:color="auto"/>
          <w:right w:val="none" w:sz="0" w:space="0" w:color="auto"/>
        </w:tblBorders>
        <w:tblLayout w:type="fixed"/>
        <w:tblLook w:val="04A0" w:firstRow="1" w:lastRow="0" w:firstColumn="1" w:lastColumn="0" w:noHBand="0" w:noVBand="1"/>
      </w:tblPr>
      <w:tblGrid>
        <w:gridCol w:w="2541"/>
        <w:gridCol w:w="5103"/>
        <w:gridCol w:w="987"/>
      </w:tblGrid>
      <w:tr w:rsidR="002B2B9E" w:rsidRPr="0054671B" w14:paraId="401B7FBC" w14:textId="77777777" w:rsidTr="00E516A5">
        <w:tc>
          <w:tcPr>
            <w:tcW w:w="2541" w:type="dxa"/>
            <w:tcBorders>
              <w:right w:val="nil"/>
            </w:tcBorders>
          </w:tcPr>
          <w:p w14:paraId="2692CD64" w14:textId="524CEA64" w:rsidR="002B2B9E" w:rsidRPr="0054671B" w:rsidRDefault="002B2B9E" w:rsidP="002B2B9E">
            <w:pPr>
              <w:ind w:rightChars="1" w:right="2"/>
              <w:jc w:val="center"/>
              <w:rPr>
                <w:rFonts w:ascii="Bookman Old Style" w:eastAsia="Adobe Myungjo Std M" w:hAnsi="Bookman Old Style"/>
                <w:b/>
                <w:szCs w:val="18"/>
              </w:rPr>
            </w:pPr>
            <w:r w:rsidRPr="0054671B">
              <w:rPr>
                <w:rFonts w:hint="eastAsia"/>
                <w:sz w:val="22"/>
                <w:szCs w:val="22"/>
              </w:rPr>
              <w:t>V</w:t>
            </w:r>
            <w:r w:rsidRPr="0054671B">
              <w:rPr>
                <w:sz w:val="22"/>
                <w:szCs w:val="22"/>
              </w:rPr>
              <w:t>ariable</w:t>
            </w:r>
          </w:p>
        </w:tc>
        <w:tc>
          <w:tcPr>
            <w:tcW w:w="5103" w:type="dxa"/>
            <w:tcBorders>
              <w:left w:val="nil"/>
              <w:right w:val="nil"/>
            </w:tcBorders>
          </w:tcPr>
          <w:p w14:paraId="68DE2BCD" w14:textId="2DEC7FAC" w:rsidR="002B2B9E" w:rsidRPr="0054671B" w:rsidRDefault="002B2B9E" w:rsidP="002B2B9E">
            <w:pPr>
              <w:ind w:rightChars="1" w:right="2"/>
              <w:jc w:val="center"/>
              <w:rPr>
                <w:rFonts w:ascii="Bookman Old Style" w:eastAsia="Adobe Myungjo Std M" w:hAnsi="Bookman Old Style"/>
                <w:b/>
                <w:szCs w:val="18"/>
              </w:rPr>
            </w:pPr>
            <w:r w:rsidRPr="0054671B">
              <w:rPr>
                <w:sz w:val="22"/>
                <w:szCs w:val="22"/>
              </w:rPr>
              <w:t>Definition</w:t>
            </w:r>
          </w:p>
        </w:tc>
        <w:tc>
          <w:tcPr>
            <w:tcW w:w="987" w:type="dxa"/>
            <w:tcBorders>
              <w:left w:val="nil"/>
            </w:tcBorders>
          </w:tcPr>
          <w:p w14:paraId="2E433356" w14:textId="1F08916B" w:rsidR="002B2B9E" w:rsidRPr="0054671B" w:rsidRDefault="002B2B9E" w:rsidP="002B2B9E">
            <w:pPr>
              <w:ind w:rightChars="1" w:right="2"/>
              <w:jc w:val="center"/>
              <w:rPr>
                <w:rFonts w:ascii="Bookman Old Style" w:eastAsia="Adobe Myungjo Std M" w:hAnsi="Bookman Old Style"/>
                <w:b/>
                <w:szCs w:val="18"/>
              </w:rPr>
            </w:pPr>
            <w:r w:rsidRPr="0054671B">
              <w:rPr>
                <w:sz w:val="22"/>
                <w:szCs w:val="22"/>
              </w:rPr>
              <w:t>Source</w:t>
            </w:r>
          </w:p>
        </w:tc>
      </w:tr>
      <w:tr w:rsidR="002B2B9E" w:rsidRPr="0054671B" w14:paraId="20E1D98C" w14:textId="77777777" w:rsidTr="00E516A5">
        <w:tc>
          <w:tcPr>
            <w:tcW w:w="2541" w:type="dxa"/>
            <w:tcBorders>
              <w:bottom w:val="nil"/>
              <w:right w:val="nil"/>
            </w:tcBorders>
          </w:tcPr>
          <w:p w14:paraId="7A0027A2" w14:textId="7883CB33" w:rsidR="002B2B9E" w:rsidRPr="0054671B" w:rsidRDefault="002B2B9E" w:rsidP="003C4CE2">
            <w:pPr>
              <w:spacing w:afterLines="50" w:after="120"/>
              <w:ind w:rightChars="1" w:right="2"/>
              <w:rPr>
                <w:sz w:val="22"/>
                <w:szCs w:val="22"/>
              </w:rPr>
            </w:pPr>
            <w:r w:rsidRPr="0054671B">
              <w:rPr>
                <w:rFonts w:hint="eastAsia"/>
                <w:sz w:val="22"/>
                <w:szCs w:val="22"/>
              </w:rPr>
              <w:t>I</w:t>
            </w:r>
            <w:r w:rsidRPr="0054671B">
              <w:rPr>
                <w:sz w:val="22"/>
                <w:szCs w:val="22"/>
              </w:rPr>
              <w:t>nitial value of wage</w:t>
            </w:r>
            <w:r w:rsidR="00504073" w:rsidRPr="0054671B">
              <w:rPr>
                <w:sz w:val="22"/>
                <w:szCs w:val="22"/>
              </w:rPr>
              <w:t xml:space="preserve"> (2008)</w:t>
            </w:r>
          </w:p>
        </w:tc>
        <w:tc>
          <w:tcPr>
            <w:tcW w:w="5103" w:type="dxa"/>
            <w:tcBorders>
              <w:left w:val="nil"/>
              <w:bottom w:val="nil"/>
              <w:right w:val="nil"/>
            </w:tcBorders>
          </w:tcPr>
          <w:p w14:paraId="72FD77F8" w14:textId="36163C64" w:rsidR="002B2B9E" w:rsidRPr="0054671B" w:rsidRDefault="002B2B9E" w:rsidP="006E79B9">
            <w:pPr>
              <w:ind w:rightChars="1" w:right="2"/>
              <w:jc w:val="center"/>
              <w:rPr>
                <w:sz w:val="22"/>
                <w:szCs w:val="22"/>
              </w:rPr>
            </w:pPr>
            <w:r w:rsidRPr="0054671B">
              <w:rPr>
                <w:rFonts w:hint="eastAsia"/>
                <w:sz w:val="22"/>
                <w:szCs w:val="22"/>
              </w:rPr>
              <w:t>R</w:t>
            </w:r>
            <w:r w:rsidRPr="0054671B">
              <w:rPr>
                <w:sz w:val="22"/>
                <w:szCs w:val="22"/>
              </w:rPr>
              <w:t>eal wage in 2008 (in 000 IDR)</w:t>
            </w:r>
          </w:p>
        </w:tc>
        <w:tc>
          <w:tcPr>
            <w:tcW w:w="987" w:type="dxa"/>
            <w:tcBorders>
              <w:left w:val="nil"/>
              <w:bottom w:val="nil"/>
            </w:tcBorders>
          </w:tcPr>
          <w:p w14:paraId="00F06AB2" w14:textId="5CF084BA" w:rsidR="002B2B9E" w:rsidRPr="0054671B" w:rsidRDefault="003C4CE2" w:rsidP="003C4CE2">
            <w:pPr>
              <w:ind w:rightChars="1" w:right="2"/>
              <w:jc w:val="center"/>
              <w:rPr>
                <w:sz w:val="22"/>
                <w:szCs w:val="22"/>
              </w:rPr>
            </w:pPr>
            <w:r w:rsidRPr="0054671B">
              <w:rPr>
                <w:sz w:val="22"/>
                <w:szCs w:val="22"/>
              </w:rPr>
              <w:t>BPS</w:t>
            </w:r>
          </w:p>
        </w:tc>
      </w:tr>
      <w:tr w:rsidR="002B2B9E" w:rsidRPr="0054671B" w14:paraId="7FDDC647" w14:textId="77777777" w:rsidTr="00E516A5">
        <w:tc>
          <w:tcPr>
            <w:tcW w:w="2541" w:type="dxa"/>
            <w:tcBorders>
              <w:top w:val="nil"/>
              <w:bottom w:val="nil"/>
              <w:right w:val="nil"/>
            </w:tcBorders>
          </w:tcPr>
          <w:p w14:paraId="13639A14" w14:textId="152361BC" w:rsidR="002B2B9E" w:rsidRPr="0054671B" w:rsidRDefault="002B2B9E" w:rsidP="003C4CE2">
            <w:pPr>
              <w:spacing w:afterLines="50" w:after="120"/>
              <w:ind w:rightChars="1" w:right="2"/>
              <w:rPr>
                <w:sz w:val="22"/>
                <w:szCs w:val="22"/>
              </w:rPr>
            </w:pPr>
            <w:r w:rsidRPr="0054671B">
              <w:rPr>
                <w:rFonts w:hint="eastAsia"/>
                <w:sz w:val="22"/>
                <w:szCs w:val="22"/>
              </w:rPr>
              <w:t>M</w:t>
            </w:r>
            <w:r w:rsidRPr="0054671B">
              <w:rPr>
                <w:sz w:val="22"/>
                <w:szCs w:val="22"/>
              </w:rPr>
              <w:t>anufacture employment share</w:t>
            </w:r>
          </w:p>
        </w:tc>
        <w:tc>
          <w:tcPr>
            <w:tcW w:w="5103" w:type="dxa"/>
            <w:tcBorders>
              <w:top w:val="nil"/>
              <w:left w:val="nil"/>
              <w:bottom w:val="nil"/>
              <w:right w:val="nil"/>
            </w:tcBorders>
          </w:tcPr>
          <w:p w14:paraId="6F1AB4A9" w14:textId="731394E6" w:rsidR="002B2B9E" w:rsidRPr="0054671B" w:rsidRDefault="00721E62" w:rsidP="002B2B9E">
            <w:pPr>
              <w:ind w:rightChars="1" w:right="2"/>
              <w:rPr>
                <w:rFonts w:cstheme="minorHAnsi"/>
                <w:sz w:val="22"/>
                <w:szCs w:val="22"/>
              </w:rPr>
            </w:pPr>
            <m:oMathPara>
              <m:oMath>
                <m:f>
                  <m:fPr>
                    <m:ctrlPr>
                      <w:rPr>
                        <w:rFonts w:ascii="Cambria Math" w:hAnsi="Cambria Math" w:cstheme="minorHAnsi"/>
                        <w:sz w:val="22"/>
                        <w:szCs w:val="22"/>
                      </w:rPr>
                    </m:ctrlPr>
                  </m:fPr>
                  <m:num>
                    <m:r>
                      <m:rPr>
                        <m:sty m:val="p"/>
                      </m:rPr>
                      <w:rPr>
                        <w:rFonts w:ascii="Cambria Math" w:hAnsi="Cambria Math" w:cstheme="minorHAnsi"/>
                        <w:sz w:val="22"/>
                        <w:szCs w:val="22"/>
                      </w:rPr>
                      <m:t>Number of people employed in manufacturing sector</m:t>
                    </m:r>
                  </m:num>
                  <m:den>
                    <m:r>
                      <m:rPr>
                        <m:sty m:val="p"/>
                      </m:rPr>
                      <w:rPr>
                        <w:rFonts w:ascii="Cambria Math" w:hAnsi="Cambria Math" w:cstheme="minorHAnsi"/>
                        <w:sz w:val="22"/>
                        <w:szCs w:val="22"/>
                      </w:rPr>
                      <m:t>Total number of people employed</m:t>
                    </m:r>
                  </m:den>
                </m:f>
              </m:oMath>
            </m:oMathPara>
          </w:p>
        </w:tc>
        <w:tc>
          <w:tcPr>
            <w:tcW w:w="987" w:type="dxa"/>
            <w:tcBorders>
              <w:top w:val="nil"/>
              <w:left w:val="nil"/>
              <w:bottom w:val="nil"/>
            </w:tcBorders>
          </w:tcPr>
          <w:p w14:paraId="6E91B336" w14:textId="3425BA26" w:rsidR="002B2B9E" w:rsidRPr="0054671B" w:rsidRDefault="003C4CE2" w:rsidP="003C4CE2">
            <w:pPr>
              <w:ind w:rightChars="1" w:right="2"/>
              <w:jc w:val="center"/>
              <w:rPr>
                <w:sz w:val="22"/>
                <w:szCs w:val="22"/>
              </w:rPr>
            </w:pPr>
            <w:r w:rsidRPr="0054671B">
              <w:rPr>
                <w:sz w:val="22"/>
                <w:szCs w:val="22"/>
              </w:rPr>
              <w:t>BPS</w:t>
            </w:r>
          </w:p>
        </w:tc>
      </w:tr>
      <w:tr w:rsidR="002B2B9E" w:rsidRPr="0054671B" w14:paraId="3FDBDD64" w14:textId="77777777" w:rsidTr="00E516A5">
        <w:tc>
          <w:tcPr>
            <w:tcW w:w="2541" w:type="dxa"/>
            <w:tcBorders>
              <w:top w:val="nil"/>
              <w:bottom w:val="nil"/>
              <w:right w:val="nil"/>
            </w:tcBorders>
          </w:tcPr>
          <w:p w14:paraId="7A0C846E" w14:textId="0E4D616C" w:rsidR="002B2B9E" w:rsidRPr="0054671B" w:rsidRDefault="002B2B9E" w:rsidP="003C4CE2">
            <w:pPr>
              <w:spacing w:afterLines="50" w:after="120"/>
              <w:ind w:rightChars="1" w:right="2"/>
              <w:rPr>
                <w:sz w:val="22"/>
                <w:szCs w:val="22"/>
              </w:rPr>
            </w:pPr>
            <w:r w:rsidRPr="0054671B">
              <w:rPr>
                <w:rFonts w:hint="eastAsia"/>
                <w:sz w:val="22"/>
                <w:szCs w:val="22"/>
              </w:rPr>
              <w:t>I</w:t>
            </w:r>
            <w:r w:rsidRPr="0054671B">
              <w:rPr>
                <w:sz w:val="22"/>
                <w:szCs w:val="22"/>
              </w:rPr>
              <w:t>nvestment share to GDP</w:t>
            </w:r>
          </w:p>
        </w:tc>
        <w:tc>
          <w:tcPr>
            <w:tcW w:w="5103" w:type="dxa"/>
            <w:tcBorders>
              <w:top w:val="nil"/>
              <w:left w:val="nil"/>
              <w:bottom w:val="nil"/>
              <w:right w:val="nil"/>
            </w:tcBorders>
          </w:tcPr>
          <w:p w14:paraId="4D416CDE" w14:textId="16053B8F" w:rsidR="006E79B9" w:rsidRPr="0054671B" w:rsidRDefault="00721E62"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987" w:type="dxa"/>
            <w:tcBorders>
              <w:top w:val="nil"/>
              <w:left w:val="nil"/>
              <w:bottom w:val="nil"/>
            </w:tcBorders>
          </w:tcPr>
          <w:p w14:paraId="61FA52B1" w14:textId="3FC91EE7" w:rsidR="002B2B9E" w:rsidRPr="0054671B" w:rsidRDefault="003C4CE2" w:rsidP="003C4CE2">
            <w:pPr>
              <w:ind w:rightChars="1" w:right="2"/>
              <w:jc w:val="center"/>
              <w:rPr>
                <w:sz w:val="22"/>
                <w:szCs w:val="22"/>
              </w:rPr>
            </w:pPr>
            <w:r w:rsidRPr="0054671B">
              <w:rPr>
                <w:sz w:val="22"/>
                <w:szCs w:val="22"/>
              </w:rPr>
              <w:t>BPS</w:t>
            </w:r>
          </w:p>
        </w:tc>
      </w:tr>
      <w:tr w:rsidR="002B2B9E" w:rsidRPr="0054671B" w14:paraId="58D1366B" w14:textId="77777777" w:rsidTr="00E516A5">
        <w:tc>
          <w:tcPr>
            <w:tcW w:w="2541" w:type="dxa"/>
            <w:tcBorders>
              <w:top w:val="nil"/>
              <w:bottom w:val="nil"/>
              <w:right w:val="nil"/>
            </w:tcBorders>
          </w:tcPr>
          <w:p w14:paraId="70C912F4" w14:textId="1E3B2D6C" w:rsidR="002B2B9E" w:rsidRPr="0054671B" w:rsidRDefault="006E79B9" w:rsidP="003C4CE2">
            <w:pPr>
              <w:spacing w:afterLines="50" w:after="120"/>
              <w:ind w:rightChars="1" w:right="2"/>
              <w:rPr>
                <w:sz w:val="22"/>
                <w:szCs w:val="22"/>
              </w:rPr>
            </w:pPr>
            <w:r w:rsidRPr="0054671B">
              <w:rPr>
                <w:rFonts w:hint="eastAsia"/>
                <w:sz w:val="22"/>
                <w:szCs w:val="22"/>
              </w:rPr>
              <w:t>L</w:t>
            </w:r>
            <w:r w:rsidRPr="0054671B">
              <w:rPr>
                <w:sz w:val="22"/>
                <w:szCs w:val="22"/>
              </w:rPr>
              <w:t>abor force participation rate</w:t>
            </w:r>
          </w:p>
        </w:tc>
        <w:tc>
          <w:tcPr>
            <w:tcW w:w="5103" w:type="dxa"/>
            <w:tcBorders>
              <w:top w:val="nil"/>
              <w:left w:val="nil"/>
              <w:bottom w:val="nil"/>
              <w:right w:val="nil"/>
            </w:tcBorders>
          </w:tcPr>
          <w:p w14:paraId="6CE8FB5F" w14:textId="4F6AA0A4" w:rsidR="006E79B9" w:rsidRPr="0054671B" w:rsidRDefault="00721E62"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987" w:type="dxa"/>
            <w:tcBorders>
              <w:top w:val="nil"/>
              <w:left w:val="nil"/>
              <w:bottom w:val="nil"/>
            </w:tcBorders>
          </w:tcPr>
          <w:p w14:paraId="41005888" w14:textId="79CA4584" w:rsidR="002B2B9E" w:rsidRPr="0054671B" w:rsidRDefault="003C4CE2" w:rsidP="003C4CE2">
            <w:pPr>
              <w:ind w:rightChars="1" w:right="2"/>
              <w:jc w:val="center"/>
              <w:rPr>
                <w:sz w:val="22"/>
                <w:szCs w:val="22"/>
              </w:rPr>
            </w:pPr>
            <w:r w:rsidRPr="0054671B">
              <w:rPr>
                <w:sz w:val="22"/>
                <w:szCs w:val="22"/>
              </w:rPr>
              <w:t>BPS</w:t>
            </w:r>
          </w:p>
        </w:tc>
      </w:tr>
      <w:tr w:rsidR="002B2B9E" w:rsidRPr="0054671B" w14:paraId="661E5041" w14:textId="77777777" w:rsidTr="00E516A5">
        <w:tc>
          <w:tcPr>
            <w:tcW w:w="2541" w:type="dxa"/>
            <w:tcBorders>
              <w:top w:val="nil"/>
              <w:right w:val="nil"/>
            </w:tcBorders>
          </w:tcPr>
          <w:p w14:paraId="6D218428" w14:textId="1B7E12B3" w:rsidR="002B2B9E" w:rsidRPr="0054671B" w:rsidRDefault="006E79B9" w:rsidP="002B2B9E">
            <w:pPr>
              <w:ind w:rightChars="1" w:right="2"/>
              <w:rPr>
                <w:sz w:val="22"/>
                <w:szCs w:val="22"/>
              </w:rPr>
            </w:pPr>
            <w:r w:rsidRPr="0054671B">
              <w:rPr>
                <w:rFonts w:hint="eastAsia"/>
                <w:sz w:val="22"/>
                <w:szCs w:val="22"/>
              </w:rPr>
              <w:t>G</w:t>
            </w:r>
            <w:r w:rsidRPr="0054671B">
              <w:rPr>
                <w:sz w:val="22"/>
                <w:szCs w:val="22"/>
              </w:rPr>
              <w:t>DP</w:t>
            </w:r>
          </w:p>
        </w:tc>
        <w:tc>
          <w:tcPr>
            <w:tcW w:w="5103" w:type="dxa"/>
            <w:tcBorders>
              <w:top w:val="nil"/>
              <w:left w:val="nil"/>
              <w:right w:val="nil"/>
            </w:tcBorders>
          </w:tcPr>
          <w:p w14:paraId="39D7D1D7" w14:textId="29707768" w:rsidR="002B2B9E" w:rsidRPr="0054671B" w:rsidRDefault="006E79B9" w:rsidP="006E79B9">
            <w:pPr>
              <w:ind w:rightChars="1" w:right="2"/>
              <w:jc w:val="center"/>
              <w:rPr>
                <w:sz w:val="22"/>
                <w:szCs w:val="22"/>
              </w:rPr>
            </w:pPr>
            <w:r w:rsidRPr="0054671B">
              <w:rPr>
                <w:rFonts w:hint="eastAsia"/>
                <w:sz w:val="22"/>
                <w:szCs w:val="22"/>
              </w:rPr>
              <w:t>R</w:t>
            </w:r>
            <w:r w:rsidRPr="0054671B">
              <w:rPr>
                <w:sz w:val="22"/>
                <w:szCs w:val="22"/>
              </w:rPr>
              <w:t>eal GDP (2010 = 100) in log form</w:t>
            </w:r>
          </w:p>
        </w:tc>
        <w:tc>
          <w:tcPr>
            <w:tcW w:w="987" w:type="dxa"/>
            <w:tcBorders>
              <w:top w:val="nil"/>
              <w:left w:val="nil"/>
            </w:tcBorders>
          </w:tcPr>
          <w:p w14:paraId="279A00BF" w14:textId="5E17194D" w:rsidR="002B2B9E" w:rsidRPr="0054671B" w:rsidRDefault="003C4CE2" w:rsidP="003C4CE2">
            <w:pPr>
              <w:ind w:rightChars="1" w:right="2"/>
              <w:jc w:val="center"/>
              <w:rPr>
                <w:sz w:val="22"/>
                <w:szCs w:val="22"/>
              </w:rPr>
            </w:pPr>
            <w:r w:rsidRPr="0054671B">
              <w:rPr>
                <w:sz w:val="22"/>
                <w:szCs w:val="22"/>
              </w:rPr>
              <w:t>BPS</w:t>
            </w:r>
          </w:p>
        </w:tc>
      </w:tr>
    </w:tbl>
    <w:p w14:paraId="6C912A99" w14:textId="2DD8279D" w:rsidR="00514693" w:rsidRPr="0054671B" w:rsidRDefault="00D3687A" w:rsidP="00514693">
      <w:pPr>
        <w:spacing w:line="360" w:lineRule="auto"/>
        <w:ind w:left="720" w:rightChars="1" w:right="2" w:firstLine="720"/>
        <w:jc w:val="both"/>
      </w:pPr>
      <w:r w:rsidRPr="0054671B">
        <w:lastRenderedPageBreak/>
        <w:t xml:space="preserve">We report the </w:t>
      </w:r>
      <w:r w:rsidR="00245CBE" w:rsidRPr="0054671B">
        <w:t>marginal effects on probabilities computed from</w:t>
      </w:r>
      <w:r w:rsidR="00CE2789" w:rsidRPr="0054671B">
        <w:t xml:space="preserve"> the</w:t>
      </w:r>
      <w:r w:rsidR="00245CBE" w:rsidRPr="0054671B">
        <w:t xml:space="preserve"> ordered logit model</w:t>
      </w:r>
      <w:r w:rsidRPr="0054671B">
        <w:t xml:space="preserve"> in </w:t>
      </w:r>
      <w:r w:rsidR="003C4CE2" w:rsidRPr="0054671B">
        <w:t>Table 4.</w:t>
      </w:r>
      <w:r w:rsidR="00DF669A" w:rsidRPr="0054671B">
        <w:rPr>
          <w:rStyle w:val="FootnoteReference"/>
        </w:rPr>
        <w:footnoteReference w:id="8"/>
      </w:r>
      <w:r w:rsidR="003C4CE2" w:rsidRPr="0054671B">
        <w:t xml:space="preserve"> </w:t>
      </w:r>
      <w:r w:rsidR="00761A56" w:rsidRPr="0054671B">
        <w:t>The individual marginal effect measure</w:t>
      </w:r>
      <w:r w:rsidR="000052C1" w:rsidRPr="0054671B">
        <w:t>s</w:t>
      </w:r>
      <w:r w:rsidR="00761A56" w:rsidRPr="0054671B">
        <w:t xml:space="preserve"> how much the probability of a province </w:t>
      </w:r>
      <w:r w:rsidR="000052C1" w:rsidRPr="0054671B">
        <w:t xml:space="preserve">being </w:t>
      </w:r>
      <w:r w:rsidR="00761A56" w:rsidRPr="0054671B">
        <w:t xml:space="preserve">included as a member of a specific club changes with respect to a small change in the explanatory variables. </w:t>
      </w:r>
      <w:r w:rsidR="003F72E9" w:rsidRPr="0054671B">
        <w:t>In this way, our results can explain how a unit change in the independent variable affects the probability of provinces clustered into club 2 (middle-wage) and club 3 (low-wage)</w:t>
      </w:r>
      <w:r w:rsidR="004A2F70" w:rsidRPr="0054671B">
        <w:t xml:space="preserve">. However, </w:t>
      </w:r>
      <w:r w:rsidR="00331ED4" w:rsidRPr="0054671B">
        <w:t xml:space="preserve">our model can’t precisely compute </w:t>
      </w:r>
      <w:r w:rsidR="004A2F70" w:rsidRPr="0054671B">
        <w:t xml:space="preserve">the marginal effects on probability to </w:t>
      </w:r>
      <w:r w:rsidR="00244E0E" w:rsidRPr="0054671B">
        <w:t>club 1 (high</w:t>
      </w:r>
      <w:r w:rsidR="000E57BA" w:rsidRPr="0054671B">
        <w:t>-wage</w:t>
      </w:r>
      <w:r w:rsidR="00244E0E" w:rsidRPr="0054671B">
        <w:t>)</w:t>
      </w:r>
      <w:r w:rsidR="003C4CE2" w:rsidRPr="0054671B">
        <w:t xml:space="preserve">. </w:t>
      </w:r>
      <w:r w:rsidR="00CB4F11" w:rsidRPr="0054671B">
        <w:t>We consider t</w:t>
      </w:r>
      <w:r w:rsidR="003C4CE2" w:rsidRPr="0054671B">
        <w:t xml:space="preserve">his </w:t>
      </w:r>
      <w:r w:rsidR="00CB4F11" w:rsidRPr="0054671B">
        <w:t xml:space="preserve">as the problem of insufficient samples in </w:t>
      </w:r>
      <w:r w:rsidR="00244E0E" w:rsidRPr="0054671B">
        <w:t>c</w:t>
      </w:r>
      <w:r w:rsidR="003C4CE2" w:rsidRPr="0054671B">
        <w:t>lub 1 (high</w:t>
      </w:r>
      <w:r w:rsidR="000E57BA" w:rsidRPr="0054671B">
        <w:t>-wage</w:t>
      </w:r>
      <w:r w:rsidR="003C4CE2" w:rsidRPr="0054671B">
        <w:t>).</w:t>
      </w:r>
      <w:r w:rsidR="008D2C37" w:rsidRPr="0054671B">
        <w:rPr>
          <w:rStyle w:val="FootnoteReference"/>
        </w:rPr>
        <w:footnoteReference w:id="9"/>
      </w:r>
      <w:r w:rsidR="003C4CE2" w:rsidRPr="0054671B">
        <w:t xml:space="preserve"> </w:t>
      </w:r>
      <w:r w:rsidR="00096528" w:rsidRPr="0054671B">
        <w:t>Nonetheless, the model clarifies how the selected factors influence the membership of the club of convergence.</w:t>
      </w:r>
      <w:r w:rsidR="00244E0E" w:rsidRPr="0054671B">
        <w:t xml:space="preserve"> </w:t>
      </w:r>
    </w:p>
    <w:p w14:paraId="25ABEC17" w14:textId="57BDCC00" w:rsidR="00F307C6" w:rsidRPr="0054671B" w:rsidRDefault="00F307C6" w:rsidP="00245CBE">
      <w:pPr>
        <w:spacing w:line="360" w:lineRule="auto"/>
        <w:ind w:left="720" w:rightChars="1" w:right="2" w:firstLine="273"/>
        <w:jc w:val="center"/>
      </w:pPr>
      <w:r w:rsidRPr="0054671B">
        <w:rPr>
          <w:rFonts w:hint="eastAsia"/>
        </w:rPr>
        <w:t>T</w:t>
      </w:r>
      <w:r w:rsidRPr="0054671B">
        <w:t>able 4</w:t>
      </w:r>
      <w:r w:rsidR="008F5B04" w:rsidRPr="0054671B">
        <w:t>.</w:t>
      </w:r>
      <w:r w:rsidRPr="0054671B">
        <w:t xml:space="preserve"> </w:t>
      </w:r>
      <w:r w:rsidR="00CB4F11" w:rsidRPr="0054671B">
        <w:t xml:space="preserve">The </w:t>
      </w:r>
      <w:r w:rsidR="00B1529D" w:rsidRPr="0054671B">
        <w:t>results from ordered logit estimation</w:t>
      </w:r>
    </w:p>
    <w:tbl>
      <w:tblPr>
        <w:tblStyle w:val="TableGrid"/>
        <w:tblW w:w="7230" w:type="dxa"/>
        <w:tblInd w:w="1418"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701"/>
        <w:gridCol w:w="1576"/>
      </w:tblGrid>
      <w:tr w:rsidR="00245CBE" w:rsidRPr="0054671B" w14:paraId="50EC3B30" w14:textId="77777777" w:rsidTr="00245CBE">
        <w:tc>
          <w:tcPr>
            <w:tcW w:w="2394" w:type="dxa"/>
            <w:vMerge w:val="restart"/>
          </w:tcPr>
          <w:p w14:paraId="7EF00351" w14:textId="5F11CB62" w:rsidR="00245CBE" w:rsidRPr="0054671B" w:rsidRDefault="00245CBE" w:rsidP="00245CBE">
            <w:pPr>
              <w:ind w:leftChars="-141" w:left="-310" w:rightChars="1" w:right="2"/>
              <w:jc w:val="center"/>
              <w:rPr>
                <w:sz w:val="22"/>
                <w:szCs w:val="22"/>
              </w:rPr>
            </w:pPr>
            <w:r w:rsidRPr="0054671B">
              <w:rPr>
                <w:rFonts w:hint="eastAsia"/>
                <w:sz w:val="22"/>
                <w:szCs w:val="22"/>
              </w:rPr>
              <w:t>V</w:t>
            </w:r>
            <w:r w:rsidRPr="0054671B">
              <w:rPr>
                <w:sz w:val="22"/>
                <w:szCs w:val="22"/>
              </w:rPr>
              <w:t>ariables</w:t>
            </w:r>
          </w:p>
        </w:tc>
        <w:tc>
          <w:tcPr>
            <w:tcW w:w="4836" w:type="dxa"/>
            <w:gridSpan w:val="3"/>
          </w:tcPr>
          <w:p w14:paraId="662FC02C" w14:textId="6182CB91" w:rsidR="00245CBE" w:rsidRPr="0054671B" w:rsidRDefault="00245CBE" w:rsidP="00F307C6">
            <w:pPr>
              <w:ind w:rightChars="1" w:right="2"/>
              <w:jc w:val="center"/>
              <w:rPr>
                <w:sz w:val="22"/>
                <w:szCs w:val="22"/>
              </w:rPr>
            </w:pPr>
            <w:r w:rsidRPr="0054671B">
              <w:rPr>
                <w:rFonts w:hint="eastAsia"/>
                <w:sz w:val="22"/>
                <w:szCs w:val="22"/>
              </w:rPr>
              <w:t>M</w:t>
            </w:r>
            <w:r w:rsidRPr="0054671B">
              <w:rPr>
                <w:sz w:val="22"/>
                <w:szCs w:val="22"/>
              </w:rPr>
              <w:t>arginal effects on probabilities</w:t>
            </w:r>
          </w:p>
        </w:tc>
      </w:tr>
      <w:tr w:rsidR="00245CBE" w:rsidRPr="0054671B" w14:paraId="0476A511" w14:textId="77777777" w:rsidTr="00245CBE">
        <w:tc>
          <w:tcPr>
            <w:tcW w:w="2394" w:type="dxa"/>
            <w:vMerge/>
            <w:tcBorders>
              <w:bottom w:val="single" w:sz="4" w:space="0" w:color="auto"/>
            </w:tcBorders>
          </w:tcPr>
          <w:p w14:paraId="179709D6" w14:textId="77777777" w:rsidR="00245CBE" w:rsidRPr="0054671B" w:rsidRDefault="00245CBE" w:rsidP="00F307C6">
            <w:pPr>
              <w:ind w:rightChars="1" w:right="2"/>
            </w:pPr>
          </w:p>
        </w:tc>
        <w:tc>
          <w:tcPr>
            <w:tcW w:w="1559" w:type="dxa"/>
            <w:tcBorders>
              <w:bottom w:val="single" w:sz="4" w:space="0" w:color="auto"/>
            </w:tcBorders>
          </w:tcPr>
          <w:p w14:paraId="601F1D81" w14:textId="4EB33536" w:rsidR="00245CBE" w:rsidRPr="0054671B" w:rsidRDefault="00245CBE" w:rsidP="00F307C6">
            <w:pPr>
              <w:ind w:rightChars="1" w:right="2"/>
              <w:jc w:val="center"/>
              <w:rPr>
                <w:sz w:val="22"/>
                <w:szCs w:val="22"/>
              </w:rPr>
            </w:pPr>
            <w:r w:rsidRPr="0054671B">
              <w:rPr>
                <w:rFonts w:hint="eastAsia"/>
                <w:sz w:val="22"/>
                <w:szCs w:val="22"/>
              </w:rPr>
              <w:t>C</w:t>
            </w:r>
            <w:r w:rsidRPr="0054671B">
              <w:rPr>
                <w:sz w:val="22"/>
                <w:szCs w:val="22"/>
              </w:rPr>
              <w:t>lub 1 (High)</w:t>
            </w:r>
          </w:p>
        </w:tc>
        <w:tc>
          <w:tcPr>
            <w:tcW w:w="1701" w:type="dxa"/>
            <w:tcBorders>
              <w:bottom w:val="single" w:sz="4" w:space="0" w:color="auto"/>
            </w:tcBorders>
          </w:tcPr>
          <w:p w14:paraId="24BBB66E" w14:textId="00B468AF" w:rsidR="00245CBE" w:rsidRPr="0054671B" w:rsidRDefault="00245CBE" w:rsidP="00F307C6">
            <w:pPr>
              <w:ind w:rightChars="1" w:right="2"/>
              <w:jc w:val="center"/>
              <w:rPr>
                <w:sz w:val="22"/>
                <w:szCs w:val="22"/>
              </w:rPr>
            </w:pPr>
            <w:r w:rsidRPr="0054671B">
              <w:rPr>
                <w:rFonts w:hint="eastAsia"/>
                <w:sz w:val="22"/>
                <w:szCs w:val="22"/>
              </w:rPr>
              <w:t>C</w:t>
            </w:r>
            <w:r w:rsidRPr="0054671B">
              <w:rPr>
                <w:sz w:val="22"/>
                <w:szCs w:val="22"/>
              </w:rPr>
              <w:t>lub 2 (Middle)</w:t>
            </w:r>
          </w:p>
        </w:tc>
        <w:tc>
          <w:tcPr>
            <w:tcW w:w="1576" w:type="dxa"/>
            <w:tcBorders>
              <w:bottom w:val="single" w:sz="4" w:space="0" w:color="auto"/>
            </w:tcBorders>
          </w:tcPr>
          <w:p w14:paraId="50526843" w14:textId="311B6054" w:rsidR="00245CBE" w:rsidRPr="0054671B" w:rsidRDefault="00245CBE" w:rsidP="00F307C6">
            <w:pPr>
              <w:ind w:rightChars="1" w:right="2"/>
              <w:jc w:val="center"/>
              <w:rPr>
                <w:sz w:val="22"/>
                <w:szCs w:val="22"/>
              </w:rPr>
            </w:pPr>
            <w:r w:rsidRPr="0054671B">
              <w:rPr>
                <w:rFonts w:hint="eastAsia"/>
                <w:sz w:val="22"/>
                <w:szCs w:val="22"/>
              </w:rPr>
              <w:t>C</w:t>
            </w:r>
            <w:r w:rsidRPr="0054671B">
              <w:rPr>
                <w:sz w:val="22"/>
                <w:szCs w:val="22"/>
              </w:rPr>
              <w:t>lub 3 (Low)</w:t>
            </w:r>
          </w:p>
        </w:tc>
      </w:tr>
      <w:tr w:rsidR="00245CBE" w:rsidRPr="0054671B" w14:paraId="1B20402A" w14:textId="77777777" w:rsidTr="00245CBE">
        <w:tc>
          <w:tcPr>
            <w:tcW w:w="2394" w:type="dxa"/>
            <w:tcBorders>
              <w:top w:val="single" w:sz="4" w:space="0" w:color="auto"/>
              <w:bottom w:val="nil"/>
            </w:tcBorders>
          </w:tcPr>
          <w:p w14:paraId="11A78D29" w14:textId="55C9E854" w:rsidR="00245CBE" w:rsidRPr="0054671B" w:rsidRDefault="00245CBE" w:rsidP="00D613A8">
            <w:pPr>
              <w:spacing w:afterLines="50" w:after="120"/>
              <w:ind w:rightChars="1" w:right="2"/>
              <w:rPr>
                <w:sz w:val="22"/>
                <w:szCs w:val="22"/>
              </w:rPr>
            </w:pPr>
            <w:r w:rsidRPr="0054671B">
              <w:rPr>
                <w:rFonts w:hint="eastAsia"/>
                <w:sz w:val="22"/>
                <w:szCs w:val="22"/>
              </w:rPr>
              <w:t>I</w:t>
            </w:r>
            <w:r w:rsidRPr="0054671B">
              <w:rPr>
                <w:sz w:val="22"/>
                <w:szCs w:val="22"/>
              </w:rPr>
              <w:t>nitial value of wage (2008)</w:t>
            </w:r>
          </w:p>
        </w:tc>
        <w:tc>
          <w:tcPr>
            <w:tcW w:w="1559" w:type="dxa"/>
            <w:tcBorders>
              <w:top w:val="single" w:sz="4" w:space="0" w:color="auto"/>
              <w:bottom w:val="nil"/>
            </w:tcBorders>
          </w:tcPr>
          <w:p w14:paraId="7D596B86" w14:textId="77777777" w:rsidR="00245CBE" w:rsidRPr="0054671B" w:rsidRDefault="00245CBE" w:rsidP="00D613A8">
            <w:pPr>
              <w:ind w:rightChars="1" w:right="2"/>
              <w:jc w:val="center"/>
              <w:rPr>
                <w:sz w:val="22"/>
                <w:szCs w:val="22"/>
              </w:rPr>
            </w:pPr>
            <w:r w:rsidRPr="0054671B">
              <w:rPr>
                <w:rFonts w:hint="eastAsia"/>
                <w:sz w:val="22"/>
                <w:szCs w:val="22"/>
              </w:rPr>
              <w:t>0</w:t>
            </w:r>
            <w:r w:rsidRPr="0054671B">
              <w:rPr>
                <w:sz w:val="22"/>
                <w:szCs w:val="22"/>
              </w:rPr>
              <w:t>.000</w:t>
            </w:r>
          </w:p>
          <w:p w14:paraId="02E33612" w14:textId="7DA09E90"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0.000)</w:t>
            </w:r>
          </w:p>
        </w:tc>
        <w:tc>
          <w:tcPr>
            <w:tcW w:w="1701" w:type="dxa"/>
            <w:tcBorders>
              <w:top w:val="single" w:sz="4" w:space="0" w:color="auto"/>
              <w:bottom w:val="nil"/>
            </w:tcBorders>
          </w:tcPr>
          <w:p w14:paraId="16FDE7AB" w14:textId="38464D3A" w:rsidR="00245CBE" w:rsidRPr="0054671B" w:rsidRDefault="00245CBE" w:rsidP="00D613A8">
            <w:pPr>
              <w:ind w:rightChars="1" w:right="2"/>
              <w:jc w:val="center"/>
              <w:rPr>
                <w:sz w:val="22"/>
                <w:szCs w:val="22"/>
              </w:rPr>
            </w:pPr>
            <w:r w:rsidRPr="0054671B">
              <w:rPr>
                <w:rFonts w:hint="eastAsia"/>
                <w:sz w:val="22"/>
                <w:szCs w:val="22"/>
              </w:rPr>
              <w:t>0</w:t>
            </w:r>
            <w:r w:rsidRPr="0054671B">
              <w:rPr>
                <w:sz w:val="22"/>
                <w:szCs w:val="22"/>
              </w:rPr>
              <w:t>.009**</w:t>
            </w:r>
          </w:p>
          <w:p w14:paraId="619E0A15" w14:textId="771B1B65"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0.004)</w:t>
            </w:r>
          </w:p>
        </w:tc>
        <w:tc>
          <w:tcPr>
            <w:tcW w:w="1576" w:type="dxa"/>
            <w:tcBorders>
              <w:top w:val="single" w:sz="4" w:space="0" w:color="auto"/>
              <w:bottom w:val="nil"/>
            </w:tcBorders>
          </w:tcPr>
          <w:p w14:paraId="1429211E" w14:textId="46B70C2D" w:rsidR="00245CBE" w:rsidRPr="0054671B" w:rsidRDefault="00245CBE" w:rsidP="00D613A8">
            <w:pPr>
              <w:ind w:rightChars="1" w:right="2"/>
              <w:jc w:val="center"/>
              <w:rPr>
                <w:sz w:val="22"/>
                <w:szCs w:val="22"/>
              </w:rPr>
            </w:pPr>
            <w:r w:rsidRPr="0054671B">
              <w:rPr>
                <w:sz w:val="22"/>
                <w:szCs w:val="22"/>
              </w:rPr>
              <w:t>-</w:t>
            </w:r>
            <w:r w:rsidRPr="0054671B">
              <w:rPr>
                <w:rFonts w:hint="eastAsia"/>
                <w:sz w:val="22"/>
                <w:szCs w:val="22"/>
              </w:rPr>
              <w:t>0</w:t>
            </w:r>
            <w:r w:rsidRPr="0054671B">
              <w:rPr>
                <w:sz w:val="22"/>
                <w:szCs w:val="22"/>
              </w:rPr>
              <w:t>.009**</w:t>
            </w:r>
          </w:p>
          <w:p w14:paraId="06F5B4A8" w14:textId="08E834B3"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0.004)</w:t>
            </w:r>
          </w:p>
        </w:tc>
      </w:tr>
      <w:tr w:rsidR="00245CBE" w:rsidRPr="0054671B" w14:paraId="5679CFFB" w14:textId="77777777" w:rsidTr="00245CBE">
        <w:tc>
          <w:tcPr>
            <w:tcW w:w="2394" w:type="dxa"/>
            <w:tcBorders>
              <w:top w:val="nil"/>
              <w:bottom w:val="nil"/>
            </w:tcBorders>
          </w:tcPr>
          <w:p w14:paraId="3F4A4866" w14:textId="21EE36B7" w:rsidR="00245CBE" w:rsidRPr="0054671B" w:rsidRDefault="00245CBE" w:rsidP="00D613A8">
            <w:pPr>
              <w:spacing w:afterLines="50" w:after="120"/>
              <w:ind w:rightChars="1" w:right="2"/>
              <w:rPr>
                <w:sz w:val="22"/>
                <w:szCs w:val="22"/>
              </w:rPr>
            </w:pPr>
            <w:r w:rsidRPr="0054671B">
              <w:rPr>
                <w:rFonts w:hint="eastAsia"/>
                <w:sz w:val="22"/>
                <w:szCs w:val="22"/>
              </w:rPr>
              <w:t>M</w:t>
            </w:r>
            <w:r w:rsidRPr="0054671B">
              <w:rPr>
                <w:sz w:val="22"/>
                <w:szCs w:val="22"/>
              </w:rPr>
              <w:t>anufacture employment share</w:t>
            </w:r>
          </w:p>
        </w:tc>
        <w:tc>
          <w:tcPr>
            <w:tcW w:w="1559" w:type="dxa"/>
            <w:tcBorders>
              <w:top w:val="nil"/>
              <w:bottom w:val="nil"/>
            </w:tcBorders>
          </w:tcPr>
          <w:p w14:paraId="14044DB9" w14:textId="77777777" w:rsidR="00245CBE" w:rsidRPr="0054671B" w:rsidRDefault="00245CBE" w:rsidP="00D613A8">
            <w:pPr>
              <w:ind w:rightChars="1" w:right="2"/>
              <w:jc w:val="center"/>
              <w:rPr>
                <w:sz w:val="22"/>
                <w:szCs w:val="22"/>
              </w:rPr>
            </w:pPr>
            <w:r w:rsidRPr="0054671B">
              <w:rPr>
                <w:rFonts w:hint="eastAsia"/>
                <w:sz w:val="22"/>
                <w:szCs w:val="22"/>
              </w:rPr>
              <w:t>0</w:t>
            </w:r>
            <w:r w:rsidRPr="0054671B">
              <w:rPr>
                <w:sz w:val="22"/>
                <w:szCs w:val="22"/>
              </w:rPr>
              <w:t>.000</w:t>
            </w:r>
          </w:p>
          <w:p w14:paraId="632FF660" w14:textId="04266563"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0.000)</w:t>
            </w:r>
          </w:p>
        </w:tc>
        <w:tc>
          <w:tcPr>
            <w:tcW w:w="1701" w:type="dxa"/>
            <w:tcBorders>
              <w:top w:val="nil"/>
              <w:bottom w:val="nil"/>
            </w:tcBorders>
          </w:tcPr>
          <w:p w14:paraId="2BBA82E2" w14:textId="77777777" w:rsidR="00245CBE" w:rsidRPr="0054671B" w:rsidRDefault="00245CBE" w:rsidP="00D613A8">
            <w:pPr>
              <w:ind w:rightChars="1" w:right="2"/>
              <w:jc w:val="center"/>
              <w:rPr>
                <w:sz w:val="22"/>
                <w:szCs w:val="22"/>
              </w:rPr>
            </w:pPr>
            <w:r w:rsidRPr="0054671B">
              <w:rPr>
                <w:rFonts w:hint="eastAsia"/>
                <w:sz w:val="22"/>
                <w:szCs w:val="22"/>
              </w:rPr>
              <w:t>0</w:t>
            </w:r>
            <w:r w:rsidRPr="0054671B">
              <w:rPr>
                <w:sz w:val="22"/>
                <w:szCs w:val="22"/>
              </w:rPr>
              <w:t>.189**</w:t>
            </w:r>
          </w:p>
          <w:p w14:paraId="420BBF6E" w14:textId="5AD1AE6A"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0.106)</w:t>
            </w:r>
          </w:p>
        </w:tc>
        <w:tc>
          <w:tcPr>
            <w:tcW w:w="1576" w:type="dxa"/>
            <w:tcBorders>
              <w:top w:val="nil"/>
              <w:bottom w:val="nil"/>
            </w:tcBorders>
          </w:tcPr>
          <w:p w14:paraId="4F3A5E5D" w14:textId="775AF289" w:rsidR="00245CBE" w:rsidRPr="0054671B" w:rsidRDefault="00245CBE" w:rsidP="00D613A8">
            <w:pPr>
              <w:ind w:rightChars="1" w:right="2"/>
              <w:jc w:val="center"/>
              <w:rPr>
                <w:sz w:val="22"/>
                <w:szCs w:val="22"/>
              </w:rPr>
            </w:pPr>
            <w:r w:rsidRPr="0054671B">
              <w:rPr>
                <w:sz w:val="22"/>
                <w:szCs w:val="22"/>
              </w:rPr>
              <w:t>-</w:t>
            </w:r>
            <w:r w:rsidRPr="0054671B">
              <w:rPr>
                <w:rFonts w:hint="eastAsia"/>
                <w:sz w:val="22"/>
                <w:szCs w:val="22"/>
              </w:rPr>
              <w:t>0</w:t>
            </w:r>
            <w:r w:rsidRPr="0054671B">
              <w:rPr>
                <w:sz w:val="22"/>
                <w:szCs w:val="22"/>
              </w:rPr>
              <w:t>.189**</w:t>
            </w:r>
          </w:p>
          <w:p w14:paraId="57BBB0C8" w14:textId="0D42FD7D"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0.106)</w:t>
            </w:r>
          </w:p>
        </w:tc>
      </w:tr>
      <w:tr w:rsidR="00245CBE" w:rsidRPr="0054671B" w14:paraId="56505273" w14:textId="77777777" w:rsidTr="00245CBE">
        <w:tc>
          <w:tcPr>
            <w:tcW w:w="2394" w:type="dxa"/>
            <w:tcBorders>
              <w:top w:val="nil"/>
              <w:bottom w:val="nil"/>
            </w:tcBorders>
          </w:tcPr>
          <w:p w14:paraId="1A2CBC88" w14:textId="6951E4A6" w:rsidR="00245CBE" w:rsidRPr="0054671B" w:rsidRDefault="00245CBE" w:rsidP="00D613A8">
            <w:pPr>
              <w:spacing w:afterLines="50" w:after="120"/>
              <w:ind w:rightChars="1" w:right="2"/>
              <w:rPr>
                <w:sz w:val="22"/>
                <w:szCs w:val="22"/>
              </w:rPr>
            </w:pPr>
            <w:r w:rsidRPr="0054671B">
              <w:rPr>
                <w:rFonts w:hint="eastAsia"/>
                <w:sz w:val="22"/>
                <w:szCs w:val="22"/>
              </w:rPr>
              <w:t>I</w:t>
            </w:r>
            <w:r w:rsidRPr="0054671B">
              <w:rPr>
                <w:sz w:val="22"/>
                <w:szCs w:val="22"/>
              </w:rPr>
              <w:t>nvestment share to GDP</w:t>
            </w:r>
          </w:p>
        </w:tc>
        <w:tc>
          <w:tcPr>
            <w:tcW w:w="1559" w:type="dxa"/>
            <w:tcBorders>
              <w:top w:val="nil"/>
              <w:bottom w:val="nil"/>
            </w:tcBorders>
          </w:tcPr>
          <w:p w14:paraId="500C3CC3" w14:textId="77777777" w:rsidR="00245CBE" w:rsidRPr="0054671B" w:rsidRDefault="00245CBE" w:rsidP="00D613A8">
            <w:pPr>
              <w:ind w:rightChars="1" w:right="2"/>
              <w:jc w:val="center"/>
              <w:rPr>
                <w:sz w:val="22"/>
                <w:szCs w:val="22"/>
              </w:rPr>
            </w:pPr>
            <w:r w:rsidRPr="0054671B">
              <w:rPr>
                <w:rFonts w:hint="eastAsia"/>
                <w:sz w:val="22"/>
                <w:szCs w:val="22"/>
              </w:rPr>
              <w:t>0</w:t>
            </w:r>
            <w:r w:rsidRPr="0054671B">
              <w:rPr>
                <w:sz w:val="22"/>
                <w:szCs w:val="22"/>
              </w:rPr>
              <w:t>.000</w:t>
            </w:r>
          </w:p>
          <w:p w14:paraId="3AD6A494" w14:textId="0083EEB8"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0.000)</w:t>
            </w:r>
          </w:p>
        </w:tc>
        <w:tc>
          <w:tcPr>
            <w:tcW w:w="1701" w:type="dxa"/>
            <w:tcBorders>
              <w:top w:val="nil"/>
              <w:bottom w:val="nil"/>
            </w:tcBorders>
          </w:tcPr>
          <w:p w14:paraId="227BD068" w14:textId="52CE6C96" w:rsidR="00245CBE" w:rsidRPr="0054671B" w:rsidRDefault="00245CBE" w:rsidP="00D613A8">
            <w:pPr>
              <w:ind w:rightChars="1" w:right="2"/>
              <w:jc w:val="center"/>
              <w:rPr>
                <w:sz w:val="22"/>
                <w:szCs w:val="22"/>
              </w:rPr>
            </w:pPr>
            <w:r w:rsidRPr="0054671B">
              <w:rPr>
                <w:rFonts w:hint="eastAsia"/>
                <w:sz w:val="22"/>
                <w:szCs w:val="22"/>
              </w:rPr>
              <w:t>0</w:t>
            </w:r>
            <w:r w:rsidRPr="0054671B">
              <w:rPr>
                <w:sz w:val="22"/>
                <w:szCs w:val="22"/>
              </w:rPr>
              <w:t>.162**</w:t>
            </w:r>
          </w:p>
          <w:p w14:paraId="57749FCD" w14:textId="5A48B006"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0.078)</w:t>
            </w:r>
          </w:p>
        </w:tc>
        <w:tc>
          <w:tcPr>
            <w:tcW w:w="1576" w:type="dxa"/>
            <w:tcBorders>
              <w:top w:val="nil"/>
              <w:bottom w:val="nil"/>
            </w:tcBorders>
          </w:tcPr>
          <w:p w14:paraId="5E0366DF" w14:textId="771769F4" w:rsidR="00245CBE" w:rsidRPr="0054671B" w:rsidRDefault="00245CBE" w:rsidP="00D613A8">
            <w:pPr>
              <w:ind w:rightChars="1" w:right="2"/>
              <w:jc w:val="center"/>
              <w:rPr>
                <w:sz w:val="22"/>
                <w:szCs w:val="22"/>
              </w:rPr>
            </w:pPr>
            <w:r w:rsidRPr="0054671B">
              <w:rPr>
                <w:sz w:val="22"/>
                <w:szCs w:val="22"/>
              </w:rPr>
              <w:t>-</w:t>
            </w:r>
            <w:r w:rsidRPr="0054671B">
              <w:rPr>
                <w:rFonts w:hint="eastAsia"/>
                <w:sz w:val="22"/>
                <w:szCs w:val="22"/>
              </w:rPr>
              <w:t>0</w:t>
            </w:r>
            <w:r w:rsidRPr="0054671B">
              <w:rPr>
                <w:sz w:val="22"/>
                <w:szCs w:val="22"/>
              </w:rPr>
              <w:t>.162**</w:t>
            </w:r>
          </w:p>
          <w:p w14:paraId="302353BD" w14:textId="438E5746"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0.078)</w:t>
            </w:r>
          </w:p>
        </w:tc>
      </w:tr>
      <w:tr w:rsidR="00245CBE" w:rsidRPr="0054671B" w14:paraId="03E38D75" w14:textId="77777777" w:rsidTr="00245CBE">
        <w:tc>
          <w:tcPr>
            <w:tcW w:w="2394" w:type="dxa"/>
            <w:tcBorders>
              <w:top w:val="nil"/>
              <w:bottom w:val="nil"/>
            </w:tcBorders>
          </w:tcPr>
          <w:p w14:paraId="6277E8FB" w14:textId="648B2AEA" w:rsidR="00245CBE" w:rsidRPr="0054671B" w:rsidRDefault="00245CBE" w:rsidP="00D613A8">
            <w:pPr>
              <w:spacing w:afterLines="50" w:after="120"/>
              <w:ind w:rightChars="1" w:right="2"/>
              <w:rPr>
                <w:sz w:val="22"/>
                <w:szCs w:val="22"/>
              </w:rPr>
            </w:pPr>
            <w:r w:rsidRPr="0054671B">
              <w:rPr>
                <w:rFonts w:hint="eastAsia"/>
                <w:sz w:val="22"/>
                <w:szCs w:val="22"/>
              </w:rPr>
              <w:t>L</w:t>
            </w:r>
            <w:r w:rsidRPr="0054671B">
              <w:rPr>
                <w:sz w:val="22"/>
                <w:szCs w:val="22"/>
              </w:rPr>
              <w:t>abor force participation rate</w:t>
            </w:r>
          </w:p>
        </w:tc>
        <w:tc>
          <w:tcPr>
            <w:tcW w:w="1559" w:type="dxa"/>
            <w:tcBorders>
              <w:top w:val="nil"/>
              <w:bottom w:val="nil"/>
            </w:tcBorders>
          </w:tcPr>
          <w:p w14:paraId="6069AF35" w14:textId="51ED9BDB" w:rsidR="00245CBE" w:rsidRPr="0054671B" w:rsidRDefault="00245CBE" w:rsidP="00D613A8">
            <w:pPr>
              <w:ind w:rightChars="1" w:right="2"/>
              <w:jc w:val="center"/>
              <w:rPr>
                <w:sz w:val="22"/>
                <w:szCs w:val="22"/>
              </w:rPr>
            </w:pPr>
            <w:r w:rsidRPr="0054671B">
              <w:rPr>
                <w:sz w:val="22"/>
                <w:szCs w:val="22"/>
              </w:rPr>
              <w:t>-</w:t>
            </w:r>
            <w:r w:rsidRPr="0054671B">
              <w:rPr>
                <w:rFonts w:hint="eastAsia"/>
                <w:sz w:val="22"/>
                <w:szCs w:val="22"/>
              </w:rPr>
              <w:t>0</w:t>
            </w:r>
            <w:r w:rsidRPr="0054671B">
              <w:rPr>
                <w:sz w:val="22"/>
                <w:szCs w:val="22"/>
              </w:rPr>
              <w:t>.000</w:t>
            </w:r>
          </w:p>
          <w:p w14:paraId="6B4E7A42" w14:textId="51735E18"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0.000)</w:t>
            </w:r>
          </w:p>
        </w:tc>
        <w:tc>
          <w:tcPr>
            <w:tcW w:w="1701" w:type="dxa"/>
            <w:tcBorders>
              <w:top w:val="nil"/>
              <w:bottom w:val="nil"/>
            </w:tcBorders>
          </w:tcPr>
          <w:p w14:paraId="30F25CFD" w14:textId="77777777"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0.046**</w:t>
            </w:r>
          </w:p>
          <w:p w14:paraId="3CB53308" w14:textId="10B8E538"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0.022)</w:t>
            </w:r>
          </w:p>
        </w:tc>
        <w:tc>
          <w:tcPr>
            <w:tcW w:w="1576" w:type="dxa"/>
            <w:tcBorders>
              <w:top w:val="nil"/>
              <w:bottom w:val="nil"/>
            </w:tcBorders>
          </w:tcPr>
          <w:p w14:paraId="46B6DF3D" w14:textId="58489CF7" w:rsidR="00245CBE" w:rsidRPr="0054671B" w:rsidRDefault="00245CBE" w:rsidP="00D613A8">
            <w:pPr>
              <w:ind w:rightChars="1" w:right="2"/>
              <w:jc w:val="center"/>
              <w:rPr>
                <w:sz w:val="22"/>
                <w:szCs w:val="22"/>
              </w:rPr>
            </w:pPr>
            <w:r w:rsidRPr="0054671B">
              <w:rPr>
                <w:sz w:val="22"/>
                <w:szCs w:val="22"/>
              </w:rPr>
              <w:t>0.046**</w:t>
            </w:r>
          </w:p>
          <w:p w14:paraId="0E7399E5" w14:textId="709EF396"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0.022)</w:t>
            </w:r>
          </w:p>
        </w:tc>
      </w:tr>
      <w:tr w:rsidR="00245CBE" w:rsidRPr="0054671B" w14:paraId="3588A0C5" w14:textId="77777777" w:rsidTr="00245CBE">
        <w:tc>
          <w:tcPr>
            <w:tcW w:w="2394" w:type="dxa"/>
            <w:tcBorders>
              <w:top w:val="nil"/>
              <w:bottom w:val="nil"/>
            </w:tcBorders>
          </w:tcPr>
          <w:p w14:paraId="4BB67BDF" w14:textId="0FFFB103" w:rsidR="00245CBE" w:rsidRPr="0054671B" w:rsidRDefault="00245CBE" w:rsidP="00245CBE">
            <w:pPr>
              <w:spacing w:afterLines="100" w:after="240"/>
              <w:ind w:rightChars="1" w:right="2"/>
              <w:rPr>
                <w:sz w:val="22"/>
                <w:szCs w:val="22"/>
              </w:rPr>
            </w:pPr>
            <w:r w:rsidRPr="0054671B">
              <w:rPr>
                <w:rFonts w:hint="eastAsia"/>
                <w:sz w:val="22"/>
                <w:szCs w:val="22"/>
              </w:rPr>
              <w:t>G</w:t>
            </w:r>
            <w:r w:rsidRPr="0054671B">
              <w:rPr>
                <w:sz w:val="22"/>
                <w:szCs w:val="22"/>
              </w:rPr>
              <w:t>DP</w:t>
            </w:r>
            <w:r w:rsidR="00583897" w:rsidRPr="0054671B">
              <w:rPr>
                <w:sz w:val="22"/>
                <w:szCs w:val="22"/>
              </w:rPr>
              <w:t xml:space="preserve"> (</w:t>
            </w:r>
            <w:r w:rsidR="00583897" w:rsidRPr="0054671B">
              <w:rPr>
                <w:i/>
                <w:iCs/>
                <w:sz w:val="22"/>
                <w:szCs w:val="22"/>
              </w:rPr>
              <w:t>in logs</w:t>
            </w:r>
            <w:r w:rsidR="00583897" w:rsidRPr="0054671B">
              <w:rPr>
                <w:sz w:val="22"/>
                <w:szCs w:val="22"/>
              </w:rPr>
              <w:t>)</w:t>
            </w:r>
          </w:p>
        </w:tc>
        <w:tc>
          <w:tcPr>
            <w:tcW w:w="1559" w:type="dxa"/>
            <w:tcBorders>
              <w:top w:val="nil"/>
              <w:bottom w:val="nil"/>
            </w:tcBorders>
          </w:tcPr>
          <w:p w14:paraId="2380F1EF" w14:textId="77777777" w:rsidR="00245CBE" w:rsidRPr="0054671B" w:rsidRDefault="00245CBE" w:rsidP="00D613A8">
            <w:pPr>
              <w:ind w:rightChars="1" w:right="2"/>
              <w:jc w:val="center"/>
              <w:rPr>
                <w:sz w:val="22"/>
                <w:szCs w:val="22"/>
              </w:rPr>
            </w:pPr>
            <w:r w:rsidRPr="0054671B">
              <w:rPr>
                <w:rFonts w:hint="eastAsia"/>
                <w:sz w:val="22"/>
                <w:szCs w:val="22"/>
              </w:rPr>
              <w:t>0</w:t>
            </w:r>
            <w:r w:rsidRPr="0054671B">
              <w:rPr>
                <w:sz w:val="22"/>
                <w:szCs w:val="22"/>
              </w:rPr>
              <w:t>.000</w:t>
            </w:r>
          </w:p>
          <w:p w14:paraId="4C06C2E3" w14:textId="24CE1B58"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0.000)</w:t>
            </w:r>
          </w:p>
        </w:tc>
        <w:tc>
          <w:tcPr>
            <w:tcW w:w="1701" w:type="dxa"/>
            <w:tcBorders>
              <w:top w:val="nil"/>
              <w:bottom w:val="nil"/>
            </w:tcBorders>
          </w:tcPr>
          <w:p w14:paraId="6985DA60" w14:textId="77777777" w:rsidR="00245CBE" w:rsidRPr="0054671B" w:rsidRDefault="00245CBE" w:rsidP="00D613A8">
            <w:pPr>
              <w:ind w:rightChars="1" w:right="2"/>
              <w:jc w:val="center"/>
              <w:rPr>
                <w:sz w:val="22"/>
                <w:szCs w:val="22"/>
              </w:rPr>
            </w:pPr>
            <w:r w:rsidRPr="0054671B">
              <w:rPr>
                <w:rFonts w:hint="eastAsia"/>
                <w:sz w:val="22"/>
                <w:szCs w:val="22"/>
              </w:rPr>
              <w:t>0</w:t>
            </w:r>
            <w:r w:rsidRPr="0054671B">
              <w:rPr>
                <w:sz w:val="22"/>
                <w:szCs w:val="22"/>
              </w:rPr>
              <w:t>.242</w:t>
            </w:r>
          </w:p>
          <w:p w14:paraId="3A6F6F28" w14:textId="5830858E"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0.211)</w:t>
            </w:r>
          </w:p>
        </w:tc>
        <w:tc>
          <w:tcPr>
            <w:tcW w:w="1576" w:type="dxa"/>
            <w:tcBorders>
              <w:top w:val="nil"/>
              <w:bottom w:val="nil"/>
            </w:tcBorders>
          </w:tcPr>
          <w:p w14:paraId="1CF3A5D3" w14:textId="74BA9C26" w:rsidR="00245CBE" w:rsidRPr="0054671B" w:rsidRDefault="00245CBE" w:rsidP="00D613A8">
            <w:pPr>
              <w:ind w:rightChars="1" w:right="2"/>
              <w:jc w:val="center"/>
              <w:rPr>
                <w:sz w:val="22"/>
                <w:szCs w:val="22"/>
              </w:rPr>
            </w:pPr>
            <w:r w:rsidRPr="0054671B">
              <w:rPr>
                <w:sz w:val="22"/>
                <w:szCs w:val="22"/>
              </w:rPr>
              <w:t>-</w:t>
            </w:r>
            <w:r w:rsidRPr="0054671B">
              <w:rPr>
                <w:rFonts w:hint="eastAsia"/>
                <w:sz w:val="22"/>
                <w:szCs w:val="22"/>
              </w:rPr>
              <w:t>0</w:t>
            </w:r>
            <w:r w:rsidRPr="0054671B">
              <w:rPr>
                <w:sz w:val="22"/>
                <w:szCs w:val="22"/>
              </w:rPr>
              <w:t>.242</w:t>
            </w:r>
          </w:p>
          <w:p w14:paraId="60083290" w14:textId="4A2D4B85" w:rsidR="00245CBE" w:rsidRPr="0054671B" w:rsidRDefault="00245CBE" w:rsidP="00D613A8">
            <w:pPr>
              <w:ind w:rightChars="1" w:right="2"/>
              <w:jc w:val="center"/>
              <w:rPr>
                <w:sz w:val="22"/>
                <w:szCs w:val="22"/>
              </w:rPr>
            </w:pPr>
            <w:r w:rsidRPr="0054671B">
              <w:rPr>
                <w:rFonts w:hint="eastAsia"/>
                <w:sz w:val="22"/>
                <w:szCs w:val="22"/>
              </w:rPr>
              <w:t>(</w:t>
            </w:r>
            <w:r w:rsidRPr="0054671B">
              <w:rPr>
                <w:sz w:val="22"/>
                <w:szCs w:val="22"/>
              </w:rPr>
              <w:t>0.211)</w:t>
            </w:r>
          </w:p>
        </w:tc>
      </w:tr>
      <w:tr w:rsidR="00245CBE" w:rsidRPr="0054671B" w14:paraId="519F3E16" w14:textId="77777777" w:rsidTr="00245CBE">
        <w:tc>
          <w:tcPr>
            <w:tcW w:w="2394" w:type="dxa"/>
            <w:tcBorders>
              <w:top w:val="nil"/>
            </w:tcBorders>
          </w:tcPr>
          <w:p w14:paraId="7B6B44D4" w14:textId="4EBF54AB" w:rsidR="00245CBE" w:rsidRPr="0054671B" w:rsidRDefault="00245CBE" w:rsidP="00D613A8">
            <w:pPr>
              <w:ind w:rightChars="1" w:right="2"/>
            </w:pPr>
            <w:r w:rsidRPr="0054671B">
              <w:rPr>
                <w:sz w:val="22"/>
                <w:szCs w:val="22"/>
              </w:rPr>
              <w:t>Number of provinces</w:t>
            </w:r>
          </w:p>
        </w:tc>
        <w:tc>
          <w:tcPr>
            <w:tcW w:w="1559" w:type="dxa"/>
            <w:tcBorders>
              <w:top w:val="nil"/>
            </w:tcBorders>
          </w:tcPr>
          <w:p w14:paraId="71B8C578" w14:textId="451E466B" w:rsidR="00245CBE" w:rsidRPr="0054671B" w:rsidRDefault="00245CBE" w:rsidP="00D613A8">
            <w:pPr>
              <w:ind w:rightChars="1" w:right="2"/>
              <w:jc w:val="center"/>
            </w:pPr>
            <w:r w:rsidRPr="0054671B">
              <w:rPr>
                <w:rFonts w:hint="eastAsia"/>
              </w:rPr>
              <w:t>3</w:t>
            </w:r>
          </w:p>
        </w:tc>
        <w:tc>
          <w:tcPr>
            <w:tcW w:w="1701" w:type="dxa"/>
            <w:tcBorders>
              <w:top w:val="nil"/>
            </w:tcBorders>
          </w:tcPr>
          <w:p w14:paraId="587C9004" w14:textId="3580611F" w:rsidR="00245CBE" w:rsidRPr="0054671B" w:rsidRDefault="00245CBE" w:rsidP="00D613A8">
            <w:pPr>
              <w:ind w:rightChars="1" w:right="2"/>
              <w:jc w:val="center"/>
            </w:pPr>
            <w:r w:rsidRPr="0054671B">
              <w:rPr>
                <w:rFonts w:hint="eastAsia"/>
              </w:rPr>
              <w:t>9</w:t>
            </w:r>
          </w:p>
        </w:tc>
        <w:tc>
          <w:tcPr>
            <w:tcW w:w="1576" w:type="dxa"/>
            <w:tcBorders>
              <w:top w:val="nil"/>
            </w:tcBorders>
          </w:tcPr>
          <w:p w14:paraId="3DADDA5F" w14:textId="2F30DFD4" w:rsidR="00245CBE" w:rsidRPr="0054671B" w:rsidRDefault="00245CBE" w:rsidP="00D613A8">
            <w:pPr>
              <w:ind w:rightChars="1" w:right="2"/>
              <w:jc w:val="center"/>
            </w:pPr>
            <w:r w:rsidRPr="0054671B">
              <w:rPr>
                <w:rFonts w:hint="eastAsia"/>
              </w:rPr>
              <w:t>2</w:t>
            </w:r>
            <w:r w:rsidRPr="0054671B">
              <w:t>2</w:t>
            </w:r>
          </w:p>
        </w:tc>
      </w:tr>
    </w:tbl>
    <w:p w14:paraId="0C132F44" w14:textId="77777777" w:rsidR="00044CCE" w:rsidRPr="0054671B" w:rsidRDefault="00E965AF" w:rsidP="00245CBE">
      <w:pPr>
        <w:spacing w:after="0" w:line="240" w:lineRule="auto"/>
        <w:ind w:left="1418" w:rightChars="1" w:right="2" w:hanging="11"/>
        <w:rPr>
          <w:sz w:val="20"/>
          <w:szCs w:val="20"/>
        </w:rPr>
      </w:pPr>
      <w:r w:rsidRPr="0054671B">
        <w:rPr>
          <w:rFonts w:hint="eastAsia"/>
          <w:i/>
          <w:iCs/>
          <w:sz w:val="20"/>
          <w:szCs w:val="20"/>
        </w:rPr>
        <w:t>N</w:t>
      </w:r>
      <w:r w:rsidRPr="0054671B">
        <w:rPr>
          <w:i/>
          <w:iCs/>
          <w:sz w:val="20"/>
          <w:szCs w:val="20"/>
        </w:rPr>
        <w:t>ote</w:t>
      </w:r>
      <w:r w:rsidRPr="0054671B">
        <w:rPr>
          <w:sz w:val="20"/>
          <w:szCs w:val="20"/>
        </w:rPr>
        <w:t xml:space="preserve">: </w:t>
      </w:r>
      <w:r w:rsidR="009F258A" w:rsidRPr="0054671B">
        <w:rPr>
          <w:sz w:val="20"/>
          <w:szCs w:val="20"/>
        </w:rPr>
        <w:t>Numbers in parenthesis are the s</w:t>
      </w:r>
      <w:r w:rsidRPr="0054671B">
        <w:rPr>
          <w:sz w:val="20"/>
          <w:szCs w:val="20"/>
        </w:rPr>
        <w:t>tandard errors</w:t>
      </w:r>
      <w:r w:rsidR="009F258A" w:rsidRPr="0054671B">
        <w:rPr>
          <w:sz w:val="20"/>
          <w:szCs w:val="20"/>
        </w:rPr>
        <w:t>.</w:t>
      </w:r>
      <w:r w:rsidR="00157F1E" w:rsidRPr="0054671B">
        <w:rPr>
          <w:sz w:val="20"/>
          <w:szCs w:val="20"/>
        </w:rPr>
        <w:t xml:space="preserve"> ***</w:t>
      </w:r>
      <w:r w:rsidR="00584454" w:rsidRPr="0054671B">
        <w:rPr>
          <w:i/>
          <w:iCs/>
          <w:sz w:val="20"/>
          <w:szCs w:val="20"/>
        </w:rPr>
        <w:t>,</w:t>
      </w:r>
      <w:r w:rsidR="00157F1E" w:rsidRPr="0054671B">
        <w:rPr>
          <w:sz w:val="20"/>
          <w:szCs w:val="20"/>
        </w:rPr>
        <w:t xml:space="preserve"> **, *</w:t>
      </w:r>
      <w:r w:rsidR="00584454" w:rsidRPr="0054671B">
        <w:rPr>
          <w:sz w:val="20"/>
          <w:szCs w:val="20"/>
        </w:rPr>
        <w:t xml:space="preserve"> show significant level at </w:t>
      </w:r>
    </w:p>
    <w:p w14:paraId="0F67D46A" w14:textId="2F6D383C" w:rsidR="00E965AF" w:rsidRPr="0054671B" w:rsidRDefault="00584454" w:rsidP="00245CBE">
      <w:pPr>
        <w:spacing w:after="0" w:line="240" w:lineRule="auto"/>
        <w:ind w:left="1418" w:rightChars="1" w:right="2" w:hanging="11"/>
        <w:rPr>
          <w:sz w:val="20"/>
          <w:szCs w:val="20"/>
        </w:rPr>
      </w:pPr>
      <w:r w:rsidRPr="0054671B">
        <w:rPr>
          <w:sz w:val="20"/>
          <w:szCs w:val="20"/>
        </w:rPr>
        <w:t>1%, 5%, and 10%, respectively.</w:t>
      </w:r>
      <w:r w:rsidRPr="0054671B">
        <w:rPr>
          <w:rFonts w:hint="eastAsia"/>
          <w:sz w:val="20"/>
          <w:szCs w:val="20"/>
        </w:rPr>
        <w:t xml:space="preserve"> </w:t>
      </w:r>
      <w:r w:rsidR="00157F1E" w:rsidRPr="0054671B">
        <w:rPr>
          <w:rFonts w:hint="eastAsia"/>
          <w:i/>
          <w:iCs/>
          <w:sz w:val="20"/>
          <w:szCs w:val="20"/>
        </w:rPr>
        <w:t>S</w:t>
      </w:r>
      <w:r w:rsidR="00157F1E" w:rsidRPr="0054671B">
        <w:rPr>
          <w:i/>
          <w:iCs/>
          <w:sz w:val="20"/>
          <w:szCs w:val="20"/>
        </w:rPr>
        <w:t>ource:</w:t>
      </w:r>
      <w:r w:rsidR="00157F1E" w:rsidRPr="0054671B">
        <w:rPr>
          <w:sz w:val="20"/>
          <w:szCs w:val="20"/>
        </w:rPr>
        <w:t xml:space="preserve"> Authors’ computation</w:t>
      </w:r>
    </w:p>
    <w:p w14:paraId="155D8469" w14:textId="77777777" w:rsidR="002833DE" w:rsidRPr="0054671B" w:rsidRDefault="002833DE" w:rsidP="002833DE">
      <w:pPr>
        <w:spacing w:after="0" w:line="240" w:lineRule="auto"/>
        <w:ind w:left="720" w:rightChars="1" w:right="2" w:hanging="11"/>
      </w:pPr>
    </w:p>
    <w:p w14:paraId="2688180B" w14:textId="445980A0" w:rsidR="00A320AB" w:rsidRPr="0054671B" w:rsidRDefault="00C75A01" w:rsidP="00861F56">
      <w:pPr>
        <w:spacing w:after="0" w:line="360" w:lineRule="auto"/>
        <w:ind w:left="720" w:rightChars="1" w:right="2" w:firstLine="720"/>
        <w:jc w:val="both"/>
      </w:pPr>
      <w:r w:rsidRPr="0054671B">
        <w:t>All o</w:t>
      </w:r>
      <w:r w:rsidR="006701C7" w:rsidRPr="0054671B">
        <w:t>rdered logit coefficients show</w:t>
      </w:r>
      <w:r w:rsidRPr="0054671B">
        <w:t xml:space="preserve"> the expected signs</w:t>
      </w:r>
      <w:r w:rsidR="006701C7" w:rsidRPr="0054671B">
        <w:t xml:space="preserve">. </w:t>
      </w:r>
      <w:r w:rsidR="00AF201A">
        <w:t>In addition</w:t>
      </w:r>
      <w:r w:rsidR="00C0673F" w:rsidRPr="0054671B">
        <w:t>,</w:t>
      </w:r>
      <w:r w:rsidR="008F2D53" w:rsidRPr="0054671B">
        <w:t xml:space="preserve"> the magnitude of coefficients </w:t>
      </w:r>
      <w:r w:rsidR="00C0673F" w:rsidRPr="0054671B">
        <w:t>deserve</w:t>
      </w:r>
      <w:r w:rsidR="000F7029" w:rsidRPr="0054671B">
        <w:t>s</w:t>
      </w:r>
      <w:r w:rsidR="00C0673F" w:rsidRPr="0054671B">
        <w:t xml:space="preserve"> </w:t>
      </w:r>
      <w:r w:rsidR="008F2D53" w:rsidRPr="0054671B">
        <w:t>special attention</w:t>
      </w:r>
      <w:r w:rsidR="0009463A" w:rsidRPr="0054671B">
        <w:t xml:space="preserve">. </w:t>
      </w:r>
      <w:r w:rsidR="00B05C33" w:rsidRPr="0054671B">
        <w:t xml:space="preserve">Our results </w:t>
      </w:r>
      <w:r w:rsidR="00A77BCB">
        <w:t>point to</w:t>
      </w:r>
      <w:r w:rsidR="00976CE2">
        <w:t xml:space="preserve"> the</w:t>
      </w:r>
      <w:r w:rsidR="00A77BCB">
        <w:t xml:space="preserve"> signific</w:t>
      </w:r>
      <w:r w:rsidR="00976CE2">
        <w:t>ance of</w:t>
      </w:r>
      <w:r w:rsidR="00B05C33" w:rsidRPr="0054671B">
        <w:t xml:space="preserve"> structural characteristics </w:t>
      </w:r>
      <w:r w:rsidR="00976CE2">
        <w:t xml:space="preserve">in </w:t>
      </w:r>
      <w:r w:rsidR="00B05C33" w:rsidRPr="0054671B">
        <w:t>expla</w:t>
      </w:r>
      <w:r w:rsidR="00976CE2">
        <w:t>ining</w:t>
      </w:r>
      <w:r w:rsidR="00B05C33" w:rsidRPr="0054671B">
        <w:t xml:space="preserve"> </w:t>
      </w:r>
      <w:r w:rsidR="00976CE2">
        <w:t>the</w:t>
      </w:r>
      <w:r w:rsidR="000E57BA" w:rsidRPr="0054671B">
        <w:t xml:space="preserve"> </w:t>
      </w:r>
      <w:r w:rsidR="00B05C33" w:rsidRPr="0054671B">
        <w:t>club convergence formatio</w:t>
      </w:r>
      <w:r w:rsidR="005B3A23">
        <w:t>n.</w:t>
      </w:r>
      <w:r w:rsidR="000E57BA" w:rsidRPr="0054671B">
        <w:rPr>
          <w:rStyle w:val="FootnoteReference"/>
        </w:rPr>
        <w:footnoteReference w:id="10"/>
      </w:r>
      <w:r w:rsidR="00B05C33" w:rsidRPr="0054671B">
        <w:t xml:space="preserve"> </w:t>
      </w:r>
      <w:r w:rsidR="009617F8" w:rsidRPr="0054671B">
        <w:t>Specifically</w:t>
      </w:r>
      <w:r w:rsidR="00B05C33" w:rsidRPr="0054671B">
        <w:t>,</w:t>
      </w:r>
      <w:r w:rsidR="009617F8" w:rsidRPr="0054671B">
        <w:t xml:space="preserve"> the share of employment in </w:t>
      </w:r>
      <w:r w:rsidR="00485526" w:rsidRPr="0054671B">
        <w:t xml:space="preserve">the </w:t>
      </w:r>
      <w:r w:rsidR="009617F8" w:rsidRPr="0054671B">
        <w:t xml:space="preserve">manufacturing sector </w:t>
      </w:r>
      <w:r w:rsidR="00D73BD1" w:rsidRPr="0054671B">
        <w:t xml:space="preserve">is the most important </w:t>
      </w:r>
      <w:r w:rsidR="00C97AAC">
        <w:t>structural</w:t>
      </w:r>
      <w:r w:rsidR="00D73BD1" w:rsidRPr="0054671B">
        <w:t xml:space="preserve"> </w:t>
      </w:r>
      <w:r w:rsidR="00C97AAC">
        <w:t>element</w:t>
      </w:r>
      <w:r w:rsidR="00D73BD1" w:rsidRPr="0054671B">
        <w:t xml:space="preserve"> </w:t>
      </w:r>
      <w:r w:rsidR="00C97AAC">
        <w:t>driving</w:t>
      </w:r>
      <w:r w:rsidR="00D73BD1" w:rsidRPr="0054671B">
        <w:t xml:space="preserve"> club convergence. </w:t>
      </w:r>
      <w:r w:rsidR="008F32F5" w:rsidRPr="0054671B">
        <w:t xml:space="preserve">One point increment </w:t>
      </w:r>
      <w:r w:rsidR="00D73BD1" w:rsidRPr="0054671B">
        <w:t xml:space="preserve">in </w:t>
      </w:r>
      <w:r w:rsidR="00485526" w:rsidRPr="0054671B">
        <w:t xml:space="preserve">the </w:t>
      </w:r>
      <w:r w:rsidR="00D73BD1" w:rsidRPr="0054671B">
        <w:t xml:space="preserve">manufacturing employment ratio </w:t>
      </w:r>
      <w:r w:rsidR="001D49AD" w:rsidRPr="0054671B">
        <w:t xml:space="preserve">would significantly </w:t>
      </w:r>
      <w:r w:rsidR="0070130D" w:rsidRPr="0054671B">
        <w:t>raise</w:t>
      </w:r>
      <w:r w:rsidR="001D49AD" w:rsidRPr="0054671B">
        <w:t xml:space="preserve"> the probability of a province converg</w:t>
      </w:r>
      <w:r w:rsidR="00AF4C45" w:rsidRPr="0054671B">
        <w:t>ing</w:t>
      </w:r>
      <w:r w:rsidR="001D49AD" w:rsidRPr="0054671B">
        <w:t xml:space="preserve"> to </w:t>
      </w:r>
      <w:r w:rsidR="00AF4C45" w:rsidRPr="0054671B">
        <w:t xml:space="preserve">the </w:t>
      </w:r>
      <w:r w:rsidR="001D49AD" w:rsidRPr="0054671B">
        <w:t>middle</w:t>
      </w:r>
      <w:r w:rsidR="000E57BA" w:rsidRPr="0054671B">
        <w:t>-wage</w:t>
      </w:r>
      <w:r w:rsidR="001D49AD" w:rsidRPr="0054671B">
        <w:t xml:space="preserve"> club (club 2) by 18</w:t>
      </w:r>
      <w:r w:rsidR="00A67214" w:rsidRPr="0054671B">
        <w:t>%</w:t>
      </w:r>
      <w:r w:rsidR="001D49AD" w:rsidRPr="0054671B">
        <w:t xml:space="preserve"> </w:t>
      </w:r>
      <w:r w:rsidR="00AF4C45" w:rsidRPr="0054671B">
        <w:t xml:space="preserve">while </w:t>
      </w:r>
      <w:r w:rsidR="00AF4C45" w:rsidRPr="0054671B">
        <w:lastRenderedPageBreak/>
        <w:t>reducing the likelihood of a province converging to the low-wage club (club 3)</w:t>
      </w:r>
      <w:r w:rsidR="00D83E94" w:rsidRPr="0054671B">
        <w:t xml:space="preserve">. </w:t>
      </w:r>
      <w:r w:rsidR="00CC68A3" w:rsidRPr="0054671B">
        <w:t xml:space="preserve">In this respect, </w:t>
      </w:r>
      <w:r w:rsidR="00F15C0D" w:rsidRPr="0054671B">
        <w:t>our finding</w:t>
      </w:r>
      <w:r w:rsidR="00F81296" w:rsidRPr="0054671B">
        <w:t>s</w:t>
      </w:r>
      <w:r w:rsidR="00F15C0D" w:rsidRPr="0054671B">
        <w:t xml:space="preserve"> </w:t>
      </w:r>
      <w:r w:rsidR="00CC68A3" w:rsidRPr="0054671B">
        <w:t xml:space="preserve">appreciate the conventional view </w:t>
      </w:r>
      <w:r w:rsidR="00F15C0D" w:rsidRPr="0054671B">
        <w:t>that claim</w:t>
      </w:r>
      <w:r w:rsidR="007E0B26" w:rsidRPr="0054671B">
        <w:t>s</w:t>
      </w:r>
      <w:r w:rsidR="00F15C0D" w:rsidRPr="0054671B">
        <w:t xml:space="preserve"> labor productivity</w:t>
      </w:r>
      <w:r w:rsidR="00F81296" w:rsidRPr="0054671B">
        <w:t xml:space="preserve"> is generally higher</w:t>
      </w:r>
      <w:r w:rsidR="00F15C0D" w:rsidRPr="0054671B">
        <w:t xml:space="preserve"> – </w:t>
      </w:r>
      <w:r w:rsidR="0009244F" w:rsidRPr="0054671B">
        <w:t>therefore</w:t>
      </w:r>
      <w:r w:rsidR="00F15C0D" w:rsidRPr="0054671B">
        <w:t xml:space="preserve">, higher wage – in </w:t>
      </w:r>
      <w:r w:rsidR="00906765" w:rsidRPr="0054671B">
        <w:t xml:space="preserve">the </w:t>
      </w:r>
      <w:r w:rsidR="00F15C0D" w:rsidRPr="0054671B">
        <w:t>manufacturing sector.</w:t>
      </w:r>
      <w:r w:rsidR="00CA0C34" w:rsidRPr="0054671B">
        <w:t xml:space="preserve"> </w:t>
      </w:r>
      <w:r w:rsidR="009B67B0" w:rsidRPr="0054671B">
        <w:t xml:space="preserve">The </w:t>
      </w:r>
      <w:r w:rsidR="00C0673F" w:rsidRPr="0054671B">
        <w:t>i</w:t>
      </w:r>
      <w:r w:rsidR="009B67B0" w:rsidRPr="0054671B">
        <w:t>nvestment</w:t>
      </w:r>
      <w:r w:rsidR="00C0673F" w:rsidRPr="0054671B">
        <w:t xml:space="preserve"> share</w:t>
      </w:r>
      <w:r w:rsidR="009B67B0" w:rsidRPr="0054671B">
        <w:t xml:space="preserve"> </w:t>
      </w:r>
      <w:r w:rsidR="00C0673F" w:rsidRPr="0054671B">
        <w:t xml:space="preserve">to GDP and labor force participation rate are the other important </w:t>
      </w:r>
      <w:r w:rsidR="00A121C1" w:rsidRPr="0054671B">
        <w:t xml:space="preserve">structural </w:t>
      </w:r>
      <w:r w:rsidR="00C0673F" w:rsidRPr="0054671B">
        <w:t>determinant</w:t>
      </w:r>
      <w:r w:rsidR="00CA0C34" w:rsidRPr="0054671B">
        <w:t xml:space="preserve">s, </w:t>
      </w:r>
      <w:r w:rsidR="00C0673F" w:rsidRPr="0054671B">
        <w:t>to a lesser extent</w:t>
      </w:r>
      <w:r w:rsidR="00CA0C34" w:rsidRPr="0054671B">
        <w:t xml:space="preserve"> than the share of employment in </w:t>
      </w:r>
      <w:r w:rsidR="00906765" w:rsidRPr="0054671B">
        <w:t xml:space="preserve">the </w:t>
      </w:r>
      <w:r w:rsidR="00CA0C34" w:rsidRPr="0054671B">
        <w:t>manufacturing sector</w:t>
      </w:r>
      <w:r w:rsidR="00521E41" w:rsidRPr="0054671B">
        <w:t xml:space="preserve"> but larger effect than the initial level of real wage in 2008</w:t>
      </w:r>
      <w:r w:rsidR="00CA0C34" w:rsidRPr="0054671B">
        <w:t xml:space="preserve">. </w:t>
      </w:r>
      <w:r w:rsidR="00906765" w:rsidRPr="0054671B">
        <w:t>Overall, our results imply that the mechanism of club convergence formation in real wage across Indonesian provinces mainly works through underlying attributes in regional labor market conditions.</w:t>
      </w:r>
      <w:r w:rsidR="00A320AB" w:rsidRPr="0054671B">
        <w:t xml:space="preserve"> Next, we elaborat</w:t>
      </w:r>
      <w:r w:rsidR="00B31CB2" w:rsidRPr="0054671B">
        <w:t>e</w:t>
      </w:r>
      <w:r w:rsidR="00A320AB" w:rsidRPr="0054671B">
        <w:t xml:space="preserve"> </w:t>
      </w:r>
      <w:r w:rsidR="00D54778" w:rsidRPr="0054671B">
        <w:t xml:space="preserve">on </w:t>
      </w:r>
      <w:r w:rsidR="00B31CB2" w:rsidRPr="0054671B">
        <w:t>the effects</w:t>
      </w:r>
      <w:r w:rsidR="00A320AB" w:rsidRPr="0054671B">
        <w:t xml:space="preserve"> </w:t>
      </w:r>
      <w:r w:rsidR="009D1933" w:rsidRPr="0054671B">
        <w:t xml:space="preserve">of </w:t>
      </w:r>
      <w:r w:rsidR="00A320AB" w:rsidRPr="0054671B">
        <w:t>each factor</w:t>
      </w:r>
      <w:r w:rsidR="00B31CB2" w:rsidRPr="0054671B">
        <w:t xml:space="preserve"> in more detail</w:t>
      </w:r>
      <w:r w:rsidR="00A320AB" w:rsidRPr="0054671B">
        <w:t>.</w:t>
      </w:r>
    </w:p>
    <w:p w14:paraId="33202EF6" w14:textId="5F9AA8A4" w:rsidR="00861F56" w:rsidRPr="0054671B" w:rsidRDefault="00C04696" w:rsidP="00861F56">
      <w:pPr>
        <w:spacing w:after="0" w:line="360" w:lineRule="auto"/>
        <w:ind w:left="720" w:rightChars="1" w:right="2" w:firstLine="720"/>
        <w:jc w:val="both"/>
      </w:pPr>
      <w:r w:rsidRPr="0054671B">
        <w:t>Manufacture employment share has a positive effect for club 1 and club 2, while it shows a negative effect for club 3</w:t>
      </w:r>
      <w:r w:rsidR="00D54778" w:rsidRPr="0054671B">
        <w:t>,</w:t>
      </w:r>
      <w:r w:rsidRPr="0054671B">
        <w:t xml:space="preserve"> which means the province with a higher manufacturing employment share has a higher wage than the rest.</w:t>
      </w:r>
      <w:r w:rsidR="006701C7" w:rsidRPr="0054671B">
        <w:t xml:space="preserve"> </w:t>
      </w:r>
      <w:r w:rsidR="00DD45F9" w:rsidRPr="0054671B">
        <w:t>This</w:t>
      </w:r>
      <w:r w:rsidR="006701C7" w:rsidRPr="0054671B">
        <w:t xml:space="preserve"> result is also </w:t>
      </w:r>
      <w:r w:rsidR="002833DE" w:rsidRPr="0054671B">
        <w:t>con</w:t>
      </w:r>
      <w:r w:rsidR="00DD45F9" w:rsidRPr="0054671B">
        <w:t>sistent</w:t>
      </w:r>
      <w:r w:rsidR="002833DE" w:rsidRPr="0054671B">
        <w:t xml:space="preserve"> </w:t>
      </w:r>
      <w:r w:rsidR="00DD45F9" w:rsidRPr="0054671B">
        <w:t xml:space="preserve">with </w:t>
      </w:r>
      <w:r w:rsidR="00DD45F9" w:rsidRPr="0054671B">
        <w:rPr>
          <w:rFonts w:hint="eastAsia"/>
        </w:rPr>
        <w:t>t</w:t>
      </w:r>
      <w:r w:rsidR="00DD45F9" w:rsidRPr="0054671B">
        <w:t xml:space="preserve">he finding of </w:t>
      </w:r>
      <w:r w:rsidR="00DD45F9" w:rsidRPr="0054671B">
        <w:fldChar w:fldCharType="begin"/>
      </w:r>
      <w:r w:rsidR="00BF6189" w:rsidRPr="0054671B">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rsidRPr="0054671B">
        <w:fldChar w:fldCharType="separate"/>
      </w:r>
      <w:r w:rsidR="00DD45F9" w:rsidRPr="0054671B">
        <w:rPr>
          <w:rFonts w:ascii="Calibri" w:hAnsi="Calibri" w:cs="Calibri"/>
        </w:rPr>
        <w:t>Felipe et al. (2019)</w:t>
      </w:r>
      <w:r w:rsidR="00DD45F9" w:rsidRPr="0054671B">
        <w:fldChar w:fldCharType="end"/>
      </w:r>
      <w:r w:rsidR="000B09F3" w:rsidRPr="0054671B">
        <w:t xml:space="preserve"> in which</w:t>
      </w:r>
      <w:r w:rsidR="006701C7" w:rsidRPr="0054671B">
        <w:t xml:space="preserve"> high-tech manufacturing firms generally pay higher wages in Indonesia. </w:t>
      </w:r>
      <w:r w:rsidR="00546936" w:rsidRPr="0054671B">
        <w:t xml:space="preserve">Furthermore, </w:t>
      </w:r>
      <w:r w:rsidR="000B09F3" w:rsidRPr="0054671B">
        <w:t>they</w:t>
      </w:r>
      <w:r w:rsidR="00546936" w:rsidRPr="0054671B">
        <w:t xml:space="preserve"> also reveal that</w:t>
      </w:r>
      <w:r w:rsidR="006701C7" w:rsidRPr="0054671B">
        <w:t xml:space="preserve"> differences are likely due in part to differences in skill requirements of the </w:t>
      </w:r>
      <w:r w:rsidR="000B09F3" w:rsidRPr="0054671B">
        <w:t xml:space="preserve">manufacturing </w:t>
      </w:r>
      <w:r w:rsidR="006701C7" w:rsidRPr="0054671B">
        <w:t xml:space="preserve">sector, with average levels of education and training significantly higher. </w:t>
      </w:r>
      <w:r w:rsidR="008233B0" w:rsidRPr="0054671B">
        <w:t>Moreover, the high productivity rate in the manufacturing sector often becomes the main reason labor in the manufacturing sector often earns a higher wage than labor in other sectors.</w:t>
      </w:r>
      <w:r w:rsidR="006701C7" w:rsidRPr="0054671B">
        <w:t xml:space="preserve"> </w:t>
      </w:r>
      <w:r w:rsidR="00861F56" w:rsidRPr="0054671B">
        <w:fldChar w:fldCharType="begin"/>
      </w:r>
      <w:r w:rsidR="00BF6189" w:rsidRPr="0054671B">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00861F56" w:rsidRPr="0054671B">
        <w:fldChar w:fldCharType="separate"/>
      </w:r>
      <w:r w:rsidR="00861F56" w:rsidRPr="0054671B">
        <w:rPr>
          <w:rFonts w:ascii="Calibri" w:hAnsi="Calibri" w:cs="Calibri"/>
        </w:rPr>
        <w:t>Strain (2019)</w:t>
      </w:r>
      <w:r w:rsidR="00861F56" w:rsidRPr="0054671B">
        <w:fldChar w:fldCharType="end"/>
      </w:r>
      <w:r w:rsidR="006701C7" w:rsidRPr="0054671B">
        <w:t xml:space="preserve"> f</w:t>
      </w:r>
      <w:r w:rsidR="00861F56" w:rsidRPr="0054671B">
        <w:t>inds</w:t>
      </w:r>
      <w:r w:rsidR="006701C7" w:rsidRPr="0054671B">
        <w:t xml:space="preserve"> evidence that there is a strong linkage between productivity and wages. In detail, he describe</w:t>
      </w:r>
      <w:r w:rsidR="00861F56" w:rsidRPr="0054671B">
        <w:t>s</w:t>
      </w:r>
      <w:r w:rsidR="006701C7" w:rsidRPr="0054671B">
        <w:t xml:space="preserve"> that when properly measured, </w:t>
      </w:r>
      <w:r w:rsidR="00DA7F9C" w:rsidRPr="0054671B">
        <w:t xml:space="preserve">productivity and compensations show very similar </w:t>
      </w:r>
      <w:r w:rsidR="006701C7" w:rsidRPr="0054671B">
        <w:t xml:space="preserve">trends </w:t>
      </w:r>
      <w:r w:rsidR="00D33FFB" w:rsidRPr="0054671B">
        <w:t>in</w:t>
      </w:r>
      <w:r w:rsidR="006701C7" w:rsidRPr="0054671B">
        <w:t xml:space="preserve"> the </w:t>
      </w:r>
      <w:r w:rsidR="00D33FFB" w:rsidRPr="0054671B">
        <w:t>last few</w:t>
      </w:r>
      <w:r w:rsidR="006701C7" w:rsidRPr="0054671B">
        <w:t xml:space="preserve"> decades. </w:t>
      </w:r>
    </w:p>
    <w:p w14:paraId="52B3DC87" w14:textId="40018A8C" w:rsidR="00252738" w:rsidRPr="0054671B" w:rsidRDefault="00AF0DBE" w:rsidP="00252738">
      <w:pPr>
        <w:spacing w:after="0" w:line="360" w:lineRule="auto"/>
        <w:ind w:left="720" w:rightChars="1" w:right="2" w:firstLine="720"/>
        <w:jc w:val="both"/>
      </w:pPr>
      <w:r w:rsidRPr="0054671B">
        <w:t>Similar to the share of manufactur</w:t>
      </w:r>
      <w:r w:rsidR="00381EA8" w:rsidRPr="0054671B">
        <w:t>ing</w:t>
      </w:r>
      <w:r w:rsidRPr="0054671B">
        <w:t xml:space="preserve"> employment, the i</w:t>
      </w:r>
      <w:r w:rsidR="006701C7" w:rsidRPr="0054671B">
        <w:t xml:space="preserve">nvestment to GDP </w:t>
      </w:r>
      <w:r w:rsidR="00927A40" w:rsidRPr="0054671B">
        <w:t xml:space="preserve">ratio </w:t>
      </w:r>
      <w:r w:rsidR="006701C7" w:rsidRPr="0054671B">
        <w:t xml:space="preserve">also </w:t>
      </w:r>
      <w:r w:rsidR="00861F56" w:rsidRPr="0054671B">
        <w:t>demonstrate</w:t>
      </w:r>
      <w:r w:rsidRPr="0054671B">
        <w:t xml:space="preserve">s </w:t>
      </w:r>
      <w:r w:rsidR="00381EA8" w:rsidRPr="0054671B">
        <w:t xml:space="preserve">a </w:t>
      </w:r>
      <w:r w:rsidRPr="0054671B">
        <w:t>positive</w:t>
      </w:r>
      <w:r w:rsidR="006701C7" w:rsidRPr="0054671B">
        <w:t xml:space="preserve"> </w:t>
      </w:r>
      <w:r w:rsidR="00861F56" w:rsidRPr="0054671B">
        <w:t>effect</w:t>
      </w:r>
      <w:r w:rsidR="006701C7" w:rsidRPr="0054671B">
        <w:t xml:space="preserve"> </w:t>
      </w:r>
      <w:r w:rsidRPr="0054671B">
        <w:t xml:space="preserve">towards higher wage clubs. </w:t>
      </w:r>
      <w:r w:rsidR="009E11F2" w:rsidRPr="0054671B">
        <w:t xml:space="preserve">This result is also similar </w:t>
      </w:r>
      <w:r w:rsidR="00927A40" w:rsidRPr="0054671B">
        <w:t>to</w:t>
      </w:r>
      <w:r w:rsidR="009E11F2" w:rsidRPr="0054671B">
        <w:t xml:space="preserve"> the finding of </w:t>
      </w:r>
      <w:r w:rsidR="009E11F2" w:rsidRPr="0054671B">
        <w:fldChar w:fldCharType="begin"/>
      </w:r>
      <w:r w:rsidR="009E11F2" w:rsidRPr="0054671B">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9E11F2" w:rsidRPr="0054671B">
        <w:fldChar w:fldCharType="separate"/>
      </w:r>
      <w:r w:rsidR="009E11F2" w:rsidRPr="0054671B">
        <w:rPr>
          <w:rFonts w:ascii="Calibri" w:hAnsi="Calibri" w:cs="Calibri"/>
        </w:rPr>
        <w:t>Baskoro et al. (2019)</w:t>
      </w:r>
      <w:r w:rsidR="009E11F2" w:rsidRPr="0054671B">
        <w:fldChar w:fldCharType="end"/>
      </w:r>
      <w:r w:rsidR="00927A40" w:rsidRPr="0054671B">
        <w:t>,</w:t>
      </w:r>
      <w:r w:rsidR="009E11F2" w:rsidRPr="0054671B">
        <w:t xml:space="preserve"> which concludes that the relatively higher wage in Foreign Direct Investment (FDI) companies is possibly explained by the higher productivity of labor, which represents </w:t>
      </w:r>
      <w:r w:rsidR="00927A40" w:rsidRPr="0054671B">
        <w:t xml:space="preserve">an </w:t>
      </w:r>
      <w:r w:rsidR="009E11F2" w:rsidRPr="0054671B">
        <w:t xml:space="preserve">improvement of labor skill and in line with the shift of Indonesian industrial character. </w:t>
      </w:r>
      <w:r w:rsidR="009E11F2" w:rsidRPr="0054671B">
        <w:fldChar w:fldCharType="begin"/>
      </w:r>
      <w:r w:rsidR="002E305F" w:rsidRPr="0054671B">
        <w:instrText xml:space="preserve"> ADDIN ZOTERO_ITEM CSL_CITATION {"citationID":"aXX9mH71","properties":{"formattedCitation":"(Lipsey &amp; Sjoholm, 2001)","plainCitation":"(Lipsey &amp; Sjoholm, 2001)","dontUpdate":true,"noteIndex":0},"citationItems":[{"id":367,"uris":["http://zotero.org/users/local/9Bu69DCL/items/Y9IVFSR8"],"uri":["http://zotero.org/users/local/9Bu69DCL/items/Y9IVFSR8"],"itemData":{"id":367,"type":"article-journal","note":"publisher: National Bureau of Economic Research Cambridge, Mass., USA","title":"Foreign direct investment and wages in Indonesian manufacturing","author":[{"family":"Lipsey","given":"Robert E"},{"family":"Sjoholm","given":"Fredrik"}],"issued":{"date-parts":[["2001"]]}}}],"schema":"https://github.com/citation-style-language/schema/raw/master/csl-citation.json"} </w:instrText>
      </w:r>
      <w:r w:rsidR="009E11F2" w:rsidRPr="0054671B">
        <w:fldChar w:fldCharType="separate"/>
      </w:r>
      <w:r w:rsidR="009E11F2" w:rsidRPr="0054671B">
        <w:rPr>
          <w:rFonts w:ascii="Calibri" w:hAnsi="Calibri" w:cs="Calibri"/>
        </w:rPr>
        <w:t>Lipsey &amp; Sjoholm (2001)</w:t>
      </w:r>
      <w:r w:rsidR="009E11F2" w:rsidRPr="0054671B">
        <w:fldChar w:fldCharType="end"/>
      </w:r>
      <w:r w:rsidR="009E11F2" w:rsidRPr="0054671B">
        <w:t xml:space="preserve"> </w:t>
      </w:r>
      <w:r w:rsidR="00927A40" w:rsidRPr="0054671B">
        <w:t>highlight the higher level of education of workers in foreign-owned firms as the main factor explaining why foreign-owned firms in Indonesia might pay a high price for labor.</w:t>
      </w:r>
      <w:r w:rsidR="00131B0B" w:rsidRPr="0054671B">
        <w:t xml:space="preserve"> </w:t>
      </w:r>
      <w:r w:rsidR="00111ECB" w:rsidRPr="0054671B">
        <w:t>Another</w:t>
      </w:r>
      <w:r w:rsidR="005F389A" w:rsidRPr="0054671B">
        <w:t xml:space="preserve"> reason </w:t>
      </w:r>
      <w:r w:rsidR="00131B0B" w:rsidRPr="0054671B">
        <w:t xml:space="preserve">is that foreign-owned firms wish to reduce employee turnover </w:t>
      </w:r>
      <w:r w:rsidR="005F389A" w:rsidRPr="0054671B">
        <w:t>to secure their technological advantages from being copied by their competitors.</w:t>
      </w:r>
      <w:r w:rsidR="00641E4B" w:rsidRPr="0054671B">
        <w:t xml:space="preserve"> </w:t>
      </w:r>
      <w:r w:rsidR="00C204D0" w:rsidRPr="0054671B">
        <w:t xml:space="preserve">The significance of investment in affecting regional wage also implies regional imbalance in economic development where investment activities are largely concentrated in a few provinces with better infrastructure, strategic geographical position, and natural resource endowment. For example, provinces like Jakarta, Banten, and Riau islands are in </w:t>
      </w:r>
      <w:r w:rsidR="00A04D07" w:rsidRPr="0054671B">
        <w:t>c</w:t>
      </w:r>
      <w:r w:rsidR="00C204D0" w:rsidRPr="0054671B">
        <w:t xml:space="preserve">lub 1 and have </w:t>
      </w:r>
      <w:r w:rsidR="00A04D07" w:rsidRPr="0054671B">
        <w:t>better</w:t>
      </w:r>
      <w:r w:rsidR="00C204D0" w:rsidRPr="0054671B">
        <w:t xml:space="preserve"> infrastructure</w:t>
      </w:r>
      <w:r w:rsidR="00A04D07" w:rsidRPr="0054671B">
        <w:t>s</w:t>
      </w:r>
      <w:r w:rsidR="00C204D0" w:rsidRPr="0054671B">
        <w:t xml:space="preserve"> than other provinces.</w:t>
      </w:r>
      <w:r w:rsidR="006701C7" w:rsidRPr="0054671B">
        <w:t xml:space="preserve"> </w:t>
      </w:r>
      <w:r w:rsidR="006701C7" w:rsidRPr="0054671B">
        <w:lastRenderedPageBreak/>
        <w:t>The</w:t>
      </w:r>
      <w:r w:rsidR="006F12C0" w:rsidRPr="0054671B">
        <w:t>se provinces</w:t>
      </w:r>
      <w:r w:rsidR="006701C7" w:rsidRPr="0054671B">
        <w:t xml:space="preserve"> also have strategic geographical location which surrounded by well</w:t>
      </w:r>
      <w:r w:rsidR="00D91B23" w:rsidRPr="0054671B">
        <w:t>-</w:t>
      </w:r>
      <w:r w:rsidR="006701C7" w:rsidRPr="0054671B">
        <w:t xml:space="preserve">managed transportation infrastructure, </w:t>
      </w:r>
      <w:r w:rsidR="007C1B8B" w:rsidRPr="0054671B">
        <w:t>and thus</w:t>
      </w:r>
      <w:r w:rsidR="006701C7" w:rsidRPr="0054671B">
        <w:t xml:space="preserve"> will in</w:t>
      </w:r>
      <w:r w:rsidR="007C1B8B" w:rsidRPr="0054671B">
        <w:t>duce</w:t>
      </w:r>
      <w:r w:rsidR="006701C7" w:rsidRPr="0054671B">
        <w:t xml:space="preserve"> higher labor and capital mobility</w:t>
      </w:r>
      <w:r w:rsidR="009D1933" w:rsidRPr="0054671B">
        <w:t xml:space="preserve">. </w:t>
      </w:r>
    </w:p>
    <w:p w14:paraId="16AD662B" w14:textId="05FF195F" w:rsidR="009559E9" w:rsidRPr="0054671B" w:rsidRDefault="006701C7" w:rsidP="009559E9">
      <w:pPr>
        <w:spacing w:after="0" w:line="360" w:lineRule="auto"/>
        <w:ind w:left="720" w:rightChars="1" w:right="2" w:firstLine="720"/>
        <w:jc w:val="both"/>
      </w:pPr>
      <w:r w:rsidRPr="0054671B">
        <w:t xml:space="preserve">On the other hand, labor force participation rate shows different </w:t>
      </w:r>
      <w:r w:rsidR="00594B7D" w:rsidRPr="0054671B">
        <w:t xml:space="preserve">effect in which the sign of </w:t>
      </w:r>
      <w:r w:rsidR="006A4B47" w:rsidRPr="0054671B">
        <w:t xml:space="preserve">the </w:t>
      </w:r>
      <w:r w:rsidR="00594B7D" w:rsidRPr="0054671B">
        <w:t>coefficient is negative</w:t>
      </w:r>
      <w:r w:rsidRPr="0054671B">
        <w:t xml:space="preserve"> in club 1 and club 2 while positive</w:t>
      </w:r>
      <w:r w:rsidR="00795B0D" w:rsidRPr="0054671B">
        <w:t xml:space="preserve"> </w:t>
      </w:r>
      <w:r w:rsidRPr="0054671B">
        <w:t xml:space="preserve">in club 3. </w:t>
      </w:r>
      <w:r w:rsidR="00755462" w:rsidRPr="0054671B">
        <w:t>This means that a higher labor force participation rate decreases the probability of being in higher wage clubs, reflecting the standard labor supply and demand condition.</w:t>
      </w:r>
      <w:r w:rsidRPr="0054671B">
        <w:t xml:space="preserve"> Higher labor supply relative to its demand leads to downside pressure on wage. </w:t>
      </w:r>
      <w:r w:rsidR="009559E9" w:rsidRPr="0054671B">
        <w:t xml:space="preserve">Similar to what is mentioned by </w:t>
      </w:r>
      <w:r w:rsidR="009559E9" w:rsidRPr="0054671B">
        <w:fldChar w:fldCharType="begin"/>
      </w:r>
      <w:r w:rsidR="00BF6189" w:rsidRPr="0054671B">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009559E9" w:rsidRPr="0054671B">
        <w:fldChar w:fldCharType="separate"/>
      </w:r>
      <w:r w:rsidR="009559E9" w:rsidRPr="0054671B">
        <w:rPr>
          <w:rFonts w:ascii="Calibri" w:hAnsi="Calibri" w:cs="Calibri"/>
        </w:rPr>
        <w:t>Herr (2002)</w:t>
      </w:r>
      <w:r w:rsidR="009559E9" w:rsidRPr="0054671B">
        <w:fldChar w:fldCharType="end"/>
      </w:r>
      <w:r w:rsidR="009559E9" w:rsidRPr="0054671B">
        <w:t>, we find evidence of</w:t>
      </w:r>
      <w:r w:rsidRPr="0054671B">
        <w:t xml:space="preserve"> negative relationship between wage and labor supply</w:t>
      </w:r>
      <w:r w:rsidR="009559E9" w:rsidRPr="0054671B">
        <w:t xml:space="preserve">. </w:t>
      </w:r>
    </w:p>
    <w:p w14:paraId="011E51E6" w14:textId="16D0F0D4" w:rsidR="00A27B4C" w:rsidRPr="0054671B" w:rsidRDefault="00B043D7" w:rsidP="009559E9">
      <w:pPr>
        <w:spacing w:after="0" w:line="360" w:lineRule="auto"/>
        <w:ind w:left="720" w:rightChars="1" w:right="2" w:firstLine="720"/>
        <w:jc w:val="both"/>
      </w:pPr>
      <w:r w:rsidRPr="0054671B">
        <w:t>The initial wage level shows a positive effect for club 1 and club 2, which means the probability of the province belonging to club 1 and club 2 is higher when the province had a higher initial wage level.</w:t>
      </w:r>
      <w:r w:rsidR="00A27B4C" w:rsidRPr="0054671B">
        <w:t xml:space="preserve"> Inversely, the negative effect for club 3 means that the province with </w:t>
      </w:r>
      <w:r w:rsidR="003959E2" w:rsidRPr="0054671B">
        <w:t xml:space="preserve">a </w:t>
      </w:r>
      <w:r w:rsidR="00A27B4C" w:rsidRPr="0054671B">
        <w:t xml:space="preserve">higher initial value of wage has a small probability </w:t>
      </w:r>
      <w:r w:rsidR="004C1B62" w:rsidRPr="0054671B">
        <w:t>of belonging</w:t>
      </w:r>
      <w:r w:rsidR="00A27B4C" w:rsidRPr="0054671B">
        <w:t xml:space="preserve"> in club 3. The effect of</w:t>
      </w:r>
      <w:r w:rsidR="004C1B62" w:rsidRPr="0054671B">
        <w:t xml:space="preserve"> the</w:t>
      </w:r>
      <w:r w:rsidR="00A27B4C" w:rsidRPr="0054671B">
        <w:t xml:space="preserve"> initial condition in our study is also in line with the finding of </w:t>
      </w:r>
      <w:r w:rsidR="00A27B4C" w:rsidRPr="0054671B">
        <w:fldChar w:fldCharType="begin"/>
      </w:r>
      <w:r w:rsidR="00A27B4C" w:rsidRPr="0054671B">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A27B4C" w:rsidRPr="0054671B">
        <w:fldChar w:fldCharType="separate"/>
      </w:r>
      <w:r w:rsidR="00A27B4C" w:rsidRPr="0054671B">
        <w:rPr>
          <w:rFonts w:ascii="Calibri" w:hAnsi="Calibri" w:cs="Calibri"/>
        </w:rPr>
        <w:t>Bartkowska &amp; Riedl (2012)</w:t>
      </w:r>
      <w:r w:rsidR="00A27B4C" w:rsidRPr="0054671B">
        <w:fldChar w:fldCharType="end"/>
      </w:r>
      <w:r w:rsidR="00A27B4C" w:rsidRPr="0054671B">
        <w:t xml:space="preserve">, </w:t>
      </w:r>
      <w:r w:rsidR="0026432A" w:rsidRPr="0054671B">
        <w:t>which shows that the region's initial state plays a crucial role in the European areas to determine which club they will belong to</w:t>
      </w:r>
      <w:r w:rsidR="00D978E9" w:rsidRPr="0054671B">
        <w:t>.</w:t>
      </w:r>
    </w:p>
    <w:p w14:paraId="446B30A1" w14:textId="4B4C52AD" w:rsidR="000A1900" w:rsidRPr="0054671B" w:rsidRDefault="001C0FCC" w:rsidP="00D352A6">
      <w:pPr>
        <w:spacing w:after="0" w:line="360" w:lineRule="auto"/>
        <w:ind w:left="720" w:rightChars="1" w:right="2" w:firstLine="720"/>
        <w:jc w:val="both"/>
      </w:pPr>
      <w:r w:rsidRPr="0054671B">
        <w:t xml:space="preserve">As for the last variable, although statistically insignificant, the size of </w:t>
      </w:r>
      <w:r w:rsidR="00D91B00">
        <w:t>economy, or GDP,</w:t>
      </w:r>
      <w:r w:rsidRPr="0054671B">
        <w:t xml:space="preserve"> shows a positive effect </w:t>
      </w:r>
      <w:r w:rsidR="00635964" w:rsidRPr="0054671B">
        <w:t>on</w:t>
      </w:r>
      <w:r w:rsidRPr="0054671B">
        <w:t xml:space="preserve"> higher-level wage clubs. This implies that the </w:t>
      </w:r>
      <w:r w:rsidR="00391B3B" w:rsidRPr="0054671B">
        <w:t xml:space="preserve">cross-sectional variation in regional wage in Indonesia is less connected to the </w:t>
      </w:r>
      <w:r w:rsidRPr="0054671B">
        <w:t xml:space="preserve">size of </w:t>
      </w:r>
      <w:r w:rsidR="003959E2" w:rsidRPr="0054671B">
        <w:t xml:space="preserve">the </w:t>
      </w:r>
      <w:r w:rsidRPr="0054671B">
        <w:t>economy</w:t>
      </w:r>
      <w:r w:rsidR="00391B3B" w:rsidRPr="0054671B">
        <w:t>. Instead, regional economic and labor market structures are the main factors that shape the level of regional wage.</w:t>
      </w:r>
    </w:p>
    <w:p w14:paraId="524FF743" w14:textId="77777777" w:rsidR="00D818F5" w:rsidRPr="0054671B" w:rsidRDefault="00D818F5" w:rsidP="009559E9">
      <w:pPr>
        <w:spacing w:after="0" w:line="360" w:lineRule="auto"/>
        <w:ind w:left="720" w:rightChars="1" w:right="2" w:firstLine="720"/>
        <w:jc w:val="both"/>
      </w:pPr>
    </w:p>
    <w:p w14:paraId="1B298340" w14:textId="6DE979C1" w:rsidR="00FF6253" w:rsidRPr="0054671B" w:rsidRDefault="00511618" w:rsidP="0065174F">
      <w:pPr>
        <w:pStyle w:val="ListParagraph"/>
        <w:numPr>
          <w:ilvl w:val="0"/>
          <w:numId w:val="2"/>
        </w:numPr>
        <w:rPr>
          <w:rFonts w:ascii="Bookman Old Style" w:eastAsia="Adobe Myungjo Std M" w:hAnsi="Bookman Old Style"/>
          <w:b/>
          <w:szCs w:val="18"/>
        </w:rPr>
      </w:pPr>
      <w:r w:rsidRPr="0054671B">
        <w:rPr>
          <w:rFonts w:ascii="Bookman Old Style" w:eastAsia="Adobe Myungjo Std M" w:hAnsi="Bookman Old Style" w:hint="eastAsia"/>
          <w:b/>
          <w:szCs w:val="18"/>
        </w:rPr>
        <w:t>C</w:t>
      </w:r>
      <w:r w:rsidRPr="0054671B">
        <w:rPr>
          <w:rFonts w:ascii="Bookman Old Style" w:eastAsia="Adobe Myungjo Std M" w:hAnsi="Bookman Old Style"/>
          <w:b/>
          <w:szCs w:val="18"/>
        </w:rPr>
        <w:t>onclusion</w:t>
      </w:r>
      <w:r w:rsidR="00A120D9" w:rsidRPr="0054671B">
        <w:rPr>
          <w:rFonts w:ascii="Bookman Old Style" w:eastAsia="Adobe Myungjo Std M" w:hAnsi="Bookman Old Style"/>
          <w:b/>
          <w:szCs w:val="18"/>
        </w:rPr>
        <w:t>s</w:t>
      </w:r>
    </w:p>
    <w:p w14:paraId="0F15A712" w14:textId="77777777" w:rsidR="006111ED" w:rsidRPr="0054671B" w:rsidRDefault="006111ED" w:rsidP="006111ED">
      <w:pPr>
        <w:pStyle w:val="ListParagraph"/>
        <w:rPr>
          <w:rFonts w:ascii="Bookman Old Style" w:eastAsia="Adobe Myungjo Std M" w:hAnsi="Bookman Old Style"/>
          <w:b/>
          <w:szCs w:val="18"/>
        </w:rPr>
      </w:pPr>
    </w:p>
    <w:p w14:paraId="1215A7E2" w14:textId="1E89C9D9" w:rsidR="00395A72" w:rsidRPr="0054671B" w:rsidRDefault="00311D34" w:rsidP="006111ED">
      <w:pPr>
        <w:pStyle w:val="ListParagraph"/>
        <w:spacing w:line="360" w:lineRule="auto"/>
        <w:jc w:val="both"/>
        <w:rPr>
          <w:rFonts w:eastAsia="Adobe Myungjo Std M" w:cstheme="minorHAnsi"/>
          <w:szCs w:val="18"/>
        </w:rPr>
      </w:pPr>
      <w:r w:rsidRPr="0054671B">
        <w:rPr>
          <w:rFonts w:eastAsia="Adobe Myungjo Std M" w:cstheme="minorHAnsi"/>
          <w:szCs w:val="18"/>
        </w:rPr>
        <w:t>This paper aims to empirically investigate the convergence of regional wages in Indonesia, a large and geographically diverse developing country.</w:t>
      </w:r>
      <w:r w:rsidR="00E730A3" w:rsidRPr="0054671B">
        <w:rPr>
          <w:rFonts w:eastAsia="Adobe Myungjo Std M" w:cstheme="minorHAnsi"/>
          <w:szCs w:val="18"/>
        </w:rPr>
        <w:t xml:space="preserve"> Specifically, we address two crucial questions in our empirical analysis. First, can we identify club convergence in regional wage in Indonesia despite the presence of prolonged wage disparity? Second, to what extent, regions specific characteristics influence the formation of club convergence? To achieve the goals, we divide our strategy into two main steps.</w:t>
      </w:r>
      <w:r w:rsidR="005720CD" w:rsidRPr="0054671B">
        <w:rPr>
          <w:rFonts w:eastAsia="Adobe Myungjo Std M" w:cstheme="minorHAnsi"/>
          <w:szCs w:val="18"/>
        </w:rPr>
        <w:t xml:space="preserve"> </w:t>
      </w:r>
      <w:r w:rsidR="005E2F90" w:rsidRPr="0054671B">
        <w:rPr>
          <w:rFonts w:eastAsia="Adobe Myungjo Std M" w:cstheme="minorHAnsi"/>
          <w:szCs w:val="18"/>
        </w:rPr>
        <w:t xml:space="preserve"> </w:t>
      </w:r>
      <w:r w:rsidR="002C2D66" w:rsidRPr="0054671B">
        <w:rPr>
          <w:rFonts w:eastAsia="Adobe Myungjo Std M" w:cstheme="minorHAnsi"/>
          <w:szCs w:val="18"/>
        </w:rPr>
        <w:t>First,</w:t>
      </w:r>
      <w:r w:rsidR="00C05F37" w:rsidRPr="0054671B">
        <w:rPr>
          <w:rFonts w:eastAsia="Adobe Myungjo Std M" w:cstheme="minorHAnsi"/>
          <w:szCs w:val="18"/>
        </w:rPr>
        <w:t xml:space="preserve"> using log </w:t>
      </w:r>
      <w:r w:rsidR="00C05F37" w:rsidRPr="0054671B">
        <w:rPr>
          <w:rFonts w:eastAsia="Adobe Myungjo Std M" w:cstheme="minorHAnsi"/>
          <w:i/>
          <w:iCs/>
          <w:szCs w:val="18"/>
        </w:rPr>
        <w:t>t</w:t>
      </w:r>
      <w:r w:rsidR="00C05F37" w:rsidRPr="0054671B">
        <w:rPr>
          <w:rFonts w:eastAsia="Adobe Myungjo Std M" w:cstheme="minorHAnsi"/>
          <w:szCs w:val="18"/>
        </w:rPr>
        <w:t xml:space="preserve"> regression developed by </w:t>
      </w:r>
      <w:r w:rsidR="00C05F37" w:rsidRPr="0054671B">
        <w:rPr>
          <w:rFonts w:eastAsia="Adobe Myungjo Std M" w:cstheme="minorHAnsi"/>
          <w:szCs w:val="18"/>
        </w:rPr>
        <w:fldChar w:fldCharType="begin"/>
      </w:r>
      <w:r w:rsidR="00C05F37" w:rsidRPr="0054671B">
        <w:rPr>
          <w:rFonts w:eastAsia="Adobe Myungjo Std M" w:cstheme="minorHAnsi"/>
          <w:szCs w:val="18"/>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C05F37" w:rsidRPr="0054671B">
        <w:rPr>
          <w:rFonts w:eastAsia="Adobe Myungjo Std M" w:cstheme="minorHAnsi"/>
          <w:szCs w:val="18"/>
        </w:rPr>
        <w:fldChar w:fldCharType="separate"/>
      </w:r>
      <w:r w:rsidR="00C05F37" w:rsidRPr="0054671B">
        <w:rPr>
          <w:rFonts w:ascii="Calibri" w:hAnsi="Calibri" w:cs="Calibri"/>
        </w:rPr>
        <w:t>Phillips &amp; Sul (2007, 2009)</w:t>
      </w:r>
      <w:r w:rsidR="00C05F37" w:rsidRPr="0054671B">
        <w:rPr>
          <w:rFonts w:eastAsia="Adobe Myungjo Std M" w:cstheme="minorHAnsi"/>
          <w:szCs w:val="18"/>
        </w:rPr>
        <w:fldChar w:fldCharType="end"/>
      </w:r>
      <w:r w:rsidR="00C05F37" w:rsidRPr="0054671B">
        <w:rPr>
          <w:rFonts w:eastAsia="Adobe Myungjo Std M" w:cstheme="minorHAnsi"/>
          <w:szCs w:val="18"/>
        </w:rPr>
        <w:t xml:space="preserve">, </w:t>
      </w:r>
      <w:r w:rsidR="002C2D66" w:rsidRPr="0054671B">
        <w:rPr>
          <w:rFonts w:eastAsia="Adobe Myungjo Std M" w:cstheme="minorHAnsi"/>
          <w:szCs w:val="18"/>
        </w:rPr>
        <w:t>we</w:t>
      </w:r>
      <w:r w:rsidR="00C05F37" w:rsidRPr="0054671B">
        <w:rPr>
          <w:rFonts w:eastAsia="Adobe Myungjo Std M" w:cstheme="minorHAnsi"/>
          <w:szCs w:val="18"/>
        </w:rPr>
        <w:t xml:space="preserve"> test whether regional wage converge to a common steady state</w:t>
      </w:r>
      <w:r w:rsidR="002C2D66" w:rsidRPr="0054671B">
        <w:rPr>
          <w:rFonts w:eastAsia="Adobe Myungjo Std M" w:cstheme="minorHAnsi"/>
          <w:szCs w:val="18"/>
        </w:rPr>
        <w:t xml:space="preserve">. </w:t>
      </w:r>
      <w:r w:rsidR="00C05F37" w:rsidRPr="0054671B">
        <w:rPr>
          <w:rFonts w:eastAsia="Adobe Myungjo Std M" w:cstheme="minorHAnsi"/>
          <w:szCs w:val="18"/>
        </w:rPr>
        <w:t xml:space="preserve">In the absence of overall convergence, we further check for the presence of club convergence. </w:t>
      </w:r>
      <w:r w:rsidR="002C2D66" w:rsidRPr="0054671B">
        <w:rPr>
          <w:rFonts w:eastAsia="Adobe Myungjo Std M" w:cstheme="minorHAnsi"/>
          <w:szCs w:val="18"/>
        </w:rPr>
        <w:t xml:space="preserve">Second, we </w:t>
      </w:r>
      <w:r w:rsidR="00C05F37" w:rsidRPr="0054671B">
        <w:rPr>
          <w:rFonts w:eastAsia="Adobe Myungjo Std M" w:cstheme="minorHAnsi"/>
          <w:szCs w:val="18"/>
        </w:rPr>
        <w:t>investigate</w:t>
      </w:r>
      <w:r w:rsidR="00BF6189" w:rsidRPr="0054671B">
        <w:rPr>
          <w:rFonts w:eastAsia="Adobe Myungjo Std M" w:cstheme="minorHAnsi"/>
          <w:szCs w:val="18"/>
        </w:rPr>
        <w:t xml:space="preserve"> </w:t>
      </w:r>
      <w:r w:rsidR="00FE2876" w:rsidRPr="0054671B">
        <w:rPr>
          <w:rFonts w:eastAsia="Adobe Myungjo Std M" w:cstheme="minorHAnsi"/>
          <w:szCs w:val="18"/>
        </w:rPr>
        <w:t>essential</w:t>
      </w:r>
      <w:r w:rsidR="00C05F37" w:rsidRPr="0054671B">
        <w:rPr>
          <w:rFonts w:eastAsia="Adobe Myungjo Std M" w:cstheme="minorHAnsi"/>
          <w:szCs w:val="18"/>
        </w:rPr>
        <w:t xml:space="preserve"> </w:t>
      </w:r>
      <w:r w:rsidR="00BF6189" w:rsidRPr="0054671B">
        <w:rPr>
          <w:rFonts w:eastAsia="Adobe Myungjo Std M" w:cstheme="minorHAnsi"/>
          <w:szCs w:val="18"/>
        </w:rPr>
        <w:t>factors</w:t>
      </w:r>
      <w:r w:rsidR="00C05F37" w:rsidRPr="0054671B">
        <w:rPr>
          <w:rFonts w:eastAsia="Adobe Myungjo Std M" w:cstheme="minorHAnsi"/>
          <w:szCs w:val="18"/>
        </w:rPr>
        <w:t xml:space="preserve"> that influence club</w:t>
      </w:r>
      <w:r w:rsidR="00BF6189" w:rsidRPr="0054671B">
        <w:rPr>
          <w:rFonts w:eastAsia="Adobe Myungjo Std M" w:cstheme="minorHAnsi"/>
          <w:szCs w:val="18"/>
        </w:rPr>
        <w:t xml:space="preserve"> convergence formation.</w:t>
      </w:r>
      <w:r w:rsidR="002C2D66" w:rsidRPr="0054671B">
        <w:rPr>
          <w:rFonts w:eastAsia="Adobe Myungjo Std M" w:cstheme="minorHAnsi"/>
          <w:szCs w:val="18"/>
        </w:rPr>
        <w:t xml:space="preserve"> </w:t>
      </w:r>
    </w:p>
    <w:p w14:paraId="7775D276" w14:textId="7F2AEEA7" w:rsidR="006F66A7" w:rsidRPr="0054671B" w:rsidRDefault="00CA4A4A" w:rsidP="0065174F">
      <w:pPr>
        <w:pStyle w:val="ListParagraph"/>
        <w:spacing w:line="360" w:lineRule="auto"/>
        <w:ind w:firstLine="720"/>
        <w:jc w:val="both"/>
      </w:pPr>
      <w:r w:rsidRPr="0054671B">
        <w:rPr>
          <w:rFonts w:eastAsia="Adobe Myungjo Std M" w:cstheme="minorHAnsi"/>
          <w:szCs w:val="18"/>
        </w:rPr>
        <w:lastRenderedPageBreak/>
        <w:t>Our results from the first step show three significant clubs representing the convergence dynamics of regional wage across Indonesian provinces</w:t>
      </w:r>
      <w:r w:rsidR="00BD316C" w:rsidRPr="0054671B">
        <w:rPr>
          <w:rFonts w:eastAsia="Adobe Myungjo Std M" w:cstheme="minorHAnsi"/>
          <w:szCs w:val="18"/>
        </w:rPr>
        <w:t>;</w:t>
      </w:r>
      <w:r w:rsidR="00CF6554" w:rsidRPr="0054671B">
        <w:t xml:space="preserve"> </w:t>
      </w:r>
      <w:r w:rsidR="00BD316C" w:rsidRPr="0054671B">
        <w:t>t</w:t>
      </w:r>
      <w:r w:rsidR="00886EAE" w:rsidRPr="0054671B">
        <w:t>hree</w:t>
      </w:r>
      <w:r w:rsidR="00CF6554" w:rsidRPr="0054671B">
        <w:t xml:space="preserve"> provinces clustered in club 1</w:t>
      </w:r>
      <w:r w:rsidR="003515FC" w:rsidRPr="0054671B">
        <w:t xml:space="preserve">; </w:t>
      </w:r>
      <w:r w:rsidR="00886EAE" w:rsidRPr="0054671B">
        <w:t>nine</w:t>
      </w:r>
      <w:r w:rsidR="003515FC" w:rsidRPr="0054671B">
        <w:t xml:space="preserve"> provinces</w:t>
      </w:r>
      <w:r w:rsidR="00CF6554" w:rsidRPr="0054671B">
        <w:t xml:space="preserve"> in club 2</w:t>
      </w:r>
      <w:r w:rsidR="003515FC" w:rsidRPr="0054671B">
        <w:t xml:space="preserve">; </w:t>
      </w:r>
      <w:r w:rsidR="00CF6554" w:rsidRPr="0054671B">
        <w:t xml:space="preserve">and </w:t>
      </w:r>
      <w:r w:rsidR="00886EAE" w:rsidRPr="0054671B">
        <w:t>twenty</w:t>
      </w:r>
      <w:r w:rsidR="00234719" w:rsidRPr="0054671B">
        <w:t>-</w:t>
      </w:r>
      <w:r w:rsidR="00886EAE" w:rsidRPr="0054671B">
        <w:t>two</w:t>
      </w:r>
      <w:r w:rsidR="003515FC" w:rsidRPr="0054671B">
        <w:t xml:space="preserve"> provinces</w:t>
      </w:r>
      <w:r w:rsidR="00CF6554" w:rsidRPr="0054671B">
        <w:t xml:space="preserve"> in club 3</w:t>
      </w:r>
      <w:r w:rsidR="003515FC" w:rsidRPr="0054671B">
        <w:t xml:space="preserve">. Overall, </w:t>
      </w:r>
      <w:r w:rsidR="00D217D3" w:rsidRPr="0054671B">
        <w:t xml:space="preserve">the results from our initial investigation </w:t>
      </w:r>
      <w:r w:rsidR="003515FC" w:rsidRPr="0054671B">
        <w:t>impl</w:t>
      </w:r>
      <w:r w:rsidR="0023744E" w:rsidRPr="0054671B">
        <w:t>y</w:t>
      </w:r>
      <w:r w:rsidR="003515FC" w:rsidRPr="0054671B">
        <w:t xml:space="preserve"> that </w:t>
      </w:r>
      <w:r w:rsidR="001C0B5F" w:rsidRPr="0054671B">
        <w:t xml:space="preserve">based on the </w:t>
      </w:r>
      <w:r w:rsidR="00D217D3" w:rsidRPr="0054671B">
        <w:t>long-run dynamics</w:t>
      </w:r>
      <w:r w:rsidR="001C0B5F" w:rsidRPr="0054671B">
        <w:t xml:space="preserve"> </w:t>
      </w:r>
      <w:r w:rsidR="003515FC" w:rsidRPr="0054671B">
        <w:t xml:space="preserve">of </w:t>
      </w:r>
      <w:r w:rsidR="00D217D3" w:rsidRPr="0054671B">
        <w:t xml:space="preserve">regional real </w:t>
      </w:r>
      <w:r w:rsidR="003515FC" w:rsidRPr="0054671B">
        <w:t>wage</w:t>
      </w:r>
      <w:r w:rsidR="001C0B5F" w:rsidRPr="0054671B">
        <w:t xml:space="preserve"> from </w:t>
      </w:r>
      <w:r w:rsidR="00BD316C" w:rsidRPr="0054671B">
        <w:t xml:space="preserve">the </w:t>
      </w:r>
      <w:r w:rsidR="001C0B5F" w:rsidRPr="0054671B">
        <w:t xml:space="preserve">2008-2020 period, </w:t>
      </w:r>
      <w:r w:rsidR="003515FC" w:rsidRPr="0054671B">
        <w:t xml:space="preserve">Indonesian provinces </w:t>
      </w:r>
      <w:r w:rsidR="001C0B5F" w:rsidRPr="0054671B">
        <w:t>can be clustered</w:t>
      </w:r>
      <w:r w:rsidR="003515FC" w:rsidRPr="0054671B">
        <w:t xml:space="preserve"> into three </w:t>
      </w:r>
      <w:r w:rsidR="001C0B5F" w:rsidRPr="0054671B">
        <w:t>club convergence</w:t>
      </w:r>
      <w:r w:rsidR="003515FC" w:rsidRPr="0054671B">
        <w:t xml:space="preserve">. </w:t>
      </w:r>
      <w:r w:rsidR="009B3F47" w:rsidRPr="0054671B">
        <w:t xml:space="preserve">The presence of club convergence from our result is similar to the finding of </w:t>
      </w:r>
      <w:r w:rsidR="004C5458" w:rsidRPr="0054671B">
        <w:fldChar w:fldCharType="begin"/>
      </w:r>
      <w:r w:rsidR="00BA7897" w:rsidRPr="0054671B">
        <w:instrText xml:space="preserve"> ADDIN ZOTERO_ITEM CSL_CITATION {"citationID":"LGENxbW1","properties":{"formattedCitation":"(Neagu, 2020)","plainCitation":"(Neagu, 2020)","dontUpdate":true,"noteIndex":0},"citationItems":[{"id":372,"uris":["http://zotero.org/users/local/9Bu69DCL/items/267PF3Q2"],"uri":["http://zotero.org/users/local/9Bu69DCL/items/267PF3Q2"],"itemData":{"id":372,"type":"article-journal","container-title":"Studia Universitatis Vasile Goldiş, Arad-Seria Ştiinţe Economice","ISSN":"1584-2339","issue":"3","journalAbbreviation":"Studia Universitatis Vasile Goldiş, Arad-Seria Ştiinţe Economice","note":"publisher: Editura Universităţii Vasile Goldiş","page":"108-117","title":"Real Wage Convergence in Romania: Empirical Evidence Based on Club Converging","volume":"30","author":[{"family":"Neagu","given":"Olimpia"}],"issued":{"date-parts":[["2020"]]}}}],"schema":"https://github.com/citation-style-language/schema/raw/master/csl-citation.json"} </w:instrText>
      </w:r>
      <w:r w:rsidR="004C5458" w:rsidRPr="0054671B">
        <w:fldChar w:fldCharType="separate"/>
      </w:r>
      <w:r w:rsidR="004C5458" w:rsidRPr="0054671B">
        <w:rPr>
          <w:rFonts w:ascii="Calibri" w:hAnsi="Calibri" w:cs="Calibri"/>
        </w:rPr>
        <w:t>Neagu (2020)</w:t>
      </w:r>
      <w:r w:rsidR="004C5458" w:rsidRPr="0054671B">
        <w:fldChar w:fldCharType="end"/>
      </w:r>
      <w:r w:rsidR="004C5458" w:rsidRPr="0054671B">
        <w:t xml:space="preserve"> in the context of regional wage analysis in Romania.</w:t>
      </w:r>
    </w:p>
    <w:p w14:paraId="7FC7618A" w14:textId="6FB19F6E" w:rsidR="00886EAE" w:rsidRPr="0054671B" w:rsidRDefault="00BD316C" w:rsidP="00575A0B">
      <w:pPr>
        <w:pStyle w:val="ListParagraph"/>
        <w:spacing w:after="0" w:line="360" w:lineRule="auto"/>
        <w:ind w:firstLine="720"/>
        <w:contextualSpacing w:val="0"/>
        <w:jc w:val="both"/>
      </w:pPr>
      <w:r w:rsidRPr="0054671B">
        <w:t xml:space="preserve">In the second part, the results from the ordered logit model show that regional </w:t>
      </w:r>
      <w:r w:rsidR="00102B6A">
        <w:t xml:space="preserve">characteristics related to </w:t>
      </w:r>
      <w:r w:rsidRPr="0054671B">
        <w:t xml:space="preserve">labor market conditions </w:t>
      </w:r>
      <w:r w:rsidR="00153953">
        <w:t xml:space="preserve">largely </w:t>
      </w:r>
      <w:r w:rsidRPr="0054671B">
        <w:t xml:space="preserve">explain the formation of club convergence in provincial wages. </w:t>
      </w:r>
      <w:r w:rsidR="003515FC" w:rsidRPr="0054671B">
        <w:t>The variables such as manufacture employment share, investment</w:t>
      </w:r>
      <w:r w:rsidR="00BF6189" w:rsidRPr="0054671B">
        <w:t xml:space="preserve"> to GDP ratio</w:t>
      </w:r>
      <w:r w:rsidR="003515FC" w:rsidRPr="0054671B">
        <w:t>, labor force participation</w:t>
      </w:r>
      <w:r w:rsidR="00904C72" w:rsidRPr="0054671B">
        <w:t>,</w:t>
      </w:r>
      <w:r w:rsidR="009C3294" w:rsidRPr="0054671B">
        <w:t xml:space="preserve"> and the initial condition of wage</w:t>
      </w:r>
      <w:r w:rsidR="003515FC" w:rsidRPr="0054671B">
        <w:t xml:space="preserve"> </w:t>
      </w:r>
      <w:r w:rsidR="00BF6189" w:rsidRPr="0054671B">
        <w:t>significantly influence the convergence club formation, while</w:t>
      </w:r>
      <w:r w:rsidR="003515FC" w:rsidRPr="0054671B">
        <w:t xml:space="preserve"> </w:t>
      </w:r>
      <w:r w:rsidR="00153953">
        <w:t>the size of the economy, or GDP,</w:t>
      </w:r>
      <w:r w:rsidR="00BF6189" w:rsidRPr="0054671B">
        <w:t xml:space="preserve"> </w:t>
      </w:r>
      <w:r w:rsidR="000D75FC">
        <w:t>exhibits</w:t>
      </w:r>
      <w:r w:rsidR="003515FC" w:rsidRPr="0054671B">
        <w:t xml:space="preserve"> insignificant</w:t>
      </w:r>
      <w:r w:rsidR="000D75FC">
        <w:t xml:space="preserve"> effe</w:t>
      </w:r>
      <w:r w:rsidR="00213D4A">
        <w:t>ct</w:t>
      </w:r>
      <w:r w:rsidR="000D75FC">
        <w:t>s</w:t>
      </w:r>
      <w:r w:rsidR="00BF6189" w:rsidRPr="0054671B">
        <w:t>.</w:t>
      </w:r>
      <w:r w:rsidR="0027131A" w:rsidRPr="0054671B">
        <w:t xml:space="preserve"> </w:t>
      </w:r>
      <w:r w:rsidR="00DF2F15" w:rsidRPr="0054671B">
        <w:t xml:space="preserve">Our findings are not only compatible with the theoretical underpinnings of the convergence concept, but they are also comparable to </w:t>
      </w:r>
      <w:r w:rsidR="0044023B">
        <w:t>the</w:t>
      </w:r>
      <w:r w:rsidR="00FA2F6B">
        <w:t xml:space="preserve"> previous</w:t>
      </w:r>
      <w:r w:rsidR="00DF2F15" w:rsidRPr="0054671B">
        <w:t xml:space="preserve"> club convergence investigations</w:t>
      </w:r>
      <w:r w:rsidR="0044023B">
        <w:t xml:space="preserve"> </w:t>
      </w:r>
      <w:r w:rsidR="0027131A" w:rsidRPr="0054671B">
        <w:fldChar w:fldCharType="begin"/>
      </w:r>
      <w:r w:rsidR="00BA7897" w:rsidRPr="0054671B">
        <w:instrText xml:space="preserve"> ADDIN ZOTERO_ITEM CSL_CITATION {"citationID":"kPAi6fJU","properties":{"formattedCitation":"(Bartkowska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27131A" w:rsidRPr="0054671B">
        <w:fldChar w:fldCharType="separate"/>
      </w:r>
      <w:r w:rsidR="0027131A" w:rsidRPr="0054671B">
        <w:rPr>
          <w:rFonts w:ascii="Calibri" w:hAnsi="Calibri" w:cs="Calibri"/>
        </w:rPr>
        <w:t>(Bartkowska &amp; Riedl, 2012; Cutrini, 2019; Von Lyncker &amp; Thoennessen, 2017)</w:t>
      </w:r>
      <w:r w:rsidR="0027131A" w:rsidRPr="0054671B">
        <w:fldChar w:fldCharType="end"/>
      </w:r>
      <w:r w:rsidR="0027131A" w:rsidRPr="0054671B">
        <w:t>.</w:t>
      </w:r>
    </w:p>
    <w:p w14:paraId="76CC396E" w14:textId="781540D9" w:rsidR="00D85A56" w:rsidRPr="00BA6A90" w:rsidRDefault="00D85A56" w:rsidP="00D85A56">
      <w:pPr>
        <w:spacing w:after="0" w:line="360" w:lineRule="auto"/>
        <w:ind w:left="720" w:rightChars="1" w:right="2" w:firstLine="720"/>
        <w:jc w:val="both"/>
      </w:pPr>
      <w:r w:rsidRPr="0054671B">
        <w:t xml:space="preserve">Taken together, our results suggest four key points </w:t>
      </w:r>
      <w:r w:rsidR="001C1872" w:rsidRPr="0054671B">
        <w:t>concerning</w:t>
      </w:r>
      <w:r w:rsidRPr="0054671B">
        <w:t xml:space="preserve"> policy implication</w:t>
      </w:r>
      <w:r w:rsidR="001C1872" w:rsidRPr="0054671B">
        <w:t>s</w:t>
      </w:r>
      <w:r w:rsidRPr="0054671B">
        <w:t xml:space="preserve"> in reducing wage disparity across Indonesian provinces. First, it is imperative to promote the development </w:t>
      </w:r>
      <w:r w:rsidR="00B026AB" w:rsidRPr="0054671B">
        <w:t xml:space="preserve">of </w:t>
      </w:r>
      <w:r w:rsidRPr="0054671B">
        <w:t>manufacturing industries throughout all provinces. Manufacturing sectors would attract skill</w:t>
      </w:r>
      <w:r w:rsidR="00E31921" w:rsidRPr="0054671B">
        <w:t>ed</w:t>
      </w:r>
      <w:r w:rsidRPr="0054671B">
        <w:t xml:space="preserve"> workers from different places and could bring positive technical spillovers to local workers. </w:t>
      </w:r>
      <w:r w:rsidR="001C1872" w:rsidRPr="0054671B">
        <w:t>In turn, this would create a trickle-down effect that tends to help reduce wage disparity, as in the case of India</w:t>
      </w:r>
      <w:r w:rsidRPr="0054671B">
        <w:t xml:space="preserve"> </w:t>
      </w:r>
      <w:r w:rsidRPr="0054671B">
        <w:fldChar w:fldCharType="begin"/>
      </w:r>
      <w:r w:rsidRPr="0054671B">
        <w:instrText xml:space="preserve"> ADDIN ZOTERO_ITEM CSL_CITATION {"citationID":"DQiIgg2A","properties":{"formattedCitation":"(Jain, 2018)","plainCitation":"(Jain, 2018)","noteIndex":0},"citationItems":[{"id":368,"uris":["http://zotero.org/users/local/9Bu69DCL/items/DIEKW5V7"],"uri":["http://zotero.org/users/local/9Bu69DCL/items/DIEKW5V7"],"itemData":{"id":368,"type":"article-journal","container-title":"The Indian Journal of Labour Economics","ISSN":"0019-5308","issue":"2","journalAbbreviation":"The Indian Journal of Labour Economics","note":"publisher: Springer","page":"299-320","title":"Technological Change, Skill Supply and Wage Distribution: Comparison of High-Technology and Low-Technology Industries in India","volume":"61","author":[{"family":"Jain","given":"Hansa"}],"issued":{"date-parts":[["2018"]]}}}],"schema":"https://github.com/citation-style-language/schema/raw/master/csl-citation.json"} </w:instrText>
      </w:r>
      <w:r w:rsidRPr="0054671B">
        <w:fldChar w:fldCharType="separate"/>
      </w:r>
      <w:r w:rsidRPr="0054671B">
        <w:rPr>
          <w:rFonts w:ascii="Calibri" w:hAnsi="Calibri" w:cs="Calibri"/>
        </w:rPr>
        <w:t>(Jain, 2018)</w:t>
      </w:r>
      <w:r w:rsidRPr="0054671B">
        <w:fldChar w:fldCharType="end"/>
      </w:r>
      <w:r w:rsidRPr="0054671B">
        <w:t>. Second, boosting investment is equally important, not to mention attracting inward FDI. Technology spillovers and demand creation effects brought by FDI firms would positively influence the productivity of local firms and workers, leading to improved wage level</w:t>
      </w:r>
      <w:r w:rsidR="009C3CA6" w:rsidRPr="0054671B">
        <w:t>s</w:t>
      </w:r>
      <w:r w:rsidRPr="0054671B">
        <w:t xml:space="preserve">. Third, reducing wage differentials across regions requires convergence in education. </w:t>
      </w:r>
      <w:r w:rsidR="009C70AE" w:rsidRPr="0054671B">
        <w:t>Therefore, improving education quality in less developed regions should become a priority and promote industrialization and investment to guarantee the provision of educated labor and skilled workers.</w:t>
      </w:r>
      <w:r w:rsidRPr="0054671B">
        <w:t xml:space="preserve"> </w:t>
      </w:r>
      <w:r w:rsidR="00C576A2" w:rsidRPr="0054671B">
        <w:t>Finally, the Indonesian government needs, both national and locals, to continue enhancing healthy competition in the regional labor market to promote efficiency in resource all</w:t>
      </w:r>
      <w:r w:rsidR="00C576A2" w:rsidRPr="00BA6A90">
        <w:t>ocation across regions.</w:t>
      </w:r>
    </w:p>
    <w:p w14:paraId="58CB6C81" w14:textId="756A0892" w:rsidR="00183DD0" w:rsidRPr="0054671B" w:rsidRDefault="00741F8B" w:rsidP="00D85A56">
      <w:pPr>
        <w:spacing w:after="0" w:line="360" w:lineRule="auto"/>
        <w:ind w:left="720" w:rightChars="1" w:right="2" w:firstLine="720"/>
        <w:jc w:val="both"/>
        <w:sectPr w:rsidR="00183DD0" w:rsidRPr="0054671B">
          <w:pgSz w:w="12240" w:h="15840"/>
          <w:pgMar w:top="1440" w:right="1440" w:bottom="1440" w:left="1440" w:header="720" w:footer="720" w:gutter="0"/>
          <w:cols w:space="720"/>
          <w:docGrid w:linePitch="360"/>
        </w:sectPr>
      </w:pPr>
      <w:r w:rsidRPr="00BA6A90">
        <w:t>One limitation of t</w:t>
      </w:r>
      <w:r w:rsidR="00CE417D" w:rsidRPr="00BA6A90">
        <w:t>his study, however,</w:t>
      </w:r>
      <w:r w:rsidR="005A0EE7" w:rsidRPr="00BA6A90">
        <w:t xml:space="preserve"> </w:t>
      </w:r>
      <w:r w:rsidRPr="00BA6A90">
        <w:t>is</w:t>
      </w:r>
      <w:r w:rsidRPr="0054671B">
        <w:t xml:space="preserve"> the r</w:t>
      </w:r>
      <w:r w:rsidR="009C70AE" w:rsidRPr="0054671B">
        <w:t xml:space="preserve">elatively </w:t>
      </w:r>
      <w:r w:rsidRPr="0054671B">
        <w:t xml:space="preserve">short </w:t>
      </w:r>
      <w:r w:rsidR="00CE417D" w:rsidRPr="0054671B">
        <w:t xml:space="preserve">observation timeframe to study </w:t>
      </w:r>
      <w:r w:rsidR="00F6413A" w:rsidRPr="0054671B">
        <w:t>wage convergence.</w:t>
      </w:r>
      <w:r w:rsidR="00222370" w:rsidRPr="0054671B">
        <w:t xml:space="preserve"> This may have an impact on the estimation of club convergence, as the power of the log </w:t>
      </w:r>
      <w:r w:rsidR="00222370" w:rsidRPr="0054671B">
        <w:rPr>
          <w:i/>
          <w:iCs/>
        </w:rPr>
        <w:t>t</w:t>
      </w:r>
      <w:r w:rsidR="0055597E" w:rsidRPr="0054671B">
        <w:t>-</w:t>
      </w:r>
      <w:r w:rsidR="00222370" w:rsidRPr="0054671B">
        <w:t>test falls as the time dimension shortens</w:t>
      </w:r>
      <w:r w:rsidR="00F6413A" w:rsidRPr="0054671B">
        <w:t xml:space="preserve"> </w:t>
      </w:r>
      <w:r w:rsidR="00F6413A" w:rsidRPr="0054671B">
        <w:fldChar w:fldCharType="begin"/>
      </w:r>
      <w:r w:rsidR="00222370" w:rsidRPr="0054671B">
        <w:instrText xml:space="preserve"> ADDIN ZOTERO_ITEM CSL_CITATION {"citationID":"ZTpLilRy","properties":{"formattedCitation":"(Phillips &amp; Sul, 2007, 2009; Von Lyncker &amp; Thoennessen, 2017)","plainCitation":"(Phillips &amp; Sul, 2007, 2009; Von Lyncker &amp; Thoennessen, 2017)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F6413A" w:rsidRPr="0054671B">
        <w:fldChar w:fldCharType="separate"/>
      </w:r>
      <w:r w:rsidR="00222370" w:rsidRPr="0054671B">
        <w:rPr>
          <w:rFonts w:ascii="Calibri" w:hAnsi="Calibri" w:cs="Calibri"/>
        </w:rPr>
        <w:t xml:space="preserve">(Phillips &amp; Sul, 2007, 2009; Von </w:t>
      </w:r>
      <w:r w:rsidR="00222370" w:rsidRPr="0054671B">
        <w:rPr>
          <w:rFonts w:ascii="Calibri" w:hAnsi="Calibri" w:cs="Calibri"/>
        </w:rPr>
        <w:lastRenderedPageBreak/>
        <w:t>Lyncker &amp; Thoennessen, 2017)</w:t>
      </w:r>
      <w:r w:rsidR="00F6413A" w:rsidRPr="0054671B">
        <w:fldChar w:fldCharType="end"/>
      </w:r>
      <w:r w:rsidR="00222370" w:rsidRPr="0054671B">
        <w:t xml:space="preserve">. </w:t>
      </w:r>
      <w:r w:rsidR="00D96E18" w:rsidRPr="0054671B">
        <w:t>Furthermore, based on the geographical distribution of the clubs</w:t>
      </w:r>
      <w:r w:rsidRPr="0054671B">
        <w:t xml:space="preserve">, </w:t>
      </w:r>
      <w:r w:rsidR="00391570" w:rsidRPr="0054671B">
        <w:t>one is</w:t>
      </w:r>
      <w:r w:rsidRPr="0054671B">
        <w:t xml:space="preserve"> tempted to conclude that real wage in Sumatra island converge</w:t>
      </w:r>
      <w:r w:rsidR="00391570" w:rsidRPr="0054671B">
        <w:t xml:space="preserve"> perfectly to club 3, except Riau islands. This might not be the case when the spatial unit used is</w:t>
      </w:r>
      <w:r w:rsidR="0068516E" w:rsidRPr="0054671B">
        <w:t xml:space="preserve"> </w:t>
      </w:r>
      <w:r w:rsidR="00391570" w:rsidRPr="0054671B">
        <w:t xml:space="preserve">district level, as observed in the context of regional income convergence in Indonesia </w:t>
      </w:r>
      <w:r w:rsidR="00391570" w:rsidRPr="0054671B">
        <w:fldChar w:fldCharType="begin"/>
      </w:r>
      <w:r w:rsidR="00391570" w:rsidRPr="0054671B">
        <w:instrText xml:space="preserve"> ADDIN ZOTERO_ITEM CSL_CITATION {"citationID":"aYh2EphC","properties":{"formattedCitation":"(Santos-Marquez et al., 2021)","plainCitation":"(Santos-Marquez et al., 2021)","noteIndex":0},"citationItems":[{"id":371,"uris":["http://zotero.org/users/local/9Bu69DCL/items/XVHTNQAD"],"uri":["http://zotero.org/users/local/9Bu69DCL/items/XVHTNQAD"],"itemData":{"id":371,"type":"article-journal","container-title":"GeoJournal","ISSN":"1572-9893","journalAbbreviation":"GeoJournal","note":"publisher: Springer","page":"1-19","title":"Regional income disparities, distributional convergence, and spatial effects: evidence from Indonesian regions 2010–2017","author":[{"family":"Santos-Marquez","given":"Felipe"},{"family":"Gunawan","given":"Anang Budi"},{"family":"Mendez","given":"Carlos"}],"issued":{"date-parts":[["2021"]]}}}],"schema":"https://github.com/citation-style-language/schema/raw/master/csl-citation.json"} </w:instrText>
      </w:r>
      <w:r w:rsidR="00391570" w:rsidRPr="0054671B">
        <w:fldChar w:fldCharType="separate"/>
      </w:r>
      <w:r w:rsidR="00391570" w:rsidRPr="0054671B">
        <w:rPr>
          <w:rFonts w:ascii="Calibri" w:hAnsi="Calibri" w:cs="Calibri"/>
        </w:rPr>
        <w:t>(Santos-Marquez et al., 2021)</w:t>
      </w:r>
      <w:r w:rsidR="00391570" w:rsidRPr="0054671B">
        <w:fldChar w:fldCharType="end"/>
      </w:r>
      <w:r w:rsidR="00391570" w:rsidRPr="0054671B">
        <w:t xml:space="preserve">. </w:t>
      </w:r>
      <w:r w:rsidR="004D3730">
        <w:t>Hence</w:t>
      </w:r>
      <w:r w:rsidR="0068516E" w:rsidRPr="0054671B">
        <w:t xml:space="preserve">, future studies </w:t>
      </w:r>
      <w:r w:rsidR="00FA50C9">
        <w:t>could</w:t>
      </w:r>
      <w:r w:rsidR="008416DB" w:rsidRPr="008416DB">
        <w:t xml:space="preserve"> </w:t>
      </w:r>
      <w:r w:rsidR="008416DB">
        <w:t>investigate reg</w:t>
      </w:r>
      <w:r w:rsidR="0068516E" w:rsidRPr="0054671B">
        <w:t xml:space="preserve">ional wage convergence at </w:t>
      </w:r>
      <w:r w:rsidR="00AE46CC" w:rsidRPr="0054671B">
        <w:t xml:space="preserve">the </w:t>
      </w:r>
      <w:r w:rsidR="0068516E" w:rsidRPr="0054671B">
        <w:t>district level across Indonesia, subject to data availability.</w:t>
      </w:r>
      <w:r w:rsidR="00FE5DD4" w:rsidRPr="0054671B">
        <w:t xml:space="preserve"> </w:t>
      </w:r>
      <w:r w:rsidR="004B32AD" w:rsidRPr="0054671B">
        <w:t>S</w:t>
      </w:r>
      <w:r w:rsidR="00FE5DD4" w:rsidRPr="0054671B">
        <w:t xml:space="preserve">uch studies would allow to look more deeply </w:t>
      </w:r>
      <w:r w:rsidR="009C69B3" w:rsidRPr="0054671B">
        <w:t>at</w:t>
      </w:r>
      <w:r w:rsidR="00FE5DD4" w:rsidRPr="0054671B">
        <w:t xml:space="preserve"> the role of spatial dependence</w:t>
      </w:r>
      <w:r w:rsidR="004B32AD" w:rsidRPr="0054671B">
        <w:t xml:space="preserve"> within </w:t>
      </w:r>
      <w:r w:rsidR="00E26B2A" w:rsidRPr="0054671B">
        <w:t>a province</w:t>
      </w:r>
      <w:r w:rsidR="004B32AD" w:rsidRPr="0054671B">
        <w:t xml:space="preserve"> </w:t>
      </w:r>
      <w:r w:rsidR="00E26B2A" w:rsidRPr="0054671B">
        <w:t xml:space="preserve">and between adjacent districts belongs to different </w:t>
      </w:r>
      <w:r w:rsidR="004B32AD" w:rsidRPr="0054671B">
        <w:t>provinces</w:t>
      </w:r>
      <w:r w:rsidR="00FE5DD4" w:rsidRPr="0054671B">
        <w:t xml:space="preserve"> in </w:t>
      </w:r>
      <w:r w:rsidR="004B32AD" w:rsidRPr="0054671B">
        <w:t>shaping</w:t>
      </w:r>
      <w:r w:rsidR="00FE5DD4" w:rsidRPr="0054671B">
        <w:t xml:space="preserve"> regional wag</w:t>
      </w:r>
      <w:r w:rsidR="00FE5DD4" w:rsidRPr="000924A7">
        <w:t>e</w:t>
      </w:r>
      <w:r w:rsidR="00E26B2A" w:rsidRPr="000924A7">
        <w:t>.</w:t>
      </w:r>
      <w:r w:rsidR="00EB0B4F" w:rsidRPr="000924A7">
        <w:t xml:space="preserve"> </w:t>
      </w:r>
      <w:r w:rsidR="00183DD0" w:rsidRPr="000924A7">
        <w:t xml:space="preserve">Finally, depending on data availability, future research could look into </w:t>
      </w:r>
      <w:r w:rsidR="007030C3" w:rsidRPr="000924A7">
        <w:t xml:space="preserve">regional </w:t>
      </w:r>
      <w:r w:rsidR="00183DD0" w:rsidRPr="000924A7">
        <w:t xml:space="preserve">wage convergence </w:t>
      </w:r>
      <w:r w:rsidR="007030C3" w:rsidRPr="000924A7">
        <w:t xml:space="preserve">in Indonesia </w:t>
      </w:r>
      <w:r w:rsidR="00183DD0" w:rsidRPr="000924A7">
        <w:t>utilizing real wage data that captures cross-sectional differentials in labor's purchasing power.</w:t>
      </w:r>
    </w:p>
    <w:p w14:paraId="7E2625FA" w14:textId="527E77EC" w:rsidR="00FD508A" w:rsidRPr="0054671B" w:rsidRDefault="00FF6253" w:rsidP="008F63D1">
      <w:pPr>
        <w:rPr>
          <w:rFonts w:ascii="Bookman Old Style" w:eastAsia="Adobe Myungjo Std M" w:hAnsi="Bookman Old Style"/>
          <w:b/>
          <w:szCs w:val="18"/>
        </w:rPr>
      </w:pPr>
      <w:r w:rsidRPr="0054671B">
        <w:rPr>
          <w:rFonts w:ascii="Bookman Old Style" w:eastAsia="Adobe Myungjo Std M" w:hAnsi="Bookman Old Style" w:hint="eastAsia"/>
          <w:b/>
          <w:szCs w:val="18"/>
        </w:rPr>
        <w:lastRenderedPageBreak/>
        <w:t>R</w:t>
      </w:r>
      <w:r w:rsidRPr="0054671B">
        <w:rPr>
          <w:rFonts w:ascii="Bookman Old Style" w:eastAsia="Adobe Myungjo Std M" w:hAnsi="Bookman Old Style"/>
          <w:b/>
          <w:szCs w:val="18"/>
        </w:rPr>
        <w:t>eferences</w:t>
      </w:r>
    </w:p>
    <w:p w14:paraId="6B785CD5" w14:textId="77777777" w:rsidR="00FC77C3" w:rsidRPr="00FC77C3" w:rsidRDefault="00FD508A" w:rsidP="00FC77C3">
      <w:pPr>
        <w:pStyle w:val="Bibliography"/>
        <w:rPr>
          <w:rFonts w:ascii="Calibri" w:hAnsi="Calibri" w:cs="Calibri"/>
        </w:rPr>
      </w:pPr>
      <w:r w:rsidRPr="0054671B">
        <w:rPr>
          <w:rFonts w:ascii="Bookman Old Style" w:eastAsia="Adobe Myungjo Std M" w:hAnsi="Bookman Old Style"/>
          <w:b/>
          <w:szCs w:val="18"/>
        </w:rPr>
        <w:fldChar w:fldCharType="begin"/>
      </w:r>
      <w:r w:rsidR="00FC77C3">
        <w:rPr>
          <w:rFonts w:ascii="Bookman Old Style" w:eastAsia="Adobe Myungjo Std M" w:hAnsi="Bookman Old Style"/>
          <w:b/>
          <w:szCs w:val="18"/>
        </w:rPr>
        <w:instrText xml:space="preserve"> ADDIN ZOTERO_BIBL {"uncited":[],"omitted":[],"custom":[]} CSL_BIBLIOGRAPHY </w:instrText>
      </w:r>
      <w:r w:rsidRPr="0054671B">
        <w:rPr>
          <w:rFonts w:ascii="Bookman Old Style" w:eastAsia="Adobe Myungjo Std M" w:hAnsi="Bookman Old Style"/>
          <w:b/>
          <w:szCs w:val="18"/>
        </w:rPr>
        <w:fldChar w:fldCharType="separate"/>
      </w:r>
      <w:r w:rsidR="00FC77C3" w:rsidRPr="00FC77C3">
        <w:rPr>
          <w:rFonts w:ascii="Calibri" w:hAnsi="Calibri" w:cs="Calibri"/>
        </w:rPr>
        <w:t xml:space="preserve">Aginta, H. (2021). Spatial dynamics of consumer price in Indonesia: Convergence clubs and conditioning factors. </w:t>
      </w:r>
      <w:r w:rsidR="00FC77C3" w:rsidRPr="00FC77C3">
        <w:rPr>
          <w:rFonts w:ascii="Calibri" w:hAnsi="Calibri" w:cs="Calibri"/>
          <w:i/>
          <w:iCs/>
        </w:rPr>
        <w:t>Asia-Pacific Journal of Regional Science</w:t>
      </w:r>
      <w:r w:rsidR="00FC77C3" w:rsidRPr="00FC77C3">
        <w:rPr>
          <w:rFonts w:ascii="Calibri" w:hAnsi="Calibri" w:cs="Calibri"/>
        </w:rPr>
        <w:t xml:space="preserve">, </w:t>
      </w:r>
      <w:r w:rsidR="00FC77C3" w:rsidRPr="00FC77C3">
        <w:rPr>
          <w:rFonts w:ascii="Calibri" w:hAnsi="Calibri" w:cs="Calibri"/>
          <w:i/>
          <w:iCs/>
        </w:rPr>
        <w:t>5</w:t>
      </w:r>
      <w:r w:rsidR="00FC77C3" w:rsidRPr="00FC77C3">
        <w:rPr>
          <w:rFonts w:ascii="Calibri" w:hAnsi="Calibri" w:cs="Calibri"/>
        </w:rPr>
        <w:t>(2), 427–451. https://doi.org/10.1007/s41685-020-00178-0</w:t>
      </w:r>
    </w:p>
    <w:p w14:paraId="038E42D5" w14:textId="77777777" w:rsidR="00FC77C3" w:rsidRPr="00FC77C3" w:rsidRDefault="00FC77C3" w:rsidP="00FC77C3">
      <w:pPr>
        <w:pStyle w:val="Bibliography"/>
        <w:rPr>
          <w:rFonts w:ascii="Calibri" w:hAnsi="Calibri" w:cs="Calibri"/>
        </w:rPr>
      </w:pPr>
      <w:r w:rsidRPr="00FC77C3">
        <w:rPr>
          <w:rFonts w:ascii="Calibri" w:hAnsi="Calibri" w:cs="Calibri"/>
        </w:rPr>
        <w:t xml:space="preserve">Aginta, H., Gunawan, A. B., &amp; Mendez, C. (2020). Regional income disparities and convergence clubs in Indonesia: New district-level evidence. </w:t>
      </w:r>
      <w:r w:rsidRPr="00FC77C3">
        <w:rPr>
          <w:rFonts w:ascii="Calibri" w:hAnsi="Calibri" w:cs="Calibri"/>
          <w:i/>
          <w:iCs/>
        </w:rPr>
        <w:t>Journal of the Asia Pacific Economy</w:t>
      </w:r>
      <w:r w:rsidRPr="00FC77C3">
        <w:rPr>
          <w:rFonts w:ascii="Calibri" w:hAnsi="Calibri" w:cs="Calibri"/>
        </w:rPr>
        <w:t>, 1–33.</w:t>
      </w:r>
    </w:p>
    <w:p w14:paraId="03A69BB5" w14:textId="77777777" w:rsidR="00FC77C3" w:rsidRPr="00FC77C3" w:rsidRDefault="00FC77C3" w:rsidP="00FC77C3">
      <w:pPr>
        <w:pStyle w:val="Bibliography"/>
        <w:rPr>
          <w:rFonts w:ascii="Calibri" w:hAnsi="Calibri" w:cs="Calibri"/>
        </w:rPr>
      </w:pPr>
      <w:r w:rsidRPr="00FC77C3">
        <w:rPr>
          <w:rFonts w:ascii="Calibri" w:hAnsi="Calibri" w:cs="Calibri"/>
        </w:rPr>
        <w:t xml:space="preserve">Azariadis, C., &amp; Drazen, A. (1990). Threshold Externalities in Economic Development. </w:t>
      </w:r>
      <w:r w:rsidRPr="00FC77C3">
        <w:rPr>
          <w:rFonts w:ascii="Calibri" w:hAnsi="Calibri" w:cs="Calibri"/>
          <w:i/>
          <w:iCs/>
        </w:rPr>
        <w:t>The Quarterly Journal of Economics</w:t>
      </w:r>
      <w:r w:rsidRPr="00FC77C3">
        <w:rPr>
          <w:rFonts w:ascii="Calibri" w:hAnsi="Calibri" w:cs="Calibri"/>
        </w:rPr>
        <w:t xml:space="preserve">, </w:t>
      </w:r>
      <w:r w:rsidRPr="00FC77C3">
        <w:rPr>
          <w:rFonts w:ascii="Calibri" w:hAnsi="Calibri" w:cs="Calibri"/>
          <w:i/>
          <w:iCs/>
        </w:rPr>
        <w:t>105</w:t>
      </w:r>
      <w:r w:rsidRPr="00FC77C3">
        <w:rPr>
          <w:rFonts w:ascii="Calibri" w:hAnsi="Calibri" w:cs="Calibri"/>
        </w:rPr>
        <w:t>(2), 501–526. JSTOR. https://doi.org/10.2307/2937797</w:t>
      </w:r>
    </w:p>
    <w:p w14:paraId="29B01651" w14:textId="77777777" w:rsidR="00FC77C3" w:rsidRPr="00FC77C3" w:rsidRDefault="00FC77C3" w:rsidP="00FC77C3">
      <w:pPr>
        <w:pStyle w:val="Bibliography"/>
        <w:rPr>
          <w:rFonts w:ascii="Calibri" w:hAnsi="Calibri" w:cs="Calibri"/>
        </w:rPr>
      </w:pPr>
      <w:r w:rsidRPr="00FC77C3">
        <w:rPr>
          <w:rFonts w:ascii="Calibri" w:hAnsi="Calibri" w:cs="Calibri"/>
        </w:rPr>
        <w:t xml:space="preserve">Barro, R. J., Sala-i-Martin, X., Blanchard, O. J., &amp; Hall, R. E. (1991). Convergence across states and regions. </w:t>
      </w:r>
      <w:r w:rsidRPr="00FC77C3">
        <w:rPr>
          <w:rFonts w:ascii="Calibri" w:hAnsi="Calibri" w:cs="Calibri"/>
          <w:i/>
          <w:iCs/>
        </w:rPr>
        <w:t>Brookings Papers on Economic Activity</w:t>
      </w:r>
      <w:r w:rsidRPr="00FC77C3">
        <w:rPr>
          <w:rFonts w:ascii="Calibri" w:hAnsi="Calibri" w:cs="Calibri"/>
        </w:rPr>
        <w:t>, 107–182.</w:t>
      </w:r>
    </w:p>
    <w:p w14:paraId="6354F7AB" w14:textId="77777777" w:rsidR="00FC77C3" w:rsidRPr="00FC77C3" w:rsidRDefault="00FC77C3" w:rsidP="00FC77C3">
      <w:pPr>
        <w:pStyle w:val="Bibliography"/>
        <w:rPr>
          <w:rFonts w:ascii="Calibri" w:hAnsi="Calibri" w:cs="Calibri"/>
        </w:rPr>
      </w:pPr>
      <w:r w:rsidRPr="00FC77C3">
        <w:rPr>
          <w:rFonts w:ascii="Calibri" w:hAnsi="Calibri" w:cs="Calibri"/>
        </w:rPr>
        <w:t xml:space="preserve">Barro, R. J. &amp; Xavier Sala-i-Martin. (1992). Convergence. </w:t>
      </w:r>
      <w:r w:rsidRPr="00FC77C3">
        <w:rPr>
          <w:rFonts w:ascii="Calibri" w:hAnsi="Calibri" w:cs="Calibri"/>
          <w:i/>
          <w:iCs/>
        </w:rPr>
        <w:t>Journal of Political Economy</w:t>
      </w:r>
      <w:r w:rsidRPr="00FC77C3">
        <w:rPr>
          <w:rFonts w:ascii="Calibri" w:hAnsi="Calibri" w:cs="Calibri"/>
        </w:rPr>
        <w:t xml:space="preserve">, </w:t>
      </w:r>
      <w:r w:rsidRPr="00FC77C3">
        <w:rPr>
          <w:rFonts w:ascii="Calibri" w:hAnsi="Calibri" w:cs="Calibri"/>
          <w:i/>
          <w:iCs/>
        </w:rPr>
        <w:t>100</w:t>
      </w:r>
      <w:r w:rsidRPr="00FC77C3">
        <w:rPr>
          <w:rFonts w:ascii="Calibri" w:hAnsi="Calibri" w:cs="Calibri"/>
        </w:rPr>
        <w:t>(2), 223–251. JSTOR.</w:t>
      </w:r>
    </w:p>
    <w:p w14:paraId="4DAE3795" w14:textId="77777777" w:rsidR="00FC77C3" w:rsidRPr="00FC77C3" w:rsidRDefault="00FC77C3" w:rsidP="00FC77C3">
      <w:pPr>
        <w:pStyle w:val="Bibliography"/>
        <w:rPr>
          <w:rFonts w:ascii="Calibri" w:hAnsi="Calibri" w:cs="Calibri"/>
        </w:rPr>
      </w:pPr>
      <w:r w:rsidRPr="00FC77C3">
        <w:rPr>
          <w:rFonts w:ascii="Calibri" w:hAnsi="Calibri" w:cs="Calibri"/>
        </w:rPr>
        <w:t xml:space="preserve">Bartkowska, M., &amp; Riedl, A. (2012). Regional convergence clubs in Europe: Identiﬁcation and conditioning factors. </w:t>
      </w:r>
      <w:r w:rsidRPr="00FC77C3">
        <w:rPr>
          <w:rFonts w:ascii="Calibri" w:hAnsi="Calibri" w:cs="Calibri"/>
          <w:i/>
          <w:iCs/>
        </w:rPr>
        <w:t>Economic Modelling</w:t>
      </w:r>
      <w:r w:rsidRPr="00FC77C3">
        <w:rPr>
          <w:rFonts w:ascii="Calibri" w:hAnsi="Calibri" w:cs="Calibri"/>
        </w:rPr>
        <w:t xml:space="preserve">, </w:t>
      </w:r>
      <w:r w:rsidRPr="00FC77C3">
        <w:rPr>
          <w:rFonts w:ascii="Calibri" w:hAnsi="Calibri" w:cs="Calibri"/>
          <w:i/>
          <w:iCs/>
        </w:rPr>
        <w:t>29</w:t>
      </w:r>
      <w:r w:rsidRPr="00FC77C3">
        <w:rPr>
          <w:rFonts w:ascii="Calibri" w:hAnsi="Calibri" w:cs="Calibri"/>
        </w:rPr>
        <w:t>(1), 22–31.</w:t>
      </w:r>
    </w:p>
    <w:p w14:paraId="2F972E84" w14:textId="77777777" w:rsidR="00FC77C3" w:rsidRPr="00FC77C3" w:rsidRDefault="00FC77C3" w:rsidP="00FC77C3">
      <w:pPr>
        <w:pStyle w:val="Bibliography"/>
        <w:rPr>
          <w:rFonts w:ascii="Calibri" w:hAnsi="Calibri" w:cs="Calibri"/>
        </w:rPr>
      </w:pPr>
      <w:r w:rsidRPr="00FC77C3">
        <w:rPr>
          <w:rFonts w:ascii="Calibri" w:hAnsi="Calibri" w:cs="Calibri"/>
        </w:rPr>
        <w:t xml:space="preserve">Baskoro, L. S., Hara, Y., &amp; Otsuji, Y. (2019). Labor Productivity and Foreign Direct Investment in the Indonesian Manufacturing Sector. </w:t>
      </w:r>
      <w:r w:rsidRPr="00FC77C3">
        <w:rPr>
          <w:rFonts w:ascii="Calibri" w:hAnsi="Calibri" w:cs="Calibri"/>
          <w:i/>
          <w:iCs/>
        </w:rPr>
        <w:t>Signifikan: Jurnal Ilmu Ekonomi</w:t>
      </w:r>
      <w:r w:rsidRPr="00FC77C3">
        <w:rPr>
          <w:rFonts w:ascii="Calibri" w:hAnsi="Calibri" w:cs="Calibri"/>
        </w:rPr>
        <w:t xml:space="preserve">, </w:t>
      </w:r>
      <w:r w:rsidRPr="00FC77C3">
        <w:rPr>
          <w:rFonts w:ascii="Calibri" w:hAnsi="Calibri" w:cs="Calibri"/>
          <w:i/>
          <w:iCs/>
        </w:rPr>
        <w:t>8</w:t>
      </w:r>
      <w:r w:rsidRPr="00FC77C3">
        <w:rPr>
          <w:rFonts w:ascii="Calibri" w:hAnsi="Calibri" w:cs="Calibri"/>
        </w:rPr>
        <w:t>(1), 9–22.</w:t>
      </w:r>
    </w:p>
    <w:p w14:paraId="55E03A32" w14:textId="77777777" w:rsidR="00FC77C3" w:rsidRPr="00FC77C3" w:rsidRDefault="00FC77C3" w:rsidP="00FC77C3">
      <w:pPr>
        <w:pStyle w:val="Bibliography"/>
        <w:rPr>
          <w:rFonts w:ascii="Calibri" w:hAnsi="Calibri" w:cs="Calibri"/>
        </w:rPr>
      </w:pPr>
      <w:r w:rsidRPr="00FC77C3">
        <w:rPr>
          <w:rFonts w:ascii="Calibri" w:hAnsi="Calibri" w:cs="Calibri"/>
        </w:rPr>
        <w:t xml:space="preserve">Collin, K., Lundh, C., &amp; Prado, S. (2019). Exploring regional wage dispersion in Swedish manufacturing, 1860–2009. </w:t>
      </w:r>
      <w:r w:rsidRPr="00FC77C3">
        <w:rPr>
          <w:rFonts w:ascii="Calibri" w:hAnsi="Calibri" w:cs="Calibri"/>
          <w:i/>
          <w:iCs/>
        </w:rPr>
        <w:t>Scandinavian Economic History Review</w:t>
      </w:r>
      <w:r w:rsidRPr="00FC77C3">
        <w:rPr>
          <w:rFonts w:ascii="Calibri" w:hAnsi="Calibri" w:cs="Calibri"/>
        </w:rPr>
        <w:t xml:space="preserve">, </w:t>
      </w:r>
      <w:r w:rsidRPr="00FC77C3">
        <w:rPr>
          <w:rFonts w:ascii="Calibri" w:hAnsi="Calibri" w:cs="Calibri"/>
          <w:i/>
          <w:iCs/>
        </w:rPr>
        <w:t>67</w:t>
      </w:r>
      <w:r w:rsidRPr="00FC77C3">
        <w:rPr>
          <w:rFonts w:ascii="Calibri" w:hAnsi="Calibri" w:cs="Calibri"/>
        </w:rPr>
        <w:t>(3), 249–268.</w:t>
      </w:r>
    </w:p>
    <w:p w14:paraId="16256B81" w14:textId="77777777" w:rsidR="00FC77C3" w:rsidRPr="00FC77C3" w:rsidRDefault="00FC77C3" w:rsidP="00FC77C3">
      <w:pPr>
        <w:pStyle w:val="Bibliography"/>
        <w:rPr>
          <w:rFonts w:ascii="Calibri" w:hAnsi="Calibri" w:cs="Calibri"/>
        </w:rPr>
      </w:pPr>
      <w:r w:rsidRPr="00FC77C3">
        <w:rPr>
          <w:rFonts w:ascii="Calibri" w:hAnsi="Calibri" w:cs="Calibri"/>
        </w:rPr>
        <w:t xml:space="preserve">Cutrini, E. (2019). Economic integration, structural change, and uneven development in the European Union. </w:t>
      </w:r>
      <w:r w:rsidRPr="00FC77C3">
        <w:rPr>
          <w:rFonts w:ascii="Calibri" w:hAnsi="Calibri" w:cs="Calibri"/>
          <w:i/>
          <w:iCs/>
        </w:rPr>
        <w:t>Structural Change and Economic Dynamics</w:t>
      </w:r>
      <w:r w:rsidRPr="00FC77C3">
        <w:rPr>
          <w:rFonts w:ascii="Calibri" w:hAnsi="Calibri" w:cs="Calibri"/>
        </w:rPr>
        <w:t xml:space="preserve">, </w:t>
      </w:r>
      <w:r w:rsidRPr="00FC77C3">
        <w:rPr>
          <w:rFonts w:ascii="Calibri" w:hAnsi="Calibri" w:cs="Calibri"/>
          <w:i/>
          <w:iCs/>
        </w:rPr>
        <w:t>50</w:t>
      </w:r>
      <w:r w:rsidRPr="00FC77C3">
        <w:rPr>
          <w:rFonts w:ascii="Calibri" w:hAnsi="Calibri" w:cs="Calibri"/>
        </w:rPr>
        <w:t>, 102–113.</w:t>
      </w:r>
    </w:p>
    <w:p w14:paraId="3499F773" w14:textId="77777777" w:rsidR="00FC77C3" w:rsidRPr="00FC77C3" w:rsidRDefault="00FC77C3" w:rsidP="00FC77C3">
      <w:pPr>
        <w:pStyle w:val="Bibliography"/>
        <w:rPr>
          <w:rFonts w:ascii="Calibri" w:hAnsi="Calibri" w:cs="Calibri"/>
        </w:rPr>
      </w:pPr>
      <w:r w:rsidRPr="00FC77C3">
        <w:rPr>
          <w:rFonts w:ascii="Calibri" w:hAnsi="Calibri" w:cs="Calibri"/>
        </w:rPr>
        <w:t xml:space="preserve">Dayanandan, A., &amp; Ralhan, M. (2005). Price index convergence among provinces and cities across Canada: 1978–2001. </w:t>
      </w:r>
      <w:r w:rsidRPr="00FC77C3">
        <w:rPr>
          <w:rFonts w:ascii="Calibri" w:hAnsi="Calibri" w:cs="Calibri"/>
          <w:i/>
          <w:iCs/>
        </w:rPr>
        <w:t>University of Victoria Department of Economics Econometrics Working Paper</w:t>
      </w:r>
      <w:r w:rsidRPr="00FC77C3">
        <w:rPr>
          <w:rFonts w:ascii="Calibri" w:hAnsi="Calibri" w:cs="Calibri"/>
        </w:rPr>
        <w:t xml:space="preserve">, </w:t>
      </w:r>
      <w:r w:rsidRPr="00FC77C3">
        <w:rPr>
          <w:rFonts w:ascii="Calibri" w:hAnsi="Calibri" w:cs="Calibri"/>
          <w:i/>
          <w:iCs/>
        </w:rPr>
        <w:t>504</w:t>
      </w:r>
      <w:r w:rsidRPr="00FC77C3">
        <w:rPr>
          <w:rFonts w:ascii="Calibri" w:hAnsi="Calibri" w:cs="Calibri"/>
        </w:rPr>
        <w:t>, 1–15.</w:t>
      </w:r>
    </w:p>
    <w:p w14:paraId="11B6CA7A" w14:textId="77777777" w:rsidR="00FC77C3" w:rsidRPr="00FC77C3" w:rsidRDefault="00FC77C3" w:rsidP="00FC77C3">
      <w:pPr>
        <w:pStyle w:val="Bibliography"/>
        <w:rPr>
          <w:rFonts w:ascii="Calibri" w:hAnsi="Calibri" w:cs="Calibri"/>
        </w:rPr>
      </w:pPr>
      <w:r w:rsidRPr="00FC77C3">
        <w:rPr>
          <w:rFonts w:ascii="Calibri" w:hAnsi="Calibri" w:cs="Calibri"/>
          <w:i/>
          <w:iCs/>
        </w:rPr>
        <w:t>Decent Work Profile East Nusa Tenggara</w:t>
      </w:r>
      <w:r w:rsidRPr="00FC77C3">
        <w:rPr>
          <w:rFonts w:ascii="Calibri" w:hAnsi="Calibri" w:cs="Calibri"/>
        </w:rPr>
        <w:t>. (2013). International Labour Organization. https://www.ilo.org/wcmsp5/groups/public/---dgreports/---integration/documents/publication/wcms_228702.pdf</w:t>
      </w:r>
    </w:p>
    <w:p w14:paraId="2C8259AD" w14:textId="77777777" w:rsidR="00FC77C3" w:rsidRPr="00FC77C3" w:rsidRDefault="00FC77C3" w:rsidP="00FC77C3">
      <w:pPr>
        <w:pStyle w:val="Bibliography"/>
        <w:rPr>
          <w:rFonts w:ascii="Calibri" w:hAnsi="Calibri" w:cs="Calibri"/>
        </w:rPr>
      </w:pPr>
      <w:r w:rsidRPr="00FC77C3">
        <w:rPr>
          <w:rFonts w:ascii="Calibri" w:hAnsi="Calibri" w:cs="Calibri"/>
        </w:rPr>
        <w:t xml:space="preserve">Enflo, K., Lundh, C., &amp; Prado, S. (2014). The role of migration in regional wage convergence: Evidence from Sweden 1860–1940. </w:t>
      </w:r>
      <w:r w:rsidRPr="00FC77C3">
        <w:rPr>
          <w:rFonts w:ascii="Calibri" w:hAnsi="Calibri" w:cs="Calibri"/>
          <w:i/>
          <w:iCs/>
        </w:rPr>
        <w:t>Explorations in Economic History</w:t>
      </w:r>
      <w:r w:rsidRPr="00FC77C3">
        <w:rPr>
          <w:rFonts w:ascii="Calibri" w:hAnsi="Calibri" w:cs="Calibri"/>
        </w:rPr>
        <w:t xml:space="preserve">, </w:t>
      </w:r>
      <w:r w:rsidRPr="00FC77C3">
        <w:rPr>
          <w:rFonts w:ascii="Calibri" w:hAnsi="Calibri" w:cs="Calibri"/>
          <w:i/>
          <w:iCs/>
        </w:rPr>
        <w:t>52</w:t>
      </w:r>
      <w:r w:rsidRPr="00FC77C3">
        <w:rPr>
          <w:rFonts w:ascii="Calibri" w:hAnsi="Calibri" w:cs="Calibri"/>
        </w:rPr>
        <w:t>, 93–110.</w:t>
      </w:r>
    </w:p>
    <w:p w14:paraId="1FB713E5" w14:textId="77777777" w:rsidR="00FC77C3" w:rsidRPr="00FC77C3" w:rsidRDefault="00FC77C3" w:rsidP="00FC77C3">
      <w:pPr>
        <w:pStyle w:val="Bibliography"/>
        <w:rPr>
          <w:rFonts w:ascii="Calibri" w:hAnsi="Calibri" w:cs="Calibri"/>
        </w:rPr>
      </w:pPr>
      <w:r w:rsidRPr="00FC77C3">
        <w:rPr>
          <w:rFonts w:ascii="Calibri" w:hAnsi="Calibri" w:cs="Calibri"/>
        </w:rPr>
        <w:t xml:space="preserve">Fang, C., &amp; Yang, D. (2011). Wage increases, wage convergence, and the Lewis turning point in China. </w:t>
      </w:r>
      <w:r w:rsidRPr="00FC77C3">
        <w:rPr>
          <w:rFonts w:ascii="Calibri" w:hAnsi="Calibri" w:cs="Calibri"/>
          <w:i/>
          <w:iCs/>
        </w:rPr>
        <w:t>China Economic Review</w:t>
      </w:r>
      <w:r w:rsidRPr="00FC77C3">
        <w:rPr>
          <w:rFonts w:ascii="Calibri" w:hAnsi="Calibri" w:cs="Calibri"/>
        </w:rPr>
        <w:t xml:space="preserve">, </w:t>
      </w:r>
      <w:r w:rsidRPr="00FC77C3">
        <w:rPr>
          <w:rFonts w:ascii="Calibri" w:hAnsi="Calibri" w:cs="Calibri"/>
          <w:i/>
          <w:iCs/>
        </w:rPr>
        <w:t>22</w:t>
      </w:r>
      <w:r w:rsidRPr="00FC77C3">
        <w:rPr>
          <w:rFonts w:ascii="Calibri" w:hAnsi="Calibri" w:cs="Calibri"/>
        </w:rPr>
        <w:t>(4), 601–610.</w:t>
      </w:r>
    </w:p>
    <w:p w14:paraId="4D830E0F" w14:textId="77777777" w:rsidR="00FC77C3" w:rsidRPr="00FC77C3" w:rsidRDefault="00FC77C3" w:rsidP="00FC77C3">
      <w:pPr>
        <w:pStyle w:val="Bibliography"/>
        <w:rPr>
          <w:rFonts w:ascii="Calibri" w:hAnsi="Calibri" w:cs="Calibri"/>
        </w:rPr>
      </w:pPr>
      <w:r w:rsidRPr="00FC77C3">
        <w:rPr>
          <w:rFonts w:ascii="Calibri" w:hAnsi="Calibri" w:cs="Calibri"/>
        </w:rPr>
        <w:t xml:space="preserve">Felipe, J., Widyasanti, A., Foster-McGregor, N., &amp; Sumo, V. (2019). </w:t>
      </w:r>
      <w:r w:rsidRPr="00FC77C3">
        <w:rPr>
          <w:rFonts w:ascii="Calibri" w:hAnsi="Calibri" w:cs="Calibri"/>
          <w:i/>
          <w:iCs/>
        </w:rPr>
        <w:t>Policies to Support the Development of Indonesia’s Manufacturing Sector during 2020–2024: A Joint ADB–BAPPENAS Report</w:t>
      </w:r>
      <w:r w:rsidRPr="00FC77C3">
        <w:rPr>
          <w:rFonts w:ascii="Calibri" w:hAnsi="Calibri" w:cs="Calibri"/>
        </w:rPr>
        <w:t>. Asian Development Bank.</w:t>
      </w:r>
    </w:p>
    <w:p w14:paraId="37BF356F" w14:textId="77777777" w:rsidR="00FC77C3" w:rsidRPr="00FC77C3" w:rsidRDefault="00FC77C3" w:rsidP="00FC77C3">
      <w:pPr>
        <w:pStyle w:val="Bibliography"/>
        <w:rPr>
          <w:rFonts w:ascii="Calibri" w:hAnsi="Calibri" w:cs="Calibri"/>
        </w:rPr>
      </w:pPr>
      <w:r w:rsidRPr="00FC77C3">
        <w:rPr>
          <w:rFonts w:ascii="Calibri" w:hAnsi="Calibri" w:cs="Calibri"/>
        </w:rPr>
        <w:t xml:space="preserve">Firdaus, M., &amp; Yusop, Z. (2009). </w:t>
      </w:r>
      <w:r w:rsidRPr="00FC77C3">
        <w:rPr>
          <w:rFonts w:ascii="Calibri" w:hAnsi="Calibri" w:cs="Calibri"/>
          <w:i/>
          <w:iCs/>
        </w:rPr>
        <w:t>Dynamic analysis of regional convergence in Indonesia</w:t>
      </w:r>
      <w:r w:rsidRPr="00FC77C3">
        <w:rPr>
          <w:rFonts w:ascii="Calibri" w:hAnsi="Calibri" w:cs="Calibri"/>
        </w:rPr>
        <w:t>.</w:t>
      </w:r>
    </w:p>
    <w:p w14:paraId="3D71B0F3" w14:textId="77777777" w:rsidR="00FC77C3" w:rsidRPr="00FC77C3" w:rsidRDefault="00FC77C3" w:rsidP="00FC77C3">
      <w:pPr>
        <w:pStyle w:val="Bibliography"/>
        <w:rPr>
          <w:rFonts w:ascii="Calibri" w:hAnsi="Calibri" w:cs="Calibri"/>
        </w:rPr>
      </w:pPr>
      <w:r w:rsidRPr="00FC77C3">
        <w:rPr>
          <w:rFonts w:ascii="Calibri" w:hAnsi="Calibri" w:cs="Calibri"/>
        </w:rPr>
        <w:lastRenderedPageBreak/>
        <w:t xml:space="preserve">Galizia, P. C. (2015). </w:t>
      </w:r>
      <w:r w:rsidRPr="00FC77C3">
        <w:rPr>
          <w:rFonts w:ascii="Calibri" w:hAnsi="Calibri" w:cs="Calibri"/>
          <w:i/>
          <w:iCs/>
        </w:rPr>
        <w:t>Mediterranean labor markets in the first age of globalization: An economic history of real wages and market integration</w:t>
      </w:r>
      <w:r w:rsidRPr="00FC77C3">
        <w:rPr>
          <w:rFonts w:ascii="Calibri" w:hAnsi="Calibri" w:cs="Calibri"/>
        </w:rPr>
        <w:t>. Springer.</w:t>
      </w:r>
    </w:p>
    <w:p w14:paraId="4D9E3B02" w14:textId="77777777" w:rsidR="00FC77C3" w:rsidRPr="00FC77C3" w:rsidRDefault="00FC77C3" w:rsidP="00FC77C3">
      <w:pPr>
        <w:pStyle w:val="Bibliography"/>
        <w:rPr>
          <w:rFonts w:ascii="Calibri" w:hAnsi="Calibri" w:cs="Calibri"/>
        </w:rPr>
      </w:pPr>
      <w:r w:rsidRPr="00FC77C3">
        <w:rPr>
          <w:rFonts w:ascii="Calibri" w:hAnsi="Calibri" w:cs="Calibri"/>
        </w:rPr>
        <w:t xml:space="preserve">Galor, O. (1996). Convergence? Inferences from Theoretical Models. </w:t>
      </w:r>
      <w:r w:rsidRPr="00FC77C3">
        <w:rPr>
          <w:rFonts w:ascii="Calibri" w:hAnsi="Calibri" w:cs="Calibri"/>
          <w:i/>
          <w:iCs/>
        </w:rPr>
        <w:t>The Economic Journal</w:t>
      </w:r>
      <w:r w:rsidRPr="00FC77C3">
        <w:rPr>
          <w:rFonts w:ascii="Calibri" w:hAnsi="Calibri" w:cs="Calibri"/>
        </w:rPr>
        <w:t xml:space="preserve">, </w:t>
      </w:r>
      <w:r w:rsidRPr="00FC77C3">
        <w:rPr>
          <w:rFonts w:ascii="Calibri" w:hAnsi="Calibri" w:cs="Calibri"/>
          <w:i/>
          <w:iCs/>
        </w:rPr>
        <w:t>106</w:t>
      </w:r>
      <w:r w:rsidRPr="00FC77C3">
        <w:rPr>
          <w:rFonts w:ascii="Calibri" w:hAnsi="Calibri" w:cs="Calibri"/>
        </w:rPr>
        <w:t>(437), 1056–1069. JSTOR. https://doi.org/10.2307/2235378</w:t>
      </w:r>
    </w:p>
    <w:p w14:paraId="4A4AA8AC" w14:textId="77777777" w:rsidR="00FC77C3" w:rsidRPr="00FC77C3" w:rsidRDefault="00FC77C3" w:rsidP="00FC77C3">
      <w:pPr>
        <w:pStyle w:val="Bibliography"/>
        <w:rPr>
          <w:rFonts w:ascii="Calibri" w:hAnsi="Calibri" w:cs="Calibri"/>
        </w:rPr>
      </w:pPr>
      <w:r w:rsidRPr="00FC77C3">
        <w:rPr>
          <w:rFonts w:ascii="Calibri" w:hAnsi="Calibri" w:cs="Calibri"/>
        </w:rPr>
        <w:t xml:space="preserve">González, F. A. I. (2020). Regional price dynamics in Argentina (2016–2019). </w:t>
      </w:r>
      <w:r w:rsidRPr="00FC77C3">
        <w:rPr>
          <w:rFonts w:ascii="Calibri" w:hAnsi="Calibri" w:cs="Calibri"/>
          <w:i/>
          <w:iCs/>
        </w:rPr>
        <w:t>Regional Statistics</w:t>
      </w:r>
      <w:r w:rsidRPr="00FC77C3">
        <w:rPr>
          <w:rFonts w:ascii="Calibri" w:hAnsi="Calibri" w:cs="Calibri"/>
        </w:rPr>
        <w:t xml:space="preserve">, </w:t>
      </w:r>
      <w:r w:rsidRPr="00FC77C3">
        <w:rPr>
          <w:rFonts w:ascii="Calibri" w:hAnsi="Calibri" w:cs="Calibri"/>
          <w:i/>
          <w:iCs/>
        </w:rPr>
        <w:t>10</w:t>
      </w:r>
      <w:r w:rsidRPr="00FC77C3">
        <w:rPr>
          <w:rFonts w:ascii="Calibri" w:hAnsi="Calibri" w:cs="Calibri"/>
        </w:rPr>
        <w:t>(02), 83–94.</w:t>
      </w:r>
    </w:p>
    <w:p w14:paraId="2D35AC5F" w14:textId="77777777" w:rsidR="00FC77C3" w:rsidRPr="00FC77C3" w:rsidRDefault="00FC77C3" w:rsidP="00FC77C3">
      <w:pPr>
        <w:pStyle w:val="Bibliography"/>
        <w:rPr>
          <w:rFonts w:ascii="Calibri" w:hAnsi="Calibri" w:cs="Calibri"/>
        </w:rPr>
      </w:pPr>
      <w:r w:rsidRPr="00FC77C3">
        <w:rPr>
          <w:rFonts w:ascii="Calibri" w:hAnsi="Calibri" w:cs="Calibri"/>
        </w:rPr>
        <w:t xml:space="preserve">Herr, H. (2002). </w:t>
      </w:r>
      <w:r w:rsidRPr="00FC77C3">
        <w:rPr>
          <w:rFonts w:ascii="Calibri" w:hAnsi="Calibri" w:cs="Calibri"/>
          <w:i/>
          <w:iCs/>
        </w:rPr>
        <w:t>Wages, employment and prices: An analysis of the relationship between wage level, wage structure, minimum wages and employment and prices</w:t>
      </w:r>
      <w:r w:rsidRPr="00FC77C3">
        <w:rPr>
          <w:rFonts w:ascii="Calibri" w:hAnsi="Calibri" w:cs="Calibri"/>
        </w:rPr>
        <w:t>. Working Paper.</w:t>
      </w:r>
    </w:p>
    <w:p w14:paraId="7F2282D6" w14:textId="77777777" w:rsidR="00FC77C3" w:rsidRPr="00FC77C3" w:rsidRDefault="00FC77C3" w:rsidP="00FC77C3">
      <w:pPr>
        <w:pStyle w:val="Bibliography"/>
        <w:rPr>
          <w:rFonts w:ascii="Calibri" w:hAnsi="Calibri" w:cs="Calibri"/>
        </w:rPr>
      </w:pPr>
      <w:r w:rsidRPr="00FC77C3">
        <w:rPr>
          <w:rFonts w:ascii="Calibri" w:hAnsi="Calibri" w:cs="Calibri"/>
        </w:rPr>
        <w:t xml:space="preserve">Hicks, J. (1963). </w:t>
      </w:r>
      <w:r w:rsidRPr="00FC77C3">
        <w:rPr>
          <w:rFonts w:ascii="Calibri" w:hAnsi="Calibri" w:cs="Calibri"/>
          <w:i/>
          <w:iCs/>
        </w:rPr>
        <w:t>The theory of wages</w:t>
      </w:r>
      <w:r w:rsidRPr="00FC77C3">
        <w:rPr>
          <w:rFonts w:ascii="Calibri" w:hAnsi="Calibri" w:cs="Calibri"/>
        </w:rPr>
        <w:t>. Springer.</w:t>
      </w:r>
    </w:p>
    <w:p w14:paraId="6A025323" w14:textId="77777777" w:rsidR="00FC77C3" w:rsidRPr="00FC77C3" w:rsidRDefault="00FC77C3" w:rsidP="00FC77C3">
      <w:pPr>
        <w:pStyle w:val="Bibliography"/>
        <w:rPr>
          <w:rFonts w:ascii="Calibri" w:hAnsi="Calibri" w:cs="Calibri"/>
        </w:rPr>
      </w:pPr>
      <w:r w:rsidRPr="00FC77C3">
        <w:rPr>
          <w:rFonts w:ascii="Calibri" w:hAnsi="Calibri" w:cs="Calibri"/>
        </w:rPr>
        <w:t xml:space="preserve">Jain, H. (2018). Technological Change, Skill Supply and Wage Distribution: Comparison of High-Technology and Low-Technology Industries in India. </w:t>
      </w:r>
      <w:r w:rsidRPr="00FC77C3">
        <w:rPr>
          <w:rFonts w:ascii="Calibri" w:hAnsi="Calibri" w:cs="Calibri"/>
          <w:i/>
          <w:iCs/>
        </w:rPr>
        <w:t>The Indian Journal of Labour Economics</w:t>
      </w:r>
      <w:r w:rsidRPr="00FC77C3">
        <w:rPr>
          <w:rFonts w:ascii="Calibri" w:hAnsi="Calibri" w:cs="Calibri"/>
        </w:rPr>
        <w:t xml:space="preserve">, </w:t>
      </w:r>
      <w:r w:rsidRPr="00FC77C3">
        <w:rPr>
          <w:rFonts w:ascii="Calibri" w:hAnsi="Calibri" w:cs="Calibri"/>
          <w:i/>
          <w:iCs/>
        </w:rPr>
        <w:t>61</w:t>
      </w:r>
      <w:r w:rsidRPr="00FC77C3">
        <w:rPr>
          <w:rFonts w:ascii="Calibri" w:hAnsi="Calibri" w:cs="Calibri"/>
        </w:rPr>
        <w:t>(2), 299–320.</w:t>
      </w:r>
    </w:p>
    <w:p w14:paraId="763C483E" w14:textId="77777777" w:rsidR="00FC77C3" w:rsidRPr="00FC77C3" w:rsidRDefault="00FC77C3" w:rsidP="00FC77C3">
      <w:pPr>
        <w:pStyle w:val="Bibliography"/>
        <w:rPr>
          <w:rFonts w:ascii="Calibri" w:hAnsi="Calibri" w:cs="Calibri"/>
        </w:rPr>
      </w:pPr>
      <w:r w:rsidRPr="00FC77C3">
        <w:rPr>
          <w:rFonts w:ascii="Calibri" w:hAnsi="Calibri" w:cs="Calibri"/>
        </w:rPr>
        <w:t xml:space="preserve">Jangam, B. P., &amp; Akram, V. (2019). Do Prices Converge Among Indonesian Cities? An Empirical Analysis. </w:t>
      </w:r>
      <w:r w:rsidRPr="00FC77C3">
        <w:rPr>
          <w:rFonts w:ascii="Calibri" w:hAnsi="Calibri" w:cs="Calibri"/>
          <w:i/>
          <w:iCs/>
        </w:rPr>
        <w:t>Bulletin of Monetary Economics and Banking</w:t>
      </w:r>
      <w:r w:rsidRPr="00FC77C3">
        <w:rPr>
          <w:rFonts w:ascii="Calibri" w:hAnsi="Calibri" w:cs="Calibri"/>
        </w:rPr>
        <w:t xml:space="preserve">, </w:t>
      </w:r>
      <w:r w:rsidRPr="00FC77C3">
        <w:rPr>
          <w:rFonts w:ascii="Calibri" w:hAnsi="Calibri" w:cs="Calibri"/>
          <w:i/>
          <w:iCs/>
        </w:rPr>
        <w:t>22</w:t>
      </w:r>
      <w:r w:rsidRPr="00FC77C3">
        <w:rPr>
          <w:rFonts w:ascii="Calibri" w:hAnsi="Calibri" w:cs="Calibri"/>
        </w:rPr>
        <w:t>(3), 239–262.</w:t>
      </w:r>
    </w:p>
    <w:p w14:paraId="01AC6D43" w14:textId="77777777" w:rsidR="00FC77C3" w:rsidRPr="00FC77C3" w:rsidRDefault="00FC77C3" w:rsidP="00FC77C3">
      <w:pPr>
        <w:pStyle w:val="Bibliography"/>
        <w:rPr>
          <w:rFonts w:ascii="Calibri" w:hAnsi="Calibri" w:cs="Calibri"/>
        </w:rPr>
      </w:pPr>
      <w:r w:rsidRPr="00FC77C3">
        <w:rPr>
          <w:rFonts w:ascii="Calibri" w:hAnsi="Calibri" w:cs="Calibri"/>
        </w:rPr>
        <w:t xml:space="preserve">Kharisma, B., &amp; Saleh, S. (2013). Convergence of Income Among Provinces in Indonesia 1984-2008: A Panel Data Approach. </w:t>
      </w:r>
      <w:r w:rsidRPr="00FC77C3">
        <w:rPr>
          <w:rFonts w:ascii="Calibri" w:hAnsi="Calibri" w:cs="Calibri"/>
          <w:i/>
          <w:iCs/>
        </w:rPr>
        <w:t>Journal of Indonesian Economy and Business</w:t>
      </w:r>
      <w:r w:rsidRPr="00FC77C3">
        <w:rPr>
          <w:rFonts w:ascii="Calibri" w:hAnsi="Calibri" w:cs="Calibri"/>
        </w:rPr>
        <w:t xml:space="preserve">, </w:t>
      </w:r>
      <w:r w:rsidRPr="00FC77C3">
        <w:rPr>
          <w:rFonts w:ascii="Calibri" w:hAnsi="Calibri" w:cs="Calibri"/>
          <w:i/>
          <w:iCs/>
        </w:rPr>
        <w:t>28</w:t>
      </w:r>
      <w:r w:rsidRPr="00FC77C3">
        <w:rPr>
          <w:rFonts w:ascii="Calibri" w:hAnsi="Calibri" w:cs="Calibri"/>
        </w:rPr>
        <w:t>(2), 167–187.</w:t>
      </w:r>
    </w:p>
    <w:p w14:paraId="4EE844D5" w14:textId="77777777" w:rsidR="00FC77C3" w:rsidRPr="00FC77C3" w:rsidRDefault="00FC77C3" w:rsidP="00FC77C3">
      <w:pPr>
        <w:pStyle w:val="Bibliography"/>
        <w:rPr>
          <w:rFonts w:ascii="Calibri" w:hAnsi="Calibri" w:cs="Calibri"/>
        </w:rPr>
      </w:pPr>
      <w:r w:rsidRPr="00FC77C3">
        <w:rPr>
          <w:rFonts w:ascii="Calibri" w:hAnsi="Calibri" w:cs="Calibri"/>
        </w:rPr>
        <w:t xml:space="preserve">Lipsey, R. E., &amp; Sjoholm, F. (2001). </w:t>
      </w:r>
      <w:r w:rsidRPr="00FC77C3">
        <w:rPr>
          <w:rFonts w:ascii="Calibri" w:hAnsi="Calibri" w:cs="Calibri"/>
          <w:i/>
          <w:iCs/>
        </w:rPr>
        <w:t>Foreign direct investment and wages in Indonesian manufacturing</w:t>
      </w:r>
      <w:r w:rsidRPr="00FC77C3">
        <w:rPr>
          <w:rFonts w:ascii="Calibri" w:hAnsi="Calibri" w:cs="Calibri"/>
        </w:rPr>
        <w:t>.</w:t>
      </w:r>
    </w:p>
    <w:p w14:paraId="3FA580A3" w14:textId="77777777" w:rsidR="00FC77C3" w:rsidRPr="00FC77C3" w:rsidRDefault="00FC77C3" w:rsidP="00FC77C3">
      <w:pPr>
        <w:pStyle w:val="Bibliography"/>
        <w:rPr>
          <w:rFonts w:ascii="Calibri" w:hAnsi="Calibri" w:cs="Calibri"/>
        </w:rPr>
      </w:pPr>
      <w:r w:rsidRPr="00FC77C3">
        <w:rPr>
          <w:rFonts w:ascii="Calibri" w:hAnsi="Calibri" w:cs="Calibri"/>
        </w:rPr>
        <w:t xml:space="preserve">Long, J. S., &amp; Long, J. S. (1997). </w:t>
      </w:r>
      <w:r w:rsidRPr="00FC77C3">
        <w:rPr>
          <w:rFonts w:ascii="Calibri" w:hAnsi="Calibri" w:cs="Calibri"/>
          <w:i/>
          <w:iCs/>
        </w:rPr>
        <w:t>Regression models for categorical and limited dependent variables</w:t>
      </w:r>
      <w:r w:rsidRPr="00FC77C3">
        <w:rPr>
          <w:rFonts w:ascii="Calibri" w:hAnsi="Calibri" w:cs="Calibri"/>
        </w:rPr>
        <w:t xml:space="preserve"> (Vol. 7). Sage.</w:t>
      </w:r>
    </w:p>
    <w:p w14:paraId="4B44D537" w14:textId="77777777" w:rsidR="00FC77C3" w:rsidRPr="00FC77C3" w:rsidRDefault="00FC77C3" w:rsidP="00FC77C3">
      <w:pPr>
        <w:pStyle w:val="Bibliography"/>
        <w:rPr>
          <w:rFonts w:ascii="Calibri" w:hAnsi="Calibri" w:cs="Calibri"/>
        </w:rPr>
      </w:pPr>
      <w:r w:rsidRPr="00FC77C3">
        <w:rPr>
          <w:rFonts w:ascii="Calibri" w:hAnsi="Calibri" w:cs="Calibri"/>
        </w:rPr>
        <w:t xml:space="preserve">Mantra, I. B. (1992). Pola dan arah migrasi penduduk antar propinsi di Indonesia tahun 1990. </w:t>
      </w:r>
      <w:r w:rsidRPr="00FC77C3">
        <w:rPr>
          <w:rFonts w:ascii="Calibri" w:hAnsi="Calibri" w:cs="Calibri"/>
          <w:i/>
          <w:iCs/>
        </w:rPr>
        <w:t>Populasi</w:t>
      </w:r>
      <w:r w:rsidRPr="00FC77C3">
        <w:rPr>
          <w:rFonts w:ascii="Calibri" w:hAnsi="Calibri" w:cs="Calibri"/>
        </w:rPr>
        <w:t xml:space="preserve">, </w:t>
      </w:r>
      <w:r w:rsidRPr="00FC77C3">
        <w:rPr>
          <w:rFonts w:ascii="Calibri" w:hAnsi="Calibri" w:cs="Calibri"/>
          <w:i/>
          <w:iCs/>
        </w:rPr>
        <w:t>3</w:t>
      </w:r>
      <w:r w:rsidRPr="00FC77C3">
        <w:rPr>
          <w:rFonts w:ascii="Calibri" w:hAnsi="Calibri" w:cs="Calibri"/>
        </w:rPr>
        <w:t>(2).</w:t>
      </w:r>
    </w:p>
    <w:p w14:paraId="2AB47D51" w14:textId="77777777" w:rsidR="00FC77C3" w:rsidRPr="00FC77C3" w:rsidRDefault="00FC77C3" w:rsidP="00FC77C3">
      <w:pPr>
        <w:pStyle w:val="Bibliography"/>
        <w:rPr>
          <w:rFonts w:ascii="Calibri" w:hAnsi="Calibri" w:cs="Calibri"/>
        </w:rPr>
      </w:pPr>
      <w:r w:rsidRPr="00FC77C3">
        <w:rPr>
          <w:rFonts w:ascii="Calibri" w:hAnsi="Calibri" w:cs="Calibri"/>
        </w:rPr>
        <w:t xml:space="preserve">Marhsall, A. (1920). </w:t>
      </w:r>
      <w:r w:rsidRPr="00FC77C3">
        <w:rPr>
          <w:rFonts w:ascii="Calibri" w:hAnsi="Calibri" w:cs="Calibri"/>
          <w:i/>
          <w:iCs/>
        </w:rPr>
        <w:t>Principles of economics</w:t>
      </w:r>
      <w:r w:rsidRPr="00FC77C3">
        <w:rPr>
          <w:rFonts w:ascii="Calibri" w:hAnsi="Calibri" w:cs="Calibri"/>
        </w:rPr>
        <w:t>. Macmillan.</w:t>
      </w:r>
    </w:p>
    <w:p w14:paraId="69385A33" w14:textId="77777777" w:rsidR="00FC77C3" w:rsidRPr="00FC77C3" w:rsidRDefault="00FC77C3" w:rsidP="00FC77C3">
      <w:pPr>
        <w:pStyle w:val="Bibliography"/>
        <w:rPr>
          <w:rFonts w:ascii="Calibri" w:hAnsi="Calibri" w:cs="Calibri"/>
        </w:rPr>
      </w:pPr>
      <w:r w:rsidRPr="00FC77C3">
        <w:rPr>
          <w:rFonts w:ascii="Calibri" w:hAnsi="Calibri" w:cs="Calibri"/>
        </w:rPr>
        <w:t xml:space="preserve">McKelvey, R. D., &amp; Zavoina, W. (1975). A statistical model for the analysis of ordinal level dependent variables. </w:t>
      </w:r>
      <w:r w:rsidRPr="00FC77C3">
        <w:rPr>
          <w:rFonts w:ascii="Calibri" w:hAnsi="Calibri" w:cs="Calibri"/>
          <w:i/>
          <w:iCs/>
        </w:rPr>
        <w:t>Journal of Mathematical Sociology</w:t>
      </w:r>
      <w:r w:rsidRPr="00FC77C3">
        <w:rPr>
          <w:rFonts w:ascii="Calibri" w:hAnsi="Calibri" w:cs="Calibri"/>
        </w:rPr>
        <w:t xml:space="preserve">, </w:t>
      </w:r>
      <w:r w:rsidRPr="00FC77C3">
        <w:rPr>
          <w:rFonts w:ascii="Calibri" w:hAnsi="Calibri" w:cs="Calibri"/>
          <w:i/>
          <w:iCs/>
        </w:rPr>
        <w:t>4</w:t>
      </w:r>
      <w:r w:rsidRPr="00FC77C3">
        <w:rPr>
          <w:rFonts w:ascii="Calibri" w:hAnsi="Calibri" w:cs="Calibri"/>
        </w:rPr>
        <w:t>(1), 103–120.</w:t>
      </w:r>
    </w:p>
    <w:p w14:paraId="31E94533" w14:textId="77777777" w:rsidR="00FC77C3" w:rsidRPr="00FC77C3" w:rsidRDefault="00FC77C3" w:rsidP="00FC77C3">
      <w:pPr>
        <w:pStyle w:val="Bibliography"/>
        <w:rPr>
          <w:rFonts w:ascii="Calibri" w:hAnsi="Calibri" w:cs="Calibri"/>
        </w:rPr>
      </w:pPr>
      <w:r w:rsidRPr="00FC77C3">
        <w:rPr>
          <w:rFonts w:ascii="Calibri" w:hAnsi="Calibri" w:cs="Calibri"/>
        </w:rPr>
        <w:t xml:space="preserve">Naz, A., Ahmad, N., &amp; Naveed, A. (2017). Wage convergence across European regions: Do international borders matter? </w:t>
      </w:r>
      <w:r w:rsidRPr="00FC77C3">
        <w:rPr>
          <w:rFonts w:ascii="Calibri" w:hAnsi="Calibri" w:cs="Calibri"/>
          <w:i/>
          <w:iCs/>
        </w:rPr>
        <w:t>Journal of Economic Integration</w:t>
      </w:r>
      <w:r w:rsidRPr="00FC77C3">
        <w:rPr>
          <w:rFonts w:ascii="Calibri" w:hAnsi="Calibri" w:cs="Calibri"/>
        </w:rPr>
        <w:t>, 35–64.</w:t>
      </w:r>
    </w:p>
    <w:p w14:paraId="5D1073DE" w14:textId="77777777" w:rsidR="00FC77C3" w:rsidRPr="00FC77C3" w:rsidRDefault="00FC77C3" w:rsidP="00FC77C3">
      <w:pPr>
        <w:pStyle w:val="Bibliography"/>
        <w:rPr>
          <w:rFonts w:ascii="Calibri" w:hAnsi="Calibri" w:cs="Calibri"/>
        </w:rPr>
      </w:pPr>
      <w:r w:rsidRPr="00FC77C3">
        <w:rPr>
          <w:rFonts w:ascii="Calibri" w:hAnsi="Calibri" w:cs="Calibri"/>
        </w:rPr>
        <w:t xml:space="preserve">Neagu, O. (2020). Real Wage Convergence in Romania: Empirical Evidence Based on Club Converging. </w:t>
      </w:r>
      <w:r w:rsidRPr="00FC77C3">
        <w:rPr>
          <w:rFonts w:ascii="Calibri" w:hAnsi="Calibri" w:cs="Calibri"/>
          <w:i/>
          <w:iCs/>
        </w:rPr>
        <w:t>Studia Universitatis Vasile Goldiş, Arad-Seria Ştiinţe Economice</w:t>
      </w:r>
      <w:r w:rsidRPr="00FC77C3">
        <w:rPr>
          <w:rFonts w:ascii="Calibri" w:hAnsi="Calibri" w:cs="Calibri"/>
        </w:rPr>
        <w:t xml:space="preserve">, </w:t>
      </w:r>
      <w:r w:rsidRPr="00FC77C3">
        <w:rPr>
          <w:rFonts w:ascii="Calibri" w:hAnsi="Calibri" w:cs="Calibri"/>
          <w:i/>
          <w:iCs/>
        </w:rPr>
        <w:t>30</w:t>
      </w:r>
      <w:r w:rsidRPr="00FC77C3">
        <w:rPr>
          <w:rFonts w:ascii="Calibri" w:hAnsi="Calibri" w:cs="Calibri"/>
        </w:rPr>
        <w:t>(3), 108–117.</w:t>
      </w:r>
    </w:p>
    <w:p w14:paraId="5B39EA48" w14:textId="77777777" w:rsidR="00FC77C3" w:rsidRPr="00FC77C3" w:rsidRDefault="00FC77C3" w:rsidP="00FC77C3">
      <w:pPr>
        <w:pStyle w:val="Bibliography"/>
        <w:rPr>
          <w:rFonts w:ascii="Calibri" w:hAnsi="Calibri" w:cs="Calibri"/>
        </w:rPr>
      </w:pPr>
      <w:r w:rsidRPr="00FC77C3">
        <w:rPr>
          <w:rFonts w:ascii="Calibri" w:hAnsi="Calibri" w:cs="Calibri"/>
        </w:rPr>
        <w:t xml:space="preserve">Negara, S. D., &amp; Hutchinson, F. (2020). Batam: Life after the FTZ? </w:t>
      </w:r>
      <w:r w:rsidRPr="00FC77C3">
        <w:rPr>
          <w:rFonts w:ascii="Calibri" w:hAnsi="Calibri" w:cs="Calibri"/>
          <w:i/>
          <w:iCs/>
        </w:rPr>
        <w:t>Bulletin of Indonesian Economic Studies</w:t>
      </w:r>
      <w:r w:rsidRPr="00FC77C3">
        <w:rPr>
          <w:rFonts w:ascii="Calibri" w:hAnsi="Calibri" w:cs="Calibri"/>
        </w:rPr>
        <w:t xml:space="preserve">, </w:t>
      </w:r>
      <w:r w:rsidRPr="00FC77C3">
        <w:rPr>
          <w:rFonts w:ascii="Calibri" w:hAnsi="Calibri" w:cs="Calibri"/>
          <w:i/>
          <w:iCs/>
        </w:rPr>
        <w:t>56</w:t>
      </w:r>
      <w:r w:rsidRPr="00FC77C3">
        <w:rPr>
          <w:rFonts w:ascii="Calibri" w:hAnsi="Calibri" w:cs="Calibri"/>
        </w:rPr>
        <w:t>(1), 87–125.</w:t>
      </w:r>
    </w:p>
    <w:p w14:paraId="57DDB5CE" w14:textId="77777777" w:rsidR="00FC77C3" w:rsidRPr="00FC77C3" w:rsidRDefault="00FC77C3" w:rsidP="00FC77C3">
      <w:pPr>
        <w:pStyle w:val="Bibliography"/>
        <w:rPr>
          <w:rFonts w:ascii="Calibri" w:hAnsi="Calibri" w:cs="Calibri"/>
        </w:rPr>
      </w:pPr>
      <w:r w:rsidRPr="00FC77C3">
        <w:rPr>
          <w:rFonts w:ascii="Calibri" w:hAnsi="Calibri" w:cs="Calibri"/>
        </w:rPr>
        <w:t xml:space="preserve">Phillips, P. C. B., &amp; Sul, D. (2007). Transition Modelling and Econometric Convergence Tests. </w:t>
      </w:r>
      <w:r w:rsidRPr="00FC77C3">
        <w:rPr>
          <w:rFonts w:ascii="Calibri" w:hAnsi="Calibri" w:cs="Calibri"/>
          <w:i/>
          <w:iCs/>
        </w:rPr>
        <w:t>Econometerica</w:t>
      </w:r>
      <w:r w:rsidRPr="00FC77C3">
        <w:rPr>
          <w:rFonts w:ascii="Calibri" w:hAnsi="Calibri" w:cs="Calibri"/>
        </w:rPr>
        <w:t xml:space="preserve">, </w:t>
      </w:r>
      <w:r w:rsidRPr="00FC77C3">
        <w:rPr>
          <w:rFonts w:ascii="Calibri" w:hAnsi="Calibri" w:cs="Calibri"/>
          <w:i/>
          <w:iCs/>
        </w:rPr>
        <w:t>75</w:t>
      </w:r>
      <w:r w:rsidRPr="00FC77C3">
        <w:rPr>
          <w:rFonts w:ascii="Calibri" w:hAnsi="Calibri" w:cs="Calibri"/>
        </w:rPr>
        <w:t>(6), 1771–1855.</w:t>
      </w:r>
    </w:p>
    <w:p w14:paraId="6F947E05" w14:textId="77777777" w:rsidR="00FC77C3" w:rsidRPr="00FC77C3" w:rsidRDefault="00FC77C3" w:rsidP="00FC77C3">
      <w:pPr>
        <w:pStyle w:val="Bibliography"/>
        <w:rPr>
          <w:rFonts w:ascii="Calibri" w:hAnsi="Calibri" w:cs="Calibri"/>
        </w:rPr>
      </w:pPr>
      <w:r w:rsidRPr="00FC77C3">
        <w:rPr>
          <w:rFonts w:ascii="Calibri" w:hAnsi="Calibri" w:cs="Calibri"/>
        </w:rPr>
        <w:t xml:space="preserve">Phillips, P. C. B., &amp; Sul, D. (2009). Economic transition and growth. </w:t>
      </w:r>
      <w:r w:rsidRPr="00FC77C3">
        <w:rPr>
          <w:rFonts w:ascii="Calibri" w:hAnsi="Calibri" w:cs="Calibri"/>
          <w:i/>
          <w:iCs/>
        </w:rPr>
        <w:t>Journal of Applied Econometrics</w:t>
      </w:r>
      <w:r w:rsidRPr="00FC77C3">
        <w:rPr>
          <w:rFonts w:ascii="Calibri" w:hAnsi="Calibri" w:cs="Calibri"/>
        </w:rPr>
        <w:t xml:space="preserve">, </w:t>
      </w:r>
      <w:r w:rsidRPr="00FC77C3">
        <w:rPr>
          <w:rFonts w:ascii="Calibri" w:hAnsi="Calibri" w:cs="Calibri"/>
          <w:i/>
          <w:iCs/>
        </w:rPr>
        <w:t>24</w:t>
      </w:r>
      <w:r w:rsidRPr="00FC77C3">
        <w:rPr>
          <w:rFonts w:ascii="Calibri" w:hAnsi="Calibri" w:cs="Calibri"/>
        </w:rPr>
        <w:t>(7), 1153–1185. https://doi.org/10.1002/jae.1080</w:t>
      </w:r>
    </w:p>
    <w:p w14:paraId="2EB36C05" w14:textId="77777777" w:rsidR="00FC77C3" w:rsidRPr="00FC77C3" w:rsidRDefault="00FC77C3" w:rsidP="00FC77C3">
      <w:pPr>
        <w:pStyle w:val="Bibliography"/>
        <w:rPr>
          <w:rFonts w:ascii="Calibri" w:hAnsi="Calibri" w:cs="Calibri"/>
        </w:rPr>
      </w:pPr>
      <w:r w:rsidRPr="00FC77C3">
        <w:rPr>
          <w:rFonts w:ascii="Calibri" w:hAnsi="Calibri" w:cs="Calibri"/>
        </w:rPr>
        <w:lastRenderedPageBreak/>
        <w:t xml:space="preserve">Prado, S., Lundh, C., Collin, K., &amp; Enflo, K. (2020). Labour and the ‘law of one price’: Regional wage convergence of farm workers in Sweden, 1757–1980. </w:t>
      </w:r>
      <w:r w:rsidRPr="00FC77C3">
        <w:rPr>
          <w:rFonts w:ascii="Calibri" w:hAnsi="Calibri" w:cs="Calibri"/>
          <w:i/>
          <w:iCs/>
        </w:rPr>
        <w:t>Scandinavian Economic History Review</w:t>
      </w:r>
      <w:r w:rsidRPr="00FC77C3">
        <w:rPr>
          <w:rFonts w:ascii="Calibri" w:hAnsi="Calibri" w:cs="Calibri"/>
        </w:rPr>
        <w:t>, 1–22.</w:t>
      </w:r>
    </w:p>
    <w:p w14:paraId="3443CC5E" w14:textId="77777777" w:rsidR="00FC77C3" w:rsidRPr="00FC77C3" w:rsidRDefault="00FC77C3" w:rsidP="00FC77C3">
      <w:pPr>
        <w:pStyle w:val="Bibliography"/>
        <w:rPr>
          <w:rFonts w:ascii="Calibri" w:hAnsi="Calibri" w:cs="Calibri"/>
        </w:rPr>
      </w:pPr>
      <w:r w:rsidRPr="00FC77C3">
        <w:rPr>
          <w:rFonts w:ascii="Calibri" w:hAnsi="Calibri" w:cs="Calibri"/>
        </w:rPr>
        <w:t xml:space="preserve">Purwono, R., Yasin, M. Z., Hamzah, I. N., &amp; Arifin, N. (2021). Total factor productivity convergence of Indonesia’s provincial economies, 2011–2017. </w:t>
      </w:r>
      <w:r w:rsidRPr="00FC77C3">
        <w:rPr>
          <w:rFonts w:ascii="Calibri" w:hAnsi="Calibri" w:cs="Calibri"/>
          <w:i/>
          <w:iCs/>
        </w:rPr>
        <w:t>Regional Statistics</w:t>
      </w:r>
      <w:r w:rsidRPr="00FC77C3">
        <w:rPr>
          <w:rFonts w:ascii="Calibri" w:hAnsi="Calibri" w:cs="Calibri"/>
        </w:rPr>
        <w:t xml:space="preserve">, </w:t>
      </w:r>
      <w:r w:rsidRPr="00FC77C3">
        <w:rPr>
          <w:rFonts w:ascii="Calibri" w:hAnsi="Calibri" w:cs="Calibri"/>
          <w:i/>
          <w:iCs/>
        </w:rPr>
        <w:t>11</w:t>
      </w:r>
      <w:r w:rsidRPr="00FC77C3">
        <w:rPr>
          <w:rFonts w:ascii="Calibri" w:hAnsi="Calibri" w:cs="Calibri"/>
        </w:rPr>
        <w:t>(4), 57–78.</w:t>
      </w:r>
    </w:p>
    <w:p w14:paraId="2803EFBE" w14:textId="77777777" w:rsidR="00FC77C3" w:rsidRPr="00FC77C3" w:rsidRDefault="00FC77C3" w:rsidP="00FC77C3">
      <w:pPr>
        <w:pStyle w:val="Bibliography"/>
        <w:rPr>
          <w:rFonts w:ascii="Calibri" w:hAnsi="Calibri" w:cs="Calibri"/>
        </w:rPr>
      </w:pPr>
      <w:r w:rsidRPr="00FC77C3">
        <w:rPr>
          <w:rFonts w:ascii="Calibri" w:hAnsi="Calibri" w:cs="Calibri"/>
        </w:rPr>
        <w:t xml:space="preserve">Quah, D. (1996). Twin peaks: Growth and convergence in models of distribution dynamics. </w:t>
      </w:r>
      <w:r w:rsidRPr="00FC77C3">
        <w:rPr>
          <w:rFonts w:ascii="Calibri" w:hAnsi="Calibri" w:cs="Calibri"/>
          <w:i/>
          <w:iCs/>
        </w:rPr>
        <w:t>Economic Journal</w:t>
      </w:r>
      <w:r w:rsidRPr="00FC77C3">
        <w:rPr>
          <w:rFonts w:ascii="Calibri" w:hAnsi="Calibri" w:cs="Calibri"/>
        </w:rPr>
        <w:t>, 1045–1055.</w:t>
      </w:r>
    </w:p>
    <w:p w14:paraId="3A110B57" w14:textId="77777777" w:rsidR="00FC77C3" w:rsidRPr="00FC77C3" w:rsidRDefault="00FC77C3" w:rsidP="00FC77C3">
      <w:pPr>
        <w:pStyle w:val="Bibliography"/>
        <w:rPr>
          <w:rFonts w:ascii="Calibri" w:hAnsi="Calibri" w:cs="Calibri"/>
        </w:rPr>
      </w:pPr>
      <w:r w:rsidRPr="00FC77C3">
        <w:rPr>
          <w:rFonts w:ascii="Calibri" w:hAnsi="Calibri" w:cs="Calibri"/>
        </w:rPr>
        <w:t xml:space="preserve">Rosenbloom, J. L. (1998). Strikebreaking and the labor market in the United States, 1881-1894. </w:t>
      </w:r>
      <w:r w:rsidRPr="00FC77C3">
        <w:rPr>
          <w:rFonts w:ascii="Calibri" w:hAnsi="Calibri" w:cs="Calibri"/>
          <w:i/>
          <w:iCs/>
        </w:rPr>
        <w:t>Journal of Economic History</w:t>
      </w:r>
      <w:r w:rsidRPr="00FC77C3">
        <w:rPr>
          <w:rFonts w:ascii="Calibri" w:hAnsi="Calibri" w:cs="Calibri"/>
        </w:rPr>
        <w:t>, 183–205.</w:t>
      </w:r>
    </w:p>
    <w:p w14:paraId="3AECCEBD" w14:textId="77777777" w:rsidR="00FC77C3" w:rsidRPr="00FC77C3" w:rsidRDefault="00FC77C3" w:rsidP="00FC77C3">
      <w:pPr>
        <w:pStyle w:val="Bibliography"/>
        <w:rPr>
          <w:rFonts w:ascii="Calibri" w:hAnsi="Calibri" w:cs="Calibri"/>
        </w:rPr>
      </w:pPr>
      <w:r w:rsidRPr="00FC77C3">
        <w:rPr>
          <w:rFonts w:ascii="Calibri" w:hAnsi="Calibri" w:cs="Calibri"/>
        </w:rPr>
        <w:t xml:space="preserve">Rosenbloom, J. L., &amp; Sundstrom, W. A. (2002). The decline in hours of work in us labour markets, 1890–1903. In </w:t>
      </w:r>
      <w:r w:rsidRPr="00FC77C3">
        <w:rPr>
          <w:rFonts w:ascii="Calibri" w:hAnsi="Calibri" w:cs="Calibri"/>
          <w:i/>
          <w:iCs/>
        </w:rPr>
        <w:t>Labour Market Evolution</w:t>
      </w:r>
      <w:r w:rsidRPr="00FC77C3">
        <w:rPr>
          <w:rFonts w:ascii="Calibri" w:hAnsi="Calibri" w:cs="Calibri"/>
        </w:rPr>
        <w:t xml:space="preserve"> (pp. 175–198). Routledge.</w:t>
      </w:r>
    </w:p>
    <w:p w14:paraId="29C4031A" w14:textId="77777777" w:rsidR="00FC77C3" w:rsidRPr="00FC77C3" w:rsidRDefault="00FC77C3" w:rsidP="00FC77C3">
      <w:pPr>
        <w:pStyle w:val="Bibliography"/>
        <w:rPr>
          <w:rFonts w:ascii="Calibri" w:hAnsi="Calibri" w:cs="Calibri"/>
        </w:rPr>
      </w:pPr>
      <w:r w:rsidRPr="00FC77C3">
        <w:rPr>
          <w:rFonts w:ascii="Calibri" w:hAnsi="Calibri" w:cs="Calibri"/>
        </w:rPr>
        <w:t xml:space="preserve">Santos-Marquez, F., Gunawan, A. B., &amp; Mendez, C. (2021). Regional income disparities, distributional convergence, and spatial effects: Evidence from Indonesian regions 2010–2017. </w:t>
      </w:r>
      <w:r w:rsidRPr="00FC77C3">
        <w:rPr>
          <w:rFonts w:ascii="Calibri" w:hAnsi="Calibri" w:cs="Calibri"/>
          <w:i/>
          <w:iCs/>
        </w:rPr>
        <w:t>GeoJournal</w:t>
      </w:r>
      <w:r w:rsidRPr="00FC77C3">
        <w:rPr>
          <w:rFonts w:ascii="Calibri" w:hAnsi="Calibri" w:cs="Calibri"/>
        </w:rPr>
        <w:t>, 1–19.</w:t>
      </w:r>
    </w:p>
    <w:p w14:paraId="5FB7B923" w14:textId="77777777" w:rsidR="00FC77C3" w:rsidRPr="00FC77C3" w:rsidRDefault="00FC77C3" w:rsidP="00FC77C3">
      <w:pPr>
        <w:pStyle w:val="Bibliography"/>
        <w:rPr>
          <w:rFonts w:ascii="Calibri" w:hAnsi="Calibri" w:cs="Calibri"/>
        </w:rPr>
      </w:pPr>
      <w:r w:rsidRPr="00FC77C3">
        <w:rPr>
          <w:rFonts w:ascii="Calibri" w:hAnsi="Calibri" w:cs="Calibri"/>
        </w:rPr>
        <w:t xml:space="preserve">Sichera, R., &amp; Pizzuto, P. (2019). ConvergenceClubs: A package for performing the phillips and sul’s club convergence clustering procedure. </w:t>
      </w:r>
      <w:r w:rsidRPr="00FC77C3">
        <w:rPr>
          <w:rFonts w:ascii="Calibri" w:hAnsi="Calibri" w:cs="Calibri"/>
          <w:i/>
          <w:iCs/>
        </w:rPr>
        <w:t>The R Journal</w:t>
      </w:r>
      <w:r w:rsidRPr="00FC77C3">
        <w:rPr>
          <w:rFonts w:ascii="Calibri" w:hAnsi="Calibri" w:cs="Calibri"/>
        </w:rPr>
        <w:t>.</w:t>
      </w:r>
    </w:p>
    <w:p w14:paraId="26465280" w14:textId="77777777" w:rsidR="00FC77C3" w:rsidRPr="00FC77C3" w:rsidRDefault="00FC77C3" w:rsidP="00FC77C3">
      <w:pPr>
        <w:pStyle w:val="Bibliography"/>
        <w:rPr>
          <w:rFonts w:ascii="Calibri" w:hAnsi="Calibri" w:cs="Calibri"/>
        </w:rPr>
      </w:pPr>
      <w:r w:rsidRPr="00FC77C3">
        <w:rPr>
          <w:rFonts w:ascii="Calibri" w:hAnsi="Calibri" w:cs="Calibri"/>
        </w:rPr>
        <w:t xml:space="preserve">Strain, M. R. (2019). The Link Between Wages and Productivity Is Strong. </w:t>
      </w:r>
      <w:r w:rsidRPr="00FC77C3">
        <w:rPr>
          <w:rFonts w:ascii="Calibri" w:hAnsi="Calibri" w:cs="Calibri"/>
          <w:i/>
          <w:iCs/>
        </w:rPr>
        <w:t>Expanding Economic Opportunity for More Americans, The Aspen Institute</w:t>
      </w:r>
      <w:r w:rsidRPr="00FC77C3">
        <w:rPr>
          <w:rFonts w:ascii="Calibri" w:hAnsi="Calibri" w:cs="Calibri"/>
        </w:rPr>
        <w:t>.</w:t>
      </w:r>
    </w:p>
    <w:p w14:paraId="72D7C9B8" w14:textId="77777777" w:rsidR="00FC77C3" w:rsidRPr="00FC77C3" w:rsidRDefault="00FC77C3" w:rsidP="00FC77C3">
      <w:pPr>
        <w:pStyle w:val="Bibliography"/>
        <w:rPr>
          <w:rFonts w:ascii="Calibri" w:hAnsi="Calibri" w:cs="Calibri"/>
        </w:rPr>
      </w:pPr>
      <w:r w:rsidRPr="00FC77C3">
        <w:rPr>
          <w:rFonts w:ascii="Calibri" w:hAnsi="Calibri" w:cs="Calibri"/>
        </w:rPr>
        <w:t xml:space="preserve">Todaro, M. P., &amp; Smith, S. C. (2003). </w:t>
      </w:r>
      <w:r w:rsidRPr="00FC77C3">
        <w:rPr>
          <w:rFonts w:ascii="Calibri" w:hAnsi="Calibri" w:cs="Calibri"/>
          <w:i/>
          <w:iCs/>
        </w:rPr>
        <w:t>Pembangunan Ekonomi: Di Dunia Ketiga, Jilid 1</w:t>
      </w:r>
      <w:r w:rsidRPr="00FC77C3">
        <w:rPr>
          <w:rFonts w:ascii="Calibri" w:hAnsi="Calibri" w:cs="Calibri"/>
        </w:rPr>
        <w:t>.</w:t>
      </w:r>
    </w:p>
    <w:p w14:paraId="5B629426" w14:textId="77777777" w:rsidR="00FC77C3" w:rsidRPr="00FC77C3" w:rsidRDefault="00FC77C3" w:rsidP="00FC77C3">
      <w:pPr>
        <w:pStyle w:val="Bibliography"/>
        <w:rPr>
          <w:rFonts w:ascii="Calibri" w:hAnsi="Calibri" w:cs="Calibri"/>
        </w:rPr>
      </w:pPr>
      <w:r w:rsidRPr="00FC77C3">
        <w:rPr>
          <w:rFonts w:ascii="Calibri" w:hAnsi="Calibri" w:cs="Calibri"/>
        </w:rPr>
        <w:t xml:space="preserve">Vidyattama, Y. (2006). Regional Convergence and Indonesia Economic Dynamics. </w:t>
      </w:r>
      <w:r w:rsidRPr="00FC77C3">
        <w:rPr>
          <w:rFonts w:ascii="Calibri" w:hAnsi="Calibri" w:cs="Calibri"/>
          <w:i/>
          <w:iCs/>
        </w:rPr>
        <w:t>Economics and Finance in Indonesia</w:t>
      </w:r>
      <w:r w:rsidRPr="00FC77C3">
        <w:rPr>
          <w:rFonts w:ascii="Calibri" w:hAnsi="Calibri" w:cs="Calibri"/>
        </w:rPr>
        <w:t xml:space="preserve">, </w:t>
      </w:r>
      <w:r w:rsidRPr="00FC77C3">
        <w:rPr>
          <w:rFonts w:ascii="Calibri" w:hAnsi="Calibri" w:cs="Calibri"/>
          <w:i/>
          <w:iCs/>
        </w:rPr>
        <w:t>54</w:t>
      </w:r>
      <w:r w:rsidRPr="00FC77C3">
        <w:rPr>
          <w:rFonts w:ascii="Calibri" w:hAnsi="Calibri" w:cs="Calibri"/>
        </w:rPr>
        <w:t>, 197–227.</w:t>
      </w:r>
    </w:p>
    <w:p w14:paraId="6FDA5CD4" w14:textId="77777777" w:rsidR="00FC77C3" w:rsidRPr="00FC77C3" w:rsidRDefault="00FC77C3" w:rsidP="00FC77C3">
      <w:pPr>
        <w:pStyle w:val="Bibliography"/>
        <w:rPr>
          <w:rFonts w:ascii="Calibri" w:hAnsi="Calibri" w:cs="Calibri"/>
        </w:rPr>
      </w:pPr>
      <w:r w:rsidRPr="00FC77C3">
        <w:rPr>
          <w:rFonts w:ascii="Calibri" w:hAnsi="Calibri" w:cs="Calibri"/>
        </w:rPr>
        <w:t xml:space="preserve">Von Lyncker, K., &amp; Thoennessen, R. (2017). Regional club convergence in the EU: Evidence from a panel data analysis. </w:t>
      </w:r>
      <w:r w:rsidRPr="00FC77C3">
        <w:rPr>
          <w:rFonts w:ascii="Calibri" w:hAnsi="Calibri" w:cs="Calibri"/>
          <w:i/>
          <w:iCs/>
        </w:rPr>
        <w:t>Empirical Economics</w:t>
      </w:r>
      <w:r w:rsidRPr="00FC77C3">
        <w:rPr>
          <w:rFonts w:ascii="Calibri" w:hAnsi="Calibri" w:cs="Calibri"/>
        </w:rPr>
        <w:t xml:space="preserve">, </w:t>
      </w:r>
      <w:r w:rsidRPr="00FC77C3">
        <w:rPr>
          <w:rFonts w:ascii="Calibri" w:hAnsi="Calibri" w:cs="Calibri"/>
          <w:i/>
          <w:iCs/>
        </w:rPr>
        <w:t>52</w:t>
      </w:r>
      <w:r w:rsidRPr="00FC77C3">
        <w:rPr>
          <w:rFonts w:ascii="Calibri" w:hAnsi="Calibri" w:cs="Calibri"/>
        </w:rPr>
        <w:t>(2), 525–553.</w:t>
      </w:r>
    </w:p>
    <w:p w14:paraId="4EE36827" w14:textId="4A8DB355" w:rsidR="00971B36" w:rsidRPr="0054671B" w:rsidRDefault="00FD508A" w:rsidP="00430011">
      <w:pPr>
        <w:ind w:leftChars="322" w:left="708"/>
        <w:rPr>
          <w:rFonts w:eastAsia="Adobe Myungjo Std M" w:cstheme="minorHAnsi"/>
          <w:szCs w:val="18"/>
        </w:rPr>
      </w:pPr>
      <w:r w:rsidRPr="0054671B">
        <w:rPr>
          <w:rFonts w:ascii="Bookman Old Style" w:hAnsi="Bookman Old Style"/>
          <w:b/>
          <w:szCs w:val="18"/>
        </w:rPr>
        <w:fldChar w:fldCharType="end"/>
      </w:r>
    </w:p>
    <w:p w14:paraId="48C0653F" w14:textId="77777777" w:rsidR="004D555C" w:rsidRPr="0054671B" w:rsidRDefault="004D555C" w:rsidP="005F5ACD">
      <w:pPr>
        <w:pStyle w:val="ListParagraph"/>
        <w:ind w:left="426"/>
        <w:rPr>
          <w:rFonts w:ascii="Bookman Old Style" w:eastAsia="Adobe Myungjo Std M" w:hAnsi="Bookman Old Style"/>
          <w:b/>
          <w:szCs w:val="18"/>
        </w:rPr>
        <w:sectPr w:rsidR="004D555C" w:rsidRPr="0054671B">
          <w:pgSz w:w="12240" w:h="15840"/>
          <w:pgMar w:top="1440" w:right="1440" w:bottom="1440" w:left="1440" w:header="720" w:footer="720" w:gutter="0"/>
          <w:cols w:space="720"/>
          <w:docGrid w:linePitch="360"/>
        </w:sectPr>
      </w:pPr>
    </w:p>
    <w:p w14:paraId="10155E32" w14:textId="6967A8B7" w:rsidR="003752E0" w:rsidRPr="0054671B" w:rsidRDefault="005F5ACD" w:rsidP="005F5ACD">
      <w:pPr>
        <w:pStyle w:val="ListParagraph"/>
        <w:ind w:left="426"/>
        <w:rPr>
          <w:rFonts w:ascii="Bookman Old Style" w:eastAsia="Adobe Myungjo Std M" w:hAnsi="Bookman Old Style"/>
          <w:b/>
          <w:szCs w:val="18"/>
        </w:rPr>
      </w:pPr>
      <w:r w:rsidRPr="0054671B">
        <w:rPr>
          <w:rFonts w:ascii="Bookman Old Style" w:eastAsia="Adobe Myungjo Std M" w:hAnsi="Bookman Old Style"/>
          <w:b/>
          <w:szCs w:val="18"/>
        </w:rPr>
        <w:lastRenderedPageBreak/>
        <w:t>Appendices</w:t>
      </w:r>
    </w:p>
    <w:p w14:paraId="6CE13BC4" w14:textId="17BEC471" w:rsidR="00597509" w:rsidRPr="0054671B" w:rsidRDefault="00597509" w:rsidP="005F5ACD">
      <w:pPr>
        <w:pStyle w:val="ListParagraph"/>
        <w:ind w:left="426"/>
        <w:rPr>
          <w:rFonts w:ascii="Bookman Old Style" w:eastAsia="Adobe Myungjo Std M" w:hAnsi="Bookman Old Style"/>
          <w:b/>
          <w:szCs w:val="18"/>
        </w:rPr>
      </w:pPr>
    </w:p>
    <w:p w14:paraId="23364A91" w14:textId="3B566E81" w:rsidR="00597509" w:rsidRPr="0054671B" w:rsidRDefault="00597509" w:rsidP="00597509">
      <w:pPr>
        <w:pStyle w:val="ListParagraph"/>
        <w:ind w:left="426"/>
        <w:rPr>
          <w:rFonts w:ascii="Bookman Old Style" w:eastAsia="Adobe Myungjo Std M" w:hAnsi="Bookman Old Style"/>
          <w:b/>
          <w:szCs w:val="18"/>
        </w:rPr>
      </w:pPr>
      <w:bookmarkStart w:id="3" w:name="Xc5d69006932744313775fe901e892f4ba62d16e"/>
      <w:r w:rsidRPr="0054671B">
        <w:rPr>
          <w:rFonts w:ascii="Bookman Old Style" w:eastAsia="Adobe Myungjo Std M" w:hAnsi="Bookman Old Style"/>
          <w:b/>
          <w:szCs w:val="18"/>
        </w:rPr>
        <w:t xml:space="preserve">Appendix 1: </w:t>
      </w:r>
      <w:bookmarkEnd w:id="3"/>
      <w:r w:rsidR="00A642D6" w:rsidRPr="0054671B">
        <w:rPr>
          <w:rFonts w:ascii="Bookman Old Style" w:eastAsia="Adobe Myungjo Std M" w:hAnsi="Bookman Old Style"/>
          <w:b/>
          <w:szCs w:val="18"/>
        </w:rPr>
        <w:t xml:space="preserve">Clustering algorithm for club convergence </w:t>
      </w:r>
    </w:p>
    <w:p w14:paraId="7DDA2021" w14:textId="1F4C569F" w:rsidR="00A642D6" w:rsidRPr="0054671B" w:rsidRDefault="00A642D6" w:rsidP="00597509">
      <w:pPr>
        <w:pStyle w:val="ListParagraph"/>
        <w:ind w:left="426"/>
        <w:rPr>
          <w:rFonts w:ascii="Bookman Old Style" w:eastAsia="Adobe Myungjo Std M" w:hAnsi="Bookman Old Style"/>
          <w:b/>
          <w:szCs w:val="18"/>
        </w:rPr>
      </w:pPr>
    </w:p>
    <w:p w14:paraId="4EA3CA08" w14:textId="40942AE1" w:rsidR="00A642D6" w:rsidRPr="0054671B" w:rsidRDefault="00A642D6" w:rsidP="00A642D6">
      <w:pPr>
        <w:pStyle w:val="ListParagraph"/>
        <w:ind w:left="426"/>
        <w:jc w:val="both"/>
        <w:rPr>
          <w:rFonts w:ascii="Bookman Old Style" w:eastAsia="Adobe Myungjo Std M" w:hAnsi="Bookman Old Style"/>
          <w:b/>
          <w:szCs w:val="18"/>
        </w:rPr>
      </w:pPr>
      <w:r w:rsidRPr="0054671B">
        <w:t xml:space="preserve">When the results from log </w:t>
      </w:r>
      <w:r w:rsidRPr="0054671B">
        <w:rPr>
          <w:i/>
          <w:iCs/>
        </w:rPr>
        <w:t>t</w:t>
      </w:r>
      <w:r w:rsidR="0055597E" w:rsidRPr="0054671B">
        <w:t>-</w:t>
      </w:r>
      <w:r w:rsidRPr="0054671B">
        <w:t xml:space="preserve">test regression reject the null hypothesis of overall convergence, the application of clustering algorithm introduced by </w:t>
      </w:r>
      <w:r w:rsidRPr="0054671B">
        <w:fldChar w:fldCharType="begin"/>
      </w:r>
      <w:r w:rsidR="0024581A" w:rsidRPr="0054671B">
        <w:instrText xml:space="preserve"> ADDIN ZOTERO_ITEM CSL_CITATION {"citationID":"TmapBOUm","properties":{"formattedCitation":"(Peter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54671B">
        <w:fldChar w:fldCharType="separate"/>
      </w:r>
      <w:r w:rsidRPr="0054671B">
        <w:t>Phillips and Sul (2009)</w:t>
      </w:r>
      <w:r w:rsidRPr="0054671B">
        <w:fldChar w:fldCharType="end"/>
      </w:r>
      <w:r w:rsidRPr="0054671B">
        <w:t xml:space="preserve"> can be applied for club convergence identification. The following steps briefly summarize the mechanism of the algorithm:</w:t>
      </w:r>
    </w:p>
    <w:p w14:paraId="7E40D3C5" w14:textId="77777777" w:rsidR="00A642D6" w:rsidRPr="0054671B" w:rsidRDefault="00A642D6" w:rsidP="00597509">
      <w:pPr>
        <w:pStyle w:val="ListParagraph"/>
        <w:ind w:left="426"/>
        <w:rPr>
          <w:rFonts w:ascii="Bookman Old Style" w:eastAsia="Adobe Myungjo Std M" w:hAnsi="Bookman Old Style"/>
          <w:b/>
          <w:szCs w:val="18"/>
        </w:rPr>
      </w:pPr>
    </w:p>
    <w:p w14:paraId="6B72E8DE" w14:textId="77777777" w:rsidR="00E42BFF" w:rsidRPr="0054671B" w:rsidRDefault="00E42BFF"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54671B">
        <w:rPr>
          <w:rFonts w:asciiTheme="minorHAnsi" w:eastAsiaTheme="minorEastAsia" w:hAnsiTheme="minorHAnsi" w:cstheme="minorBidi"/>
          <w:b w:val="0"/>
          <w:i/>
          <w:iCs/>
          <w:sz w:val="22"/>
          <w:szCs w:val="22"/>
          <w:lang w:val="en-US"/>
        </w:rPr>
        <w:t xml:space="preserve">Step 1: </w:t>
      </w:r>
      <w:r w:rsidR="00597509" w:rsidRPr="0054671B">
        <w:rPr>
          <w:rFonts w:asciiTheme="minorHAnsi" w:eastAsiaTheme="minorEastAsia" w:hAnsiTheme="minorHAnsi" w:cstheme="minorBidi"/>
          <w:b w:val="0"/>
          <w:i/>
          <w:iCs/>
          <w:sz w:val="22"/>
          <w:szCs w:val="22"/>
          <w:lang w:val="en-US"/>
        </w:rPr>
        <w:t>Ordering</w:t>
      </w:r>
      <w:r w:rsidRPr="0054671B">
        <w:rPr>
          <w:rFonts w:asciiTheme="minorHAnsi" w:eastAsiaTheme="minorEastAsia" w:hAnsiTheme="minorHAnsi" w:cstheme="minorBidi"/>
          <w:b w:val="0"/>
          <w:i/>
          <w:iCs/>
          <w:sz w:val="22"/>
          <w:szCs w:val="22"/>
          <w:lang w:val="en-US"/>
        </w:rPr>
        <w:t xml:space="preserve"> based on final observation</w:t>
      </w:r>
      <w:r w:rsidR="00597509" w:rsidRPr="0054671B">
        <w:rPr>
          <w:rFonts w:asciiTheme="minorHAnsi" w:eastAsiaTheme="minorEastAsia" w:hAnsiTheme="minorHAnsi" w:cstheme="minorBidi"/>
          <w:b w:val="0"/>
          <w:i/>
          <w:iCs/>
          <w:sz w:val="22"/>
          <w:szCs w:val="22"/>
          <w:lang w:val="en-US"/>
        </w:rPr>
        <w:t xml:space="preserve"> </w:t>
      </w:r>
    </w:p>
    <w:p w14:paraId="74D76DD2" w14:textId="10D9F5FB" w:rsidR="00597509" w:rsidRPr="0054671B" w:rsidRDefault="00CE065A" w:rsidP="00E42BFF">
      <w:pPr>
        <w:pStyle w:val="BodyText"/>
        <w:snapToGrid w:val="0"/>
        <w:spacing w:line="360" w:lineRule="auto"/>
        <w:ind w:left="782"/>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All individual</w:t>
      </w:r>
      <w:r w:rsidR="00597509" w:rsidRPr="0054671B">
        <w:rPr>
          <w:rFonts w:asciiTheme="minorHAnsi" w:eastAsiaTheme="minorEastAsia" w:hAnsiTheme="minorHAnsi" w:cstheme="minorBidi"/>
          <w:b w:val="0"/>
          <w:sz w:val="22"/>
          <w:szCs w:val="22"/>
          <w:lang w:val="en-US"/>
        </w:rPr>
        <w:t xml:space="preserve"> units (</w:t>
      </w:r>
      <w:r w:rsidRPr="0054671B">
        <w:rPr>
          <w:rFonts w:asciiTheme="minorHAnsi" w:eastAsiaTheme="minorEastAsia" w:hAnsiTheme="minorHAnsi" w:cstheme="minorBidi"/>
          <w:b w:val="0"/>
          <w:sz w:val="22"/>
          <w:szCs w:val="22"/>
          <w:lang w:val="en-US"/>
        </w:rPr>
        <w:t xml:space="preserve">in our study, </w:t>
      </w:r>
      <w:r w:rsidR="00597509" w:rsidRPr="0054671B">
        <w:rPr>
          <w:rFonts w:asciiTheme="minorHAnsi" w:eastAsiaTheme="minorEastAsia" w:hAnsiTheme="minorHAnsi" w:cstheme="minorBidi"/>
          <w:b w:val="0"/>
          <w:sz w:val="22"/>
          <w:szCs w:val="22"/>
          <w:lang w:val="en-US"/>
        </w:rPr>
        <w:t>provinces) are arranged in de</w:t>
      </w:r>
      <w:r w:rsidRPr="0054671B">
        <w:rPr>
          <w:rFonts w:asciiTheme="minorHAnsi" w:eastAsiaTheme="minorEastAsia" w:hAnsiTheme="minorHAnsi" w:cstheme="minorBidi"/>
          <w:b w:val="0"/>
          <w:sz w:val="22"/>
          <w:szCs w:val="22"/>
          <w:lang w:val="en-US"/>
        </w:rPr>
        <w:t>scending</w:t>
      </w:r>
      <w:r w:rsidR="00597509" w:rsidRPr="0054671B">
        <w:rPr>
          <w:rFonts w:asciiTheme="minorHAnsi" w:eastAsiaTheme="minorEastAsia" w:hAnsiTheme="minorHAnsi" w:cstheme="minorBidi"/>
          <w:b w:val="0"/>
          <w:sz w:val="22"/>
          <w:szCs w:val="22"/>
          <w:lang w:val="en-US"/>
        </w:rPr>
        <w:t xml:space="preserve"> order</w:t>
      </w:r>
      <w:r w:rsidRPr="0054671B">
        <w:rPr>
          <w:rFonts w:asciiTheme="minorHAnsi" w:eastAsiaTheme="minorEastAsia" w:hAnsiTheme="minorHAnsi" w:cstheme="minorBidi"/>
          <w:b w:val="0"/>
          <w:sz w:val="22"/>
          <w:szCs w:val="22"/>
          <w:lang w:val="en-US"/>
        </w:rPr>
        <w:t xml:space="preserve"> based on</w:t>
      </w:r>
      <w:r w:rsidR="00597509" w:rsidRPr="0054671B">
        <w:rPr>
          <w:rFonts w:asciiTheme="minorHAnsi" w:eastAsiaTheme="minorEastAsia" w:hAnsiTheme="minorHAnsi" w:cstheme="minorBidi"/>
          <w:b w:val="0"/>
          <w:sz w:val="22"/>
          <w:szCs w:val="22"/>
          <w:lang w:val="en-US"/>
        </w:rPr>
        <w:t xml:space="preserve"> the</w:t>
      </w:r>
      <w:r w:rsidRPr="0054671B">
        <w:rPr>
          <w:rFonts w:asciiTheme="minorHAnsi" w:eastAsiaTheme="minorEastAsia" w:hAnsiTheme="minorHAnsi" w:cstheme="minorBidi"/>
          <w:b w:val="0"/>
          <w:sz w:val="22"/>
          <w:szCs w:val="22"/>
          <w:lang w:val="en-US"/>
        </w:rPr>
        <w:t>ir last</w:t>
      </w:r>
      <w:r w:rsidR="00597509" w:rsidRPr="0054671B">
        <w:rPr>
          <w:rFonts w:asciiTheme="minorHAnsi" w:eastAsiaTheme="minorEastAsia" w:hAnsiTheme="minorHAnsi" w:cstheme="minorBidi"/>
          <w:b w:val="0"/>
          <w:sz w:val="22"/>
          <w:szCs w:val="22"/>
          <w:lang w:val="en-US"/>
        </w:rPr>
        <w:t xml:space="preserve"> </w:t>
      </w:r>
      <w:r w:rsidRPr="0054671B">
        <w:rPr>
          <w:rFonts w:asciiTheme="minorHAnsi" w:eastAsiaTheme="minorEastAsia" w:hAnsiTheme="minorHAnsi" w:cstheme="minorBidi"/>
          <w:b w:val="0"/>
          <w:sz w:val="22"/>
          <w:szCs w:val="22"/>
          <w:lang w:val="en-US"/>
        </w:rPr>
        <w:t>observation in the time series dimension of the panel</w:t>
      </w:r>
    </w:p>
    <w:p w14:paraId="70AE4EAE" w14:textId="77777777" w:rsidR="00CE065A" w:rsidRPr="0054671B" w:rsidRDefault="00CE065A"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54671B">
        <w:rPr>
          <w:rFonts w:asciiTheme="minorHAnsi" w:eastAsiaTheme="minorEastAsia" w:hAnsiTheme="minorHAnsi" w:cstheme="minorBidi"/>
          <w:b w:val="0"/>
          <w:i/>
          <w:iCs/>
          <w:sz w:val="22"/>
          <w:szCs w:val="22"/>
          <w:lang w:val="en-US"/>
        </w:rPr>
        <w:t xml:space="preserve">Step 2: The formation of </w:t>
      </w:r>
      <w:r w:rsidR="00597509" w:rsidRPr="0054671B">
        <w:rPr>
          <w:rFonts w:asciiTheme="minorHAnsi" w:eastAsiaTheme="minorEastAsia" w:hAnsiTheme="minorHAnsi" w:cstheme="minorBidi"/>
          <w:b w:val="0"/>
          <w:i/>
          <w:iCs/>
          <w:sz w:val="22"/>
          <w:szCs w:val="22"/>
          <w:lang w:val="en-US"/>
        </w:rPr>
        <w:t>the core group</w:t>
      </w:r>
    </w:p>
    <w:p w14:paraId="5D733DBB" w14:textId="2F5E1A5B" w:rsidR="003D728F" w:rsidRPr="0054671B" w:rsidRDefault="00A25EF0" w:rsidP="00EE4D37">
      <w:pPr>
        <w:pStyle w:val="BodyText"/>
        <w:snapToGrid w:val="0"/>
        <w:spacing w:line="360" w:lineRule="auto"/>
        <w:ind w:left="782"/>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Apply</w:t>
      </w:r>
      <w:r w:rsidR="003D728F" w:rsidRPr="0054671B">
        <w:rPr>
          <w:rFonts w:asciiTheme="minorHAnsi" w:eastAsiaTheme="minorEastAsia" w:hAnsiTheme="minorHAnsi" w:cstheme="minorBidi"/>
          <w:b w:val="0"/>
          <w:sz w:val="22"/>
          <w:szCs w:val="22"/>
          <w:lang w:val="en-US"/>
        </w:rPr>
        <w:t xml:space="preserve"> log t regression is applied to the first </w:t>
      </w:r>
      <m:oMath>
        <m:r>
          <m:rPr>
            <m:sty m:val="bi"/>
          </m:rPr>
          <w:rPr>
            <w:rFonts w:ascii="Cambria Math" w:eastAsiaTheme="minorEastAsia" w:hAnsi="Cambria Math" w:cstheme="minorBidi"/>
            <w:sz w:val="22"/>
            <w:szCs w:val="22"/>
            <w:lang w:val="en-US"/>
          </w:rPr>
          <m:t>k</m:t>
        </m:r>
      </m:oMath>
      <w:r w:rsidR="003D728F" w:rsidRPr="0054671B">
        <w:rPr>
          <w:rFonts w:asciiTheme="minorHAnsi" w:eastAsiaTheme="minorEastAsia" w:hAnsiTheme="minorHAnsi" w:cstheme="minorBidi"/>
          <w:b w:val="0"/>
          <w:i/>
          <w:iCs/>
          <w:sz w:val="22"/>
          <w:szCs w:val="22"/>
          <w:lang w:val="en-US"/>
        </w:rPr>
        <w:t xml:space="preserve"> </w:t>
      </w:r>
      <w:r w:rsidR="003D728F" w:rsidRPr="0054671B">
        <w:rPr>
          <w:rFonts w:asciiTheme="minorHAnsi" w:eastAsiaTheme="minorEastAsia" w:hAnsiTheme="minorHAnsi" w:cstheme="minorBidi"/>
          <w:b w:val="0"/>
          <w:sz w:val="22"/>
          <w:szCs w:val="22"/>
          <w:lang w:val="en-US"/>
        </w:rPr>
        <w:t xml:space="preserve">individual units (provinces), where </w:t>
      </w:r>
      <m:oMath>
        <m:r>
          <m:rPr>
            <m:sty m:val="bi"/>
          </m:rPr>
          <w:rPr>
            <w:rFonts w:ascii="Cambria Math" w:eastAsiaTheme="minorEastAsia" w:hAnsi="Cambria Math" w:cstheme="minorBidi"/>
            <w:sz w:val="22"/>
            <w:szCs w:val="22"/>
            <w:lang w:val="en-US"/>
          </w:rPr>
          <m:t>2</m:t>
        </m:r>
        <m:r>
          <m:rPr>
            <m:sty m:val="bi"/>
          </m:rPr>
          <w:rPr>
            <w:rFonts w:ascii="Cambria Math" w:eastAsia="Yu Mincho" w:hAnsi="Cambria Math" w:cstheme="minorBidi" w:hint="eastAsia"/>
            <w:sz w:val="22"/>
            <w:szCs w:val="22"/>
            <w:lang w:val="en-US"/>
          </w:rPr>
          <m:t>≤</m:t>
        </m:r>
        <m:r>
          <m:rPr>
            <m:sty m:val="bi"/>
          </m:rPr>
          <w:rPr>
            <w:rFonts w:ascii="Cambria Math" w:eastAsiaTheme="minorEastAsia" w:hAnsi="Cambria Math" w:cstheme="minorBidi"/>
            <w:sz w:val="22"/>
            <w:szCs w:val="22"/>
            <w:lang w:val="en-US"/>
          </w:rPr>
          <m:t>k</m:t>
        </m:r>
        <m:r>
          <m:rPr>
            <m:sty m:val="b"/>
          </m:rPr>
          <w:rPr>
            <w:rFonts w:ascii="Cambria Math" w:eastAsiaTheme="minorEastAsia" w:hAnsi="Cambria Math" w:cstheme="minorBidi"/>
            <w:sz w:val="22"/>
            <w:szCs w:val="22"/>
            <w:lang w:val="en-US"/>
          </w:rPr>
          <m:t>&lt;N</m:t>
        </m:r>
      </m:oMath>
      <w:r w:rsidR="003D728F" w:rsidRPr="0054671B">
        <w:rPr>
          <w:rFonts w:asciiTheme="minorHAnsi" w:eastAsiaTheme="minorEastAsia" w:hAnsiTheme="minorHAnsi" w:cstheme="minorBidi" w:hint="eastAsia"/>
          <w:b w:val="0"/>
          <w:sz w:val="22"/>
          <w:szCs w:val="22"/>
          <w:lang w:val="en-US"/>
        </w:rPr>
        <w:t>.</w:t>
      </w:r>
      <w:r w:rsidR="003D728F" w:rsidRPr="0054671B">
        <w:rPr>
          <w:rFonts w:asciiTheme="minorHAnsi" w:eastAsiaTheme="minorEastAsia" w:hAnsiTheme="minorHAnsi" w:cstheme="minorBidi"/>
          <w:b w:val="0"/>
          <w:sz w:val="22"/>
          <w:szCs w:val="22"/>
          <w:lang w:val="en-US"/>
        </w:rPr>
        <w:t xml:space="preserve"> The core group is established when 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3D728F" w:rsidRPr="0054671B">
        <w:rPr>
          <w:rFonts w:asciiTheme="minorHAnsi" w:eastAsiaTheme="minorEastAsia" w:hAnsiTheme="minorHAnsi" w:cstheme="minorBidi"/>
          <w:b w:val="0"/>
          <w:sz w:val="22"/>
          <w:szCs w:val="22"/>
          <w:lang w:val="en-US"/>
        </w:rPr>
        <w:t xml:space="preserve">. If 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54671B">
        <w:rPr>
          <w:rFonts w:asciiTheme="minorHAnsi" w:eastAsiaTheme="minorEastAsia" w:hAnsiTheme="minorHAnsi" w:cstheme="minorBidi"/>
          <w:b w:val="0"/>
          <w:sz w:val="22"/>
          <w:szCs w:val="22"/>
          <w:lang w:val="en-US"/>
        </w:rPr>
        <w:t xml:space="preserve"> in the first</w:t>
      </w:r>
      <w:r w:rsidR="003D728F" w:rsidRPr="0054671B">
        <w:rPr>
          <w:rFonts w:asciiTheme="minorHAnsi" w:eastAsiaTheme="minorEastAsia" w:hAnsiTheme="minorHAnsi" w:cstheme="minorBidi" w:hint="eastAsia"/>
          <w:b w:val="0"/>
          <w:sz w:val="22"/>
          <w:szCs w:val="22"/>
          <w:lang w:val="en-US"/>
        </w:rPr>
        <w:t xml:space="preserve"> </w:t>
      </w:r>
      <m:oMath>
        <m:r>
          <m:rPr>
            <m:sty m:val="bi"/>
          </m:rPr>
          <w:rPr>
            <w:rFonts w:ascii="Cambria Math" w:eastAsiaTheme="minorEastAsia" w:hAnsi="Cambria Math" w:cstheme="minorBidi"/>
            <w:sz w:val="22"/>
            <w:szCs w:val="22"/>
            <w:lang w:val="en-US"/>
          </w:rPr>
          <m:t>k</m:t>
        </m:r>
      </m:oMath>
      <w:r w:rsidR="003D728F" w:rsidRPr="0054671B">
        <w:rPr>
          <w:rFonts w:asciiTheme="minorHAnsi" w:eastAsiaTheme="minorEastAsia" w:hAnsiTheme="minorHAnsi" w:cstheme="minorBidi"/>
          <w:b w:val="0"/>
          <w:sz w:val="22"/>
          <w:szCs w:val="22"/>
          <w:lang w:val="en-US"/>
        </w:rPr>
        <w:t xml:space="preserve"> unit </w:t>
      </w:r>
      <m:oMath>
        <m:r>
          <m:rPr>
            <m:sty m:val="b"/>
          </m:rPr>
          <w:rPr>
            <w:rFonts w:ascii="Cambria Math" w:eastAsiaTheme="minorEastAsia" w:hAnsi="Cambria Math" w:cstheme="minorBidi"/>
            <w:sz w:val="22"/>
            <w:szCs w:val="22"/>
            <w:lang w:val="en-US"/>
          </w:rPr>
          <m:t>&lt;</m:t>
        </m:r>
      </m:oMath>
      <w:r w:rsidR="00EE4D37" w:rsidRPr="0054671B">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EE4D37" w:rsidRPr="0054671B">
        <w:rPr>
          <w:rFonts w:asciiTheme="minorHAnsi" w:eastAsiaTheme="minorEastAsia" w:hAnsiTheme="minorHAnsi" w:cstheme="minorBidi"/>
          <w:b w:val="0"/>
          <w:sz w:val="22"/>
          <w:szCs w:val="22"/>
          <w:lang w:val="en-US"/>
        </w:rPr>
        <w:t>, the first unit is dropped the</w:t>
      </w:r>
      <w:r w:rsidR="00EE4D37" w:rsidRPr="0054671B">
        <w:rPr>
          <w:rFonts w:asciiTheme="minorHAnsi" w:eastAsiaTheme="minorEastAsia" w:hAnsiTheme="minorHAnsi" w:cstheme="minorBidi" w:hint="eastAsia"/>
          <w:b w:val="0"/>
          <w:sz w:val="22"/>
          <w:szCs w:val="22"/>
          <w:lang w:val="en-US"/>
        </w:rPr>
        <w:t xml:space="preserve"> </w:t>
      </w:r>
      <w:r w:rsidR="00EE4D37" w:rsidRPr="0054671B">
        <w:rPr>
          <w:rFonts w:asciiTheme="minorHAnsi" w:eastAsiaTheme="minorEastAsia" w:hAnsiTheme="minorHAnsi" w:cstheme="minorBidi"/>
          <w:b w:val="0"/>
          <w:sz w:val="22"/>
          <w:szCs w:val="22"/>
          <w:lang w:val="en-US"/>
        </w:rPr>
        <w:t>log t regression is applied for the second and third units</w:t>
      </w:r>
      <w:r w:rsidR="003D728F" w:rsidRPr="0054671B">
        <w:rPr>
          <w:rFonts w:asciiTheme="minorHAnsi" w:eastAsiaTheme="minorEastAsia" w:hAnsiTheme="minorHAnsi" w:cstheme="minorBidi"/>
          <w:b w:val="0"/>
          <w:sz w:val="22"/>
          <w:szCs w:val="22"/>
          <w:lang w:val="en-US"/>
        </w:rPr>
        <w:t>. Th</w:t>
      </w:r>
      <w:r w:rsidR="00EE4D37" w:rsidRPr="0054671B">
        <w:rPr>
          <w:rFonts w:asciiTheme="minorHAnsi" w:eastAsiaTheme="minorEastAsia" w:hAnsiTheme="minorHAnsi" w:cstheme="minorBidi"/>
          <w:b w:val="0"/>
          <w:sz w:val="22"/>
          <w:szCs w:val="22"/>
          <w:lang w:val="en-US"/>
        </w:rPr>
        <w:t>is</w:t>
      </w:r>
      <w:r w:rsidR="003D728F" w:rsidRPr="0054671B">
        <w:rPr>
          <w:rFonts w:asciiTheme="minorHAnsi" w:eastAsiaTheme="minorEastAsia" w:hAnsiTheme="minorHAnsi" w:cstheme="minorBidi"/>
          <w:b w:val="0"/>
          <w:sz w:val="22"/>
          <w:szCs w:val="22"/>
          <w:lang w:val="en-US"/>
        </w:rPr>
        <w:t xml:space="preserve"> step </w:t>
      </w:r>
      <w:r w:rsidR="00EE4D37" w:rsidRPr="0054671B">
        <w:rPr>
          <w:rFonts w:asciiTheme="minorHAnsi" w:eastAsiaTheme="minorEastAsia" w:hAnsiTheme="minorHAnsi" w:cstheme="minorBidi"/>
          <w:b w:val="0"/>
          <w:sz w:val="22"/>
          <w:szCs w:val="22"/>
          <w:lang w:val="en-US"/>
        </w:rPr>
        <w:t>continues</w:t>
      </w:r>
      <w:r w:rsidR="003D728F" w:rsidRPr="0054671B">
        <w:rPr>
          <w:rFonts w:asciiTheme="minorHAnsi" w:eastAsiaTheme="minorEastAsia" w:hAnsiTheme="minorHAnsi" w:cstheme="minorBidi"/>
          <w:b w:val="0"/>
          <w:sz w:val="22"/>
          <w:szCs w:val="22"/>
          <w:lang w:val="en-US"/>
        </w:rPr>
        <w:t xml:space="preserve"> until </w:t>
      </w:r>
      <w:r w:rsidR="00EE4D37" w:rsidRPr="0054671B">
        <w:rPr>
          <w:rFonts w:asciiTheme="minorHAnsi" w:eastAsiaTheme="minorEastAsia" w:hAnsiTheme="minorHAnsi" w:cstheme="minorBidi"/>
          <w:b w:val="0"/>
          <w:sz w:val="22"/>
          <w:szCs w:val="22"/>
          <w:lang w:val="en-US"/>
        </w:rPr>
        <w:t>the condition where</w:t>
      </w:r>
      <w:r w:rsidR="003D728F" w:rsidRPr="0054671B">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54671B">
        <w:rPr>
          <w:rFonts w:asciiTheme="minorHAnsi" w:eastAsiaTheme="minorEastAsia" w:hAnsiTheme="minorHAnsi" w:cstheme="minorBidi"/>
          <w:b w:val="0"/>
          <w:sz w:val="22"/>
          <w:szCs w:val="22"/>
          <w:lang w:val="en-US"/>
        </w:rPr>
        <w:t xml:space="preserve"> of the pair units </w:t>
      </w:r>
      <m:oMath>
        <m:r>
          <m:rPr>
            <m:sty m:val="b"/>
          </m:rPr>
          <w:rPr>
            <w:rFonts w:ascii="Cambria Math" w:eastAsiaTheme="minorEastAsia" w:hAnsi="Cambria Math" w:cstheme="minorBidi"/>
            <w:sz w:val="22"/>
            <w:szCs w:val="22"/>
            <w:lang w:val="en-US"/>
          </w:rPr>
          <m:t>&gt;</m:t>
        </m:r>
      </m:oMath>
      <w:r w:rsidR="00EE4D37" w:rsidRPr="0054671B">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54671B">
        <w:rPr>
          <w:rFonts w:asciiTheme="minorHAnsi" w:eastAsiaTheme="minorEastAsia" w:hAnsiTheme="minorHAnsi" w:cstheme="minorBidi"/>
          <w:b w:val="0"/>
          <w:sz w:val="22"/>
          <w:szCs w:val="22"/>
          <w:lang w:val="en-US"/>
        </w:rPr>
        <w:t xml:space="preserve">. </w:t>
      </w:r>
      <w:r w:rsidR="00EE4D37" w:rsidRPr="0054671B">
        <w:rPr>
          <w:rFonts w:asciiTheme="minorHAnsi" w:eastAsiaTheme="minorEastAsia" w:hAnsiTheme="minorHAnsi" w:cstheme="minorBidi"/>
          <w:b w:val="0"/>
          <w:sz w:val="22"/>
          <w:szCs w:val="22"/>
          <w:lang w:val="en-US"/>
        </w:rPr>
        <w:t xml:space="preserve">In the case where </w:t>
      </w:r>
      <w:r w:rsidR="003D728F" w:rsidRPr="0054671B">
        <w:rPr>
          <w:rFonts w:asciiTheme="minorHAnsi" w:eastAsiaTheme="minorEastAsia" w:hAnsiTheme="minorHAnsi" w:cstheme="minorBidi"/>
          <w:b w:val="0"/>
          <w:sz w:val="22"/>
          <w:szCs w:val="22"/>
          <w:lang w:val="en-US"/>
        </w:rPr>
        <w:t xml:space="preserve">no pairs of units showing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54671B">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&gt;</m:t>
        </m:r>
      </m:oMath>
      <w:r w:rsidR="00EE4D37" w:rsidRPr="0054671B">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54671B">
        <w:rPr>
          <w:rFonts w:asciiTheme="minorHAnsi" w:eastAsiaTheme="minorEastAsia" w:hAnsiTheme="minorHAnsi" w:cstheme="minorBidi"/>
          <w:b w:val="0"/>
          <w:sz w:val="22"/>
          <w:szCs w:val="22"/>
          <w:lang w:val="en-US"/>
        </w:rPr>
        <w:t xml:space="preserve"> in</w:t>
      </w:r>
      <w:r w:rsidR="003D728F" w:rsidRPr="0054671B">
        <w:rPr>
          <w:rFonts w:asciiTheme="minorHAnsi" w:eastAsiaTheme="minorEastAsia" w:hAnsiTheme="minorHAnsi" w:cstheme="minorBidi" w:hint="eastAsia"/>
          <w:b w:val="0"/>
          <w:sz w:val="22"/>
          <w:szCs w:val="22"/>
          <w:lang w:val="en-US"/>
        </w:rPr>
        <w:t xml:space="preserve"> </w:t>
      </w:r>
      <w:r w:rsidR="003D728F" w:rsidRPr="0054671B">
        <w:rPr>
          <w:rFonts w:asciiTheme="minorHAnsi" w:eastAsiaTheme="minorEastAsia" w:hAnsiTheme="minorHAnsi" w:cstheme="minorBidi"/>
          <w:b w:val="0"/>
          <w:sz w:val="22"/>
          <w:szCs w:val="22"/>
          <w:lang w:val="en-US"/>
        </w:rPr>
        <w:t xml:space="preserve">the entire sample, </w:t>
      </w:r>
      <w:r w:rsidR="00EE4D37" w:rsidRPr="0054671B">
        <w:rPr>
          <w:rFonts w:asciiTheme="minorHAnsi" w:eastAsiaTheme="minorEastAsia" w:hAnsiTheme="minorHAnsi" w:cstheme="minorBidi"/>
          <w:b w:val="0"/>
          <w:sz w:val="22"/>
          <w:szCs w:val="22"/>
          <w:lang w:val="en-US"/>
        </w:rPr>
        <w:t>the conclude t</w:t>
      </w:r>
      <w:r w:rsidR="003D728F" w:rsidRPr="0054671B">
        <w:rPr>
          <w:rFonts w:asciiTheme="minorHAnsi" w:eastAsiaTheme="minorEastAsia" w:hAnsiTheme="minorHAnsi" w:cstheme="minorBidi"/>
          <w:b w:val="0"/>
          <w:sz w:val="22"/>
          <w:szCs w:val="22"/>
          <w:lang w:val="en-US"/>
        </w:rPr>
        <w:t xml:space="preserve">hat there </w:t>
      </w:r>
      <w:r w:rsidR="00EE4D37" w:rsidRPr="0054671B">
        <w:rPr>
          <w:rFonts w:asciiTheme="minorHAnsi" w:eastAsiaTheme="minorEastAsia" w:hAnsiTheme="minorHAnsi" w:cstheme="minorBidi"/>
          <w:b w:val="0"/>
          <w:sz w:val="22"/>
          <w:szCs w:val="22"/>
          <w:lang w:val="en-US"/>
        </w:rPr>
        <w:t>are</w:t>
      </w:r>
      <w:r w:rsidR="003D728F" w:rsidRPr="0054671B">
        <w:rPr>
          <w:rFonts w:asciiTheme="minorHAnsi" w:eastAsiaTheme="minorEastAsia" w:hAnsiTheme="minorHAnsi" w:cstheme="minorBidi"/>
          <w:b w:val="0"/>
          <w:sz w:val="22"/>
          <w:szCs w:val="22"/>
          <w:lang w:val="en-US"/>
        </w:rPr>
        <w:t xml:space="preserve"> no convergence</w:t>
      </w:r>
      <w:r w:rsidRPr="0054671B">
        <w:rPr>
          <w:rFonts w:asciiTheme="minorHAnsi" w:eastAsiaTheme="minorEastAsia" w:hAnsiTheme="minorHAnsi" w:cstheme="minorBidi"/>
          <w:b w:val="0"/>
          <w:sz w:val="22"/>
          <w:szCs w:val="22"/>
          <w:lang w:val="en-US"/>
        </w:rPr>
        <w:t xml:space="preserve"> clubs</w:t>
      </w:r>
      <w:r w:rsidR="00EE4D37" w:rsidRPr="0054671B">
        <w:rPr>
          <w:rFonts w:asciiTheme="minorHAnsi" w:eastAsiaTheme="minorEastAsia" w:hAnsiTheme="minorHAnsi" w:cstheme="minorBidi"/>
          <w:b w:val="0"/>
          <w:sz w:val="22"/>
          <w:szCs w:val="22"/>
          <w:lang w:val="en-US"/>
        </w:rPr>
        <w:t xml:space="preserve"> </w:t>
      </w:r>
      <w:r w:rsidR="003D728F" w:rsidRPr="0054671B">
        <w:rPr>
          <w:rFonts w:asciiTheme="minorHAnsi" w:eastAsiaTheme="minorEastAsia" w:hAnsiTheme="minorHAnsi" w:cstheme="minorBidi"/>
          <w:b w:val="0"/>
          <w:sz w:val="22"/>
          <w:szCs w:val="22"/>
          <w:lang w:val="en-US"/>
        </w:rPr>
        <w:t>in</w:t>
      </w:r>
      <w:r w:rsidR="003D728F" w:rsidRPr="0054671B">
        <w:rPr>
          <w:rFonts w:asciiTheme="minorHAnsi" w:eastAsiaTheme="minorEastAsia" w:hAnsiTheme="minorHAnsi" w:cstheme="minorBidi" w:hint="eastAsia"/>
          <w:b w:val="0"/>
          <w:sz w:val="22"/>
          <w:szCs w:val="22"/>
          <w:lang w:val="en-US"/>
        </w:rPr>
        <w:t xml:space="preserve"> </w:t>
      </w:r>
      <w:r w:rsidR="003D728F" w:rsidRPr="0054671B">
        <w:rPr>
          <w:rFonts w:asciiTheme="minorHAnsi" w:eastAsiaTheme="minorEastAsia" w:hAnsiTheme="minorHAnsi" w:cstheme="minorBidi"/>
          <w:b w:val="0"/>
          <w:sz w:val="22"/>
          <w:szCs w:val="22"/>
          <w:lang w:val="en-US"/>
        </w:rPr>
        <w:t>the panel.</w:t>
      </w:r>
    </w:p>
    <w:p w14:paraId="7147A60D" w14:textId="5E0E90D7" w:rsidR="00070BD1" w:rsidRPr="0054671B" w:rsidRDefault="00070BD1"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54671B">
        <w:rPr>
          <w:rFonts w:asciiTheme="minorHAnsi" w:eastAsiaTheme="minorEastAsia" w:hAnsiTheme="minorHAnsi" w:cstheme="minorBidi"/>
          <w:b w:val="0"/>
          <w:i/>
          <w:iCs/>
          <w:sz w:val="22"/>
          <w:szCs w:val="22"/>
          <w:lang w:val="en-US"/>
        </w:rPr>
        <w:t xml:space="preserve">Step 3: Filter the data for </w:t>
      </w:r>
      <w:r w:rsidR="00597509" w:rsidRPr="0054671B">
        <w:rPr>
          <w:rFonts w:asciiTheme="minorHAnsi" w:eastAsiaTheme="minorEastAsia" w:hAnsiTheme="minorHAnsi" w:cstheme="minorBidi"/>
          <w:b w:val="0"/>
          <w:i/>
          <w:iCs/>
          <w:sz w:val="22"/>
          <w:szCs w:val="22"/>
          <w:lang w:val="en-US"/>
        </w:rPr>
        <w:t>club membership</w:t>
      </w:r>
    </w:p>
    <w:p w14:paraId="2FCD4F63" w14:textId="29F5B7E7" w:rsidR="00597509" w:rsidRPr="0054671B" w:rsidRDefault="00070BD1" w:rsidP="00070BD1">
      <w:pPr>
        <w:pStyle w:val="BodyText"/>
        <w:snapToGrid w:val="0"/>
        <w:spacing w:line="360" w:lineRule="auto"/>
        <w:ind w:left="782"/>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When the core group of a club is successfully identified, the rest of individual</w:t>
      </w:r>
      <w:r w:rsidR="00597509" w:rsidRPr="0054671B">
        <w:rPr>
          <w:rFonts w:asciiTheme="minorHAnsi" w:eastAsiaTheme="minorEastAsia" w:hAnsiTheme="minorHAnsi" w:cstheme="minorBidi"/>
          <w:b w:val="0"/>
          <w:sz w:val="22"/>
          <w:szCs w:val="22"/>
          <w:lang w:val="en-US"/>
        </w:rPr>
        <w:t xml:space="preserve"> units (provinces) </w:t>
      </w:r>
      <w:r w:rsidRPr="0054671B">
        <w:rPr>
          <w:rFonts w:asciiTheme="minorHAnsi" w:eastAsiaTheme="minorEastAsia" w:hAnsiTheme="minorHAnsi" w:cstheme="minorBidi"/>
          <w:b w:val="0"/>
          <w:sz w:val="22"/>
          <w:szCs w:val="22"/>
          <w:lang w:val="en-US"/>
        </w:rPr>
        <w:t xml:space="preserve">that are </w:t>
      </w:r>
      <w:r w:rsidR="00597509" w:rsidRPr="0054671B">
        <w:rPr>
          <w:rFonts w:asciiTheme="minorHAnsi" w:eastAsiaTheme="minorEastAsia" w:hAnsiTheme="minorHAnsi" w:cstheme="minorBidi"/>
          <w:b w:val="0"/>
          <w:sz w:val="22"/>
          <w:szCs w:val="22"/>
          <w:lang w:val="en-US"/>
        </w:rPr>
        <w:t xml:space="preserve">not belonging to the core group </w:t>
      </w:r>
      <w:r w:rsidRPr="0054671B">
        <w:rPr>
          <w:rFonts w:asciiTheme="minorHAnsi" w:eastAsiaTheme="minorEastAsia" w:hAnsiTheme="minorHAnsi" w:cstheme="minorBidi"/>
          <w:b w:val="0"/>
          <w:sz w:val="22"/>
          <w:szCs w:val="22"/>
          <w:lang w:val="en-US"/>
        </w:rPr>
        <w:t>will be</w:t>
      </w:r>
      <w:r w:rsidR="00597509" w:rsidRPr="0054671B">
        <w:rPr>
          <w:rFonts w:asciiTheme="minorHAnsi" w:eastAsiaTheme="minorEastAsia" w:hAnsiTheme="minorHAnsi" w:cstheme="minorBidi"/>
          <w:b w:val="0"/>
          <w:sz w:val="22"/>
          <w:szCs w:val="22"/>
          <w:lang w:val="en-US"/>
        </w:rPr>
        <w:t xml:space="preserve"> </w:t>
      </w:r>
      <w:r w:rsidRPr="0054671B">
        <w:rPr>
          <w:rFonts w:asciiTheme="minorHAnsi" w:eastAsiaTheme="minorEastAsia" w:hAnsiTheme="minorHAnsi" w:cstheme="minorBidi"/>
          <w:b w:val="0"/>
          <w:sz w:val="22"/>
          <w:szCs w:val="22"/>
          <w:lang w:val="en-US"/>
        </w:rPr>
        <w:t xml:space="preserve">added one at a time and evaluated using </w:t>
      </w:r>
      <w:r w:rsidR="00597509" w:rsidRPr="0054671B">
        <w:rPr>
          <w:rFonts w:asciiTheme="minorHAnsi" w:eastAsiaTheme="minorEastAsia" w:hAnsiTheme="minorHAnsi" w:cstheme="minorBidi"/>
          <w:b w:val="0"/>
          <w:sz w:val="22"/>
          <w:szCs w:val="22"/>
          <w:lang w:val="en-US"/>
        </w:rPr>
        <w:t xml:space="preserve">log t regression. </w:t>
      </w:r>
      <w:r w:rsidR="00882DA0" w:rsidRPr="0054671B">
        <w:rPr>
          <w:rFonts w:asciiTheme="minorHAnsi" w:eastAsiaTheme="minorEastAsia" w:hAnsiTheme="minorHAnsi" w:cstheme="minorBidi"/>
          <w:b w:val="0"/>
          <w:sz w:val="22"/>
          <w:szCs w:val="22"/>
          <w:lang w:val="en-US"/>
        </w:rPr>
        <w:t>If the inclusion of additional unit</w:t>
      </w:r>
      <w:r w:rsidR="00882DA0" w:rsidRPr="0054671B">
        <w:rPr>
          <w:rFonts w:asciiTheme="minorHAnsi" w:eastAsiaTheme="minorEastAsia" w:hAnsiTheme="minorHAnsi" w:cstheme="minorBidi" w:hint="eastAsia"/>
          <w:b w:val="0"/>
          <w:sz w:val="22"/>
          <w:szCs w:val="22"/>
          <w:lang w:val="en-US"/>
        </w:rPr>
        <w:t xml:space="preserve"> </w:t>
      </w:r>
      <w:r w:rsidR="00882DA0" w:rsidRPr="0054671B">
        <w:rPr>
          <w:rFonts w:asciiTheme="minorHAnsi" w:eastAsiaTheme="minorEastAsia" w:hAnsiTheme="minorHAnsi" w:cstheme="minorBidi"/>
          <w:b w:val="0"/>
          <w:sz w:val="22"/>
          <w:szCs w:val="22"/>
          <w:lang w:val="en-US"/>
        </w:rPr>
        <w:t xml:space="preserve">results in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 xml:space="preserve">b </m:t>
            </m:r>
          </m:sub>
        </m:sSub>
        <m:r>
          <m:rPr>
            <m:sty m:val="b"/>
          </m:rPr>
          <w:rPr>
            <w:rFonts w:ascii="Cambria Math" w:eastAsiaTheme="minorEastAsia" w:hAnsi="Cambria Math" w:cstheme="minorBidi"/>
            <w:sz w:val="22"/>
            <w:szCs w:val="22"/>
            <w:lang w:val="en-US"/>
          </w:rPr>
          <m:t>&lt;-1.65</m:t>
        </m:r>
      </m:oMath>
      <w:r w:rsidR="00882DA0" w:rsidRPr="0054671B">
        <w:rPr>
          <w:rFonts w:asciiTheme="minorHAnsi" w:eastAsiaTheme="minorEastAsia" w:hAnsiTheme="minorHAnsi" w:cstheme="minorBidi"/>
          <w:b w:val="0"/>
          <w:sz w:val="22"/>
          <w:szCs w:val="22"/>
          <w:lang w:val="en-US"/>
        </w:rPr>
        <w:t xml:space="preserve">, </w:t>
      </w:r>
      <w:r w:rsidR="00583A3B" w:rsidRPr="0054671B">
        <w:rPr>
          <w:rFonts w:asciiTheme="minorHAnsi" w:eastAsiaTheme="minorEastAsia" w:hAnsiTheme="minorHAnsi" w:cstheme="minorBidi"/>
          <w:b w:val="0"/>
          <w:sz w:val="22"/>
          <w:szCs w:val="22"/>
          <w:lang w:val="en-US"/>
        </w:rPr>
        <w:t>then</w:t>
      </w:r>
      <w:r w:rsidR="00882DA0" w:rsidRPr="0054671B">
        <w:rPr>
          <w:rFonts w:asciiTheme="minorHAnsi" w:eastAsiaTheme="minorEastAsia" w:hAnsiTheme="minorHAnsi" w:cstheme="minorBidi"/>
          <w:b w:val="0"/>
          <w:sz w:val="22"/>
          <w:szCs w:val="22"/>
          <w:lang w:val="en-US"/>
        </w:rPr>
        <w:t xml:space="preserve"> the club convergence only has the core group. Otherwise, a</w:t>
      </w:r>
      <w:r w:rsidR="00597509" w:rsidRPr="0054671B">
        <w:rPr>
          <w:rFonts w:asciiTheme="minorHAnsi" w:eastAsiaTheme="minorEastAsia" w:hAnsiTheme="minorHAnsi" w:cstheme="minorBidi"/>
          <w:b w:val="0"/>
          <w:sz w:val="22"/>
          <w:szCs w:val="22"/>
          <w:lang w:val="en-US"/>
        </w:rPr>
        <w:t xml:space="preserve"> new group is formed when the </w:t>
      </w:r>
      <w:r w:rsidRPr="0054671B">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597509" w:rsidRPr="0054671B">
        <w:rPr>
          <w:rFonts w:asciiTheme="minorHAnsi" w:eastAsiaTheme="minorEastAsia" w:hAnsiTheme="minorHAnsi" w:cstheme="minorBidi"/>
          <w:b w:val="0"/>
          <w:sz w:val="22"/>
          <w:szCs w:val="22"/>
          <w:lang w:val="en-US"/>
        </w:rPr>
        <w:t>.</w:t>
      </w:r>
    </w:p>
    <w:p w14:paraId="11B194BE" w14:textId="6932E256" w:rsidR="00583A3B" w:rsidRPr="0054671B" w:rsidRDefault="00583A3B"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54671B">
        <w:rPr>
          <w:rFonts w:asciiTheme="minorHAnsi" w:eastAsiaTheme="minorEastAsia" w:hAnsiTheme="minorHAnsi" w:cstheme="minorBidi"/>
          <w:b w:val="0"/>
          <w:i/>
          <w:iCs/>
          <w:sz w:val="22"/>
          <w:szCs w:val="22"/>
          <w:lang w:val="en-US"/>
        </w:rPr>
        <w:t xml:space="preserve">Step 4: </w:t>
      </w:r>
      <w:r w:rsidR="00451D8E" w:rsidRPr="0054671B">
        <w:rPr>
          <w:rFonts w:asciiTheme="minorHAnsi" w:eastAsiaTheme="minorEastAsia" w:hAnsiTheme="minorHAnsi" w:cstheme="minorBidi"/>
          <w:b w:val="0"/>
          <w:i/>
          <w:iCs/>
          <w:sz w:val="22"/>
          <w:szCs w:val="22"/>
          <w:lang w:val="en-US"/>
        </w:rPr>
        <w:t>Repetition</w:t>
      </w:r>
      <w:r w:rsidR="00597509" w:rsidRPr="0054671B">
        <w:rPr>
          <w:rFonts w:asciiTheme="minorHAnsi" w:eastAsiaTheme="minorEastAsia" w:hAnsiTheme="minorHAnsi" w:cstheme="minorBidi"/>
          <w:b w:val="0"/>
          <w:i/>
          <w:iCs/>
          <w:sz w:val="22"/>
          <w:szCs w:val="22"/>
          <w:lang w:val="en-US"/>
        </w:rPr>
        <w:t xml:space="preserve"> and stopping rule</w:t>
      </w:r>
    </w:p>
    <w:p w14:paraId="09471D76" w14:textId="21C59AA4" w:rsidR="00DB0A85" w:rsidRPr="0054671B" w:rsidRDefault="00451D8E" w:rsidP="00583A3B">
      <w:pPr>
        <w:pStyle w:val="BodyText"/>
        <w:snapToGrid w:val="0"/>
        <w:spacing w:line="360" w:lineRule="auto"/>
        <w:ind w:left="782"/>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Apply log t regression to</w:t>
      </w:r>
      <w:r w:rsidR="00597509" w:rsidRPr="0054671B">
        <w:rPr>
          <w:rFonts w:asciiTheme="minorHAnsi" w:eastAsiaTheme="minorEastAsia" w:hAnsiTheme="minorHAnsi" w:cstheme="minorBidi"/>
          <w:b w:val="0"/>
          <w:sz w:val="22"/>
          <w:szCs w:val="22"/>
          <w:lang w:val="en-US"/>
        </w:rPr>
        <w:t xml:space="preserve"> the remaining </w:t>
      </w:r>
      <w:r w:rsidRPr="0054671B">
        <w:rPr>
          <w:rFonts w:asciiTheme="minorHAnsi" w:eastAsiaTheme="minorEastAsia" w:hAnsiTheme="minorHAnsi" w:cstheme="minorBidi"/>
          <w:b w:val="0"/>
          <w:sz w:val="22"/>
          <w:szCs w:val="22"/>
          <w:lang w:val="en-US"/>
        </w:rPr>
        <w:t>individual</w:t>
      </w:r>
      <w:r w:rsidR="00597509" w:rsidRPr="0054671B">
        <w:rPr>
          <w:rFonts w:asciiTheme="minorHAnsi" w:eastAsiaTheme="minorEastAsia" w:hAnsiTheme="minorHAnsi" w:cstheme="minorBidi"/>
          <w:b w:val="0"/>
          <w:sz w:val="22"/>
          <w:szCs w:val="22"/>
          <w:lang w:val="en-US"/>
        </w:rPr>
        <w:t xml:space="preserve"> units (provinces). If the </w:t>
      </w:r>
      <w:r w:rsidRPr="0054671B">
        <w:rPr>
          <w:rFonts w:asciiTheme="minorHAnsi" w:eastAsiaTheme="minorEastAsia" w:hAnsiTheme="minorHAnsi" w:cstheme="minorBidi"/>
          <w:b w:val="0"/>
          <w:sz w:val="22"/>
          <w:szCs w:val="22"/>
          <w:lang w:val="en-US"/>
        </w:rPr>
        <w:t xml:space="preserve">results suggest to </w:t>
      </w:r>
      <w:r w:rsidR="00597509" w:rsidRPr="0054671B">
        <w:rPr>
          <w:rFonts w:asciiTheme="minorHAnsi" w:eastAsiaTheme="minorEastAsia" w:hAnsiTheme="minorHAnsi" w:cstheme="minorBidi"/>
          <w:b w:val="0"/>
          <w:sz w:val="22"/>
          <w:szCs w:val="22"/>
          <w:lang w:val="en-US"/>
        </w:rPr>
        <w:t>reject null hypothesis</w:t>
      </w:r>
      <w:r w:rsidRPr="0054671B">
        <w:rPr>
          <w:rFonts w:asciiTheme="minorHAnsi" w:eastAsiaTheme="minorEastAsia" w:hAnsiTheme="minorHAnsi" w:cstheme="minorBidi"/>
          <w:b w:val="0"/>
          <w:sz w:val="22"/>
          <w:szCs w:val="22"/>
          <w:lang w:val="en-US"/>
        </w:rPr>
        <w:t xml:space="preserve"> of convergence,</w:t>
      </w:r>
      <w:r w:rsidR="00597509" w:rsidRPr="0054671B">
        <w:rPr>
          <w:rFonts w:asciiTheme="minorHAnsi" w:eastAsiaTheme="minorEastAsia" w:hAnsiTheme="minorHAnsi" w:cstheme="minorBidi"/>
          <w:b w:val="0"/>
          <w:sz w:val="22"/>
          <w:szCs w:val="22"/>
          <w:lang w:val="en-US"/>
        </w:rPr>
        <w:t xml:space="preserve"> </w:t>
      </w:r>
      <w:r w:rsidRPr="0054671B">
        <w:rPr>
          <w:rFonts w:asciiTheme="minorHAnsi" w:eastAsiaTheme="minorEastAsia" w:hAnsiTheme="minorHAnsi" w:cstheme="minorBidi"/>
          <w:b w:val="0"/>
          <w:sz w:val="22"/>
          <w:szCs w:val="22"/>
          <w:lang w:val="en-US"/>
        </w:rPr>
        <w:t>repeat s</w:t>
      </w:r>
      <w:r w:rsidR="00597509" w:rsidRPr="0054671B">
        <w:rPr>
          <w:rFonts w:asciiTheme="minorHAnsi" w:eastAsiaTheme="minorEastAsia" w:hAnsiTheme="minorHAnsi" w:cstheme="minorBidi"/>
          <w:b w:val="0"/>
          <w:sz w:val="22"/>
          <w:szCs w:val="22"/>
          <w:lang w:val="en-US"/>
        </w:rPr>
        <w:t xml:space="preserve">teps 1 to 3. </w:t>
      </w:r>
      <w:r w:rsidRPr="0054671B">
        <w:rPr>
          <w:rFonts w:asciiTheme="minorHAnsi" w:eastAsiaTheme="minorEastAsia" w:hAnsiTheme="minorHAnsi" w:cstheme="minorBidi"/>
          <w:b w:val="0"/>
          <w:sz w:val="22"/>
          <w:szCs w:val="22"/>
          <w:lang w:val="en-US"/>
        </w:rPr>
        <w:t xml:space="preserve">If there is no core group </w:t>
      </w:r>
      <w:r w:rsidR="008E5516" w:rsidRPr="0054671B">
        <w:rPr>
          <w:rFonts w:asciiTheme="minorHAnsi" w:eastAsiaTheme="minorEastAsia" w:hAnsiTheme="minorHAnsi" w:cstheme="minorBidi"/>
          <w:b w:val="0"/>
          <w:sz w:val="22"/>
          <w:szCs w:val="22"/>
          <w:lang w:val="en-US"/>
        </w:rPr>
        <w:t xml:space="preserve">identified for which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8E5516" w:rsidRPr="0054671B">
        <w:rPr>
          <w:rFonts w:asciiTheme="minorHAnsi" w:eastAsiaTheme="minorEastAsia" w:hAnsiTheme="minorHAnsi" w:cstheme="minorBidi" w:hint="eastAsia"/>
          <w:b w:val="0"/>
          <w:sz w:val="22"/>
          <w:szCs w:val="22"/>
          <w:lang w:val="en-US"/>
        </w:rPr>
        <w:t xml:space="preserve"> </w:t>
      </w:r>
      <w:r w:rsidR="008E5516" w:rsidRPr="0054671B">
        <w:rPr>
          <w:rFonts w:asciiTheme="minorHAnsi" w:eastAsiaTheme="minorEastAsia" w:hAnsiTheme="minorHAnsi" w:cstheme="minorBidi"/>
          <w:b w:val="0"/>
          <w:sz w:val="22"/>
          <w:szCs w:val="22"/>
          <w:lang w:val="en-US"/>
        </w:rPr>
        <w:t>label t</w:t>
      </w:r>
      <w:r w:rsidR="00597509" w:rsidRPr="0054671B">
        <w:rPr>
          <w:rFonts w:asciiTheme="minorHAnsi" w:eastAsiaTheme="minorEastAsia" w:hAnsiTheme="minorHAnsi" w:cstheme="minorBidi"/>
          <w:b w:val="0"/>
          <w:sz w:val="22"/>
          <w:szCs w:val="22"/>
          <w:lang w:val="en-US"/>
        </w:rPr>
        <w:t xml:space="preserve">he reaming </w:t>
      </w:r>
      <w:r w:rsidRPr="0054671B">
        <w:rPr>
          <w:rFonts w:asciiTheme="minorHAnsi" w:eastAsiaTheme="minorEastAsia" w:hAnsiTheme="minorHAnsi" w:cstheme="minorBidi"/>
          <w:b w:val="0"/>
          <w:sz w:val="22"/>
          <w:szCs w:val="22"/>
          <w:lang w:val="en-US"/>
        </w:rPr>
        <w:t>individual</w:t>
      </w:r>
      <w:r w:rsidR="00597509" w:rsidRPr="0054671B">
        <w:rPr>
          <w:rFonts w:asciiTheme="minorHAnsi" w:eastAsiaTheme="minorEastAsia" w:hAnsiTheme="minorHAnsi" w:cstheme="minorBidi"/>
          <w:b w:val="0"/>
          <w:sz w:val="22"/>
          <w:szCs w:val="22"/>
          <w:lang w:val="en-US"/>
        </w:rPr>
        <w:t xml:space="preserve"> units (provinces) as divergent</w:t>
      </w:r>
      <w:r w:rsidR="008E5516" w:rsidRPr="0054671B">
        <w:rPr>
          <w:rFonts w:asciiTheme="minorHAnsi" w:eastAsiaTheme="minorEastAsia" w:hAnsiTheme="minorHAnsi" w:cstheme="minorBidi"/>
          <w:b w:val="0"/>
          <w:sz w:val="22"/>
          <w:szCs w:val="22"/>
          <w:lang w:val="en-US"/>
        </w:rPr>
        <w:t xml:space="preserve"> and </w:t>
      </w:r>
      <w:r w:rsidR="00597509" w:rsidRPr="0054671B">
        <w:rPr>
          <w:rFonts w:asciiTheme="minorHAnsi" w:eastAsiaTheme="minorEastAsia" w:hAnsiTheme="minorHAnsi" w:cstheme="minorBidi"/>
          <w:b w:val="0"/>
          <w:sz w:val="22"/>
          <w:szCs w:val="22"/>
          <w:lang w:val="en-US"/>
        </w:rPr>
        <w:t>the algorithm stops.</w:t>
      </w:r>
    </w:p>
    <w:p w14:paraId="47FD27CD" w14:textId="77777777" w:rsidR="004D555C" w:rsidRPr="0054671B" w:rsidRDefault="004D555C" w:rsidP="00DB0A85">
      <w:pPr>
        <w:pStyle w:val="ListParagraph"/>
        <w:ind w:left="426"/>
        <w:rPr>
          <w:rFonts w:ascii="Bookman Old Style" w:eastAsia="Adobe Myungjo Std M" w:hAnsi="Bookman Old Style"/>
          <w:b/>
          <w:szCs w:val="18"/>
        </w:rPr>
      </w:pPr>
    </w:p>
    <w:p w14:paraId="0D15FBFE" w14:textId="596CE2E4" w:rsidR="00DB0A85" w:rsidRPr="0054671B" w:rsidRDefault="00DB0A85" w:rsidP="00DB0A85">
      <w:pPr>
        <w:pStyle w:val="ListParagraph"/>
        <w:ind w:left="426"/>
        <w:rPr>
          <w:rFonts w:ascii="Bookman Old Style" w:eastAsia="Adobe Myungjo Std M" w:hAnsi="Bookman Old Style"/>
          <w:b/>
          <w:szCs w:val="18"/>
        </w:rPr>
      </w:pPr>
      <w:r w:rsidRPr="0054671B">
        <w:rPr>
          <w:rFonts w:ascii="Bookman Old Style" w:eastAsia="Adobe Myungjo Std M" w:hAnsi="Bookman Old Style"/>
          <w:b/>
          <w:szCs w:val="18"/>
        </w:rPr>
        <w:t xml:space="preserve">Appendix 2: </w:t>
      </w:r>
      <w:r w:rsidR="00BC02DE" w:rsidRPr="0054671B">
        <w:rPr>
          <w:rFonts w:ascii="Bookman Old Style" w:eastAsia="Adobe Myungjo Std M" w:hAnsi="Bookman Old Style"/>
          <w:b/>
          <w:szCs w:val="18"/>
        </w:rPr>
        <w:t>Brief description of the club merging procedure</w:t>
      </w:r>
    </w:p>
    <w:p w14:paraId="0C82EECF" w14:textId="5378EAF8" w:rsidR="00597509" w:rsidRPr="0054671B" w:rsidRDefault="00404FD6" w:rsidP="00337781">
      <w:pPr>
        <w:pStyle w:val="BodyText"/>
        <w:snapToGrid w:val="0"/>
        <w:spacing w:line="360" w:lineRule="auto"/>
        <w:ind w:left="425"/>
        <w:jc w:val="both"/>
        <w:rPr>
          <w:rFonts w:asciiTheme="minorHAnsi" w:eastAsiaTheme="minorEastAsia" w:hAnsiTheme="minorHAnsi" w:cstheme="minorBidi"/>
          <w:b w:val="0"/>
          <w:sz w:val="22"/>
          <w:szCs w:val="22"/>
          <w:lang w:val="en-US"/>
        </w:rPr>
      </w:pPr>
      <w:r w:rsidRPr="0054671B">
        <w:rPr>
          <w:rFonts w:asciiTheme="minorHAnsi" w:eastAsiaTheme="minorEastAsia" w:hAnsiTheme="minorHAnsi" w:cstheme="minorBidi"/>
          <w:b w:val="0"/>
          <w:sz w:val="22"/>
          <w:szCs w:val="22"/>
          <w:lang w:val="en-US"/>
        </w:rPr>
        <w:t xml:space="preserve">Apply log t regression to the first two adjacent groups identified by the initial clustering mechanism. </w:t>
      </w:r>
      <w:r w:rsidR="00DB0A85" w:rsidRPr="0054671B">
        <w:rPr>
          <w:rFonts w:asciiTheme="minorHAnsi" w:eastAsiaTheme="minorEastAsia" w:hAnsiTheme="minorHAnsi" w:cstheme="minorBidi"/>
          <w:b w:val="0"/>
          <w:sz w:val="22"/>
          <w:szCs w:val="22"/>
          <w:lang w:val="en-US"/>
        </w:rPr>
        <w:t xml:space="preserve">If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54671B">
        <w:rPr>
          <w:rFonts w:asciiTheme="minorHAnsi" w:eastAsiaTheme="minorEastAsia" w:hAnsiTheme="minorHAnsi" w:cstheme="minorBidi"/>
          <w:b w:val="0"/>
          <w:sz w:val="22"/>
          <w:szCs w:val="22"/>
          <w:lang w:val="en-US"/>
        </w:rPr>
        <w:t xml:space="preserve">, </w:t>
      </w:r>
      <w:r w:rsidRPr="0054671B">
        <w:rPr>
          <w:rFonts w:asciiTheme="minorHAnsi" w:eastAsiaTheme="minorEastAsia" w:hAnsiTheme="minorHAnsi" w:cstheme="minorBidi"/>
          <w:b w:val="0"/>
          <w:sz w:val="22"/>
          <w:szCs w:val="22"/>
          <w:lang w:val="en-US"/>
        </w:rPr>
        <w:t xml:space="preserve">a new club convergence is formed from </w:t>
      </w:r>
      <w:r w:rsidR="00DB0A85" w:rsidRPr="0054671B">
        <w:rPr>
          <w:rFonts w:asciiTheme="minorHAnsi" w:eastAsiaTheme="minorEastAsia" w:hAnsiTheme="minorHAnsi" w:cstheme="minorBidi"/>
          <w:b w:val="0"/>
          <w:sz w:val="22"/>
          <w:szCs w:val="22"/>
          <w:lang w:val="en-US"/>
        </w:rPr>
        <w:t>these two groups</w:t>
      </w:r>
      <w:r w:rsidRPr="0054671B">
        <w:rPr>
          <w:rFonts w:asciiTheme="minorHAnsi" w:eastAsiaTheme="minorEastAsia" w:hAnsiTheme="minorHAnsi" w:cstheme="minorBidi"/>
          <w:b w:val="0"/>
          <w:sz w:val="22"/>
          <w:szCs w:val="22"/>
          <w:lang w:val="en-US"/>
        </w:rPr>
        <w:t>.</w:t>
      </w:r>
      <w:r w:rsidR="00DB0A85" w:rsidRPr="0054671B">
        <w:rPr>
          <w:rFonts w:asciiTheme="minorHAnsi" w:eastAsiaTheme="minorEastAsia" w:hAnsiTheme="minorHAnsi" w:cstheme="minorBidi"/>
          <w:b w:val="0"/>
          <w:sz w:val="22"/>
          <w:szCs w:val="22"/>
          <w:lang w:val="en-US"/>
        </w:rPr>
        <w:t xml:space="preserve"> </w:t>
      </w:r>
      <w:r w:rsidRPr="0054671B">
        <w:rPr>
          <w:rFonts w:asciiTheme="minorHAnsi" w:eastAsiaTheme="minorEastAsia" w:hAnsiTheme="minorHAnsi" w:cstheme="minorBidi"/>
          <w:b w:val="0"/>
          <w:sz w:val="22"/>
          <w:szCs w:val="22"/>
          <w:lang w:val="en-US"/>
        </w:rPr>
        <w:t>Next, r</w:t>
      </w:r>
      <w:r w:rsidR="00DB0A85" w:rsidRPr="0054671B">
        <w:rPr>
          <w:rFonts w:asciiTheme="minorHAnsi" w:eastAsiaTheme="minorEastAsia" w:hAnsiTheme="minorHAnsi" w:cstheme="minorBidi"/>
          <w:b w:val="0"/>
          <w:sz w:val="22"/>
          <w:szCs w:val="22"/>
          <w:lang w:val="en-US"/>
        </w:rPr>
        <w:t xml:space="preserve">epeat the step by adding the next </w:t>
      </w:r>
      <w:r w:rsidRPr="0054671B">
        <w:rPr>
          <w:rFonts w:asciiTheme="minorHAnsi" w:eastAsiaTheme="minorEastAsia" w:hAnsiTheme="minorHAnsi" w:cstheme="minorBidi"/>
          <w:b w:val="0"/>
          <w:sz w:val="22"/>
          <w:szCs w:val="22"/>
          <w:lang w:val="en-US"/>
        </w:rPr>
        <w:t>group one at a time</w:t>
      </w:r>
      <w:r w:rsidR="00DB0A85" w:rsidRPr="0054671B">
        <w:rPr>
          <w:rFonts w:asciiTheme="minorHAnsi" w:eastAsiaTheme="minorEastAsia" w:hAnsiTheme="minorHAnsi" w:cstheme="minorBidi"/>
          <w:b w:val="0"/>
          <w:sz w:val="22"/>
          <w:szCs w:val="22"/>
          <w:lang w:val="en-US"/>
        </w:rPr>
        <w:t xml:space="preserve"> until the condition of</w:t>
      </w:r>
      <w:r w:rsidRPr="0054671B">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54671B">
        <w:rPr>
          <w:rFonts w:asciiTheme="minorHAnsi" w:eastAsiaTheme="minorEastAsia" w:hAnsiTheme="minorHAnsi" w:cstheme="minorBidi"/>
          <w:b w:val="0"/>
          <w:sz w:val="22"/>
          <w:szCs w:val="22"/>
          <w:lang w:val="en-US"/>
        </w:rPr>
        <w:t xml:space="preserve"> </w:t>
      </w:r>
      <w:r w:rsidR="0022195C" w:rsidRPr="0054671B">
        <w:rPr>
          <w:rFonts w:asciiTheme="minorHAnsi" w:eastAsiaTheme="minorEastAsia" w:hAnsiTheme="minorHAnsi" w:cstheme="minorBidi"/>
          <w:b w:val="0"/>
          <w:sz w:val="22"/>
          <w:szCs w:val="22"/>
          <w:lang w:val="en-US"/>
        </w:rPr>
        <w:t>holds</w:t>
      </w:r>
      <w:r w:rsidR="00DB0A85" w:rsidRPr="0054671B">
        <w:rPr>
          <w:rFonts w:asciiTheme="minorHAnsi" w:eastAsiaTheme="minorEastAsia" w:hAnsiTheme="minorHAnsi" w:cstheme="minorBidi"/>
          <w:b w:val="0"/>
          <w:sz w:val="22"/>
          <w:szCs w:val="22"/>
          <w:lang w:val="en-US"/>
        </w:rPr>
        <w:t xml:space="preserve">. </w:t>
      </w:r>
      <w:r w:rsidR="0022195C" w:rsidRPr="0054671B">
        <w:rPr>
          <w:rFonts w:asciiTheme="minorHAnsi" w:eastAsiaTheme="minorEastAsia" w:hAnsiTheme="minorHAnsi" w:cstheme="minorBidi"/>
          <w:b w:val="0"/>
          <w:sz w:val="22"/>
          <w:szCs w:val="22"/>
          <w:lang w:val="en-US"/>
        </w:rPr>
        <w:t>I</w:t>
      </w:r>
      <w:r w:rsidR="00DB0A85" w:rsidRPr="0054671B">
        <w:rPr>
          <w:rFonts w:asciiTheme="minorHAnsi" w:eastAsiaTheme="minorEastAsia" w:hAnsiTheme="minorHAnsi" w:cstheme="minorBidi"/>
          <w:b w:val="0"/>
          <w:sz w:val="22"/>
          <w:szCs w:val="22"/>
          <w:lang w:val="en-US"/>
        </w:rPr>
        <w:t xml:space="preserve">f </w:t>
      </w:r>
      <w:r w:rsidR="0022195C" w:rsidRPr="0054671B">
        <w:rPr>
          <w:rFonts w:asciiTheme="minorHAnsi" w:eastAsiaTheme="minorEastAsia" w:hAnsiTheme="minorHAnsi" w:cstheme="minorBidi"/>
          <w:b w:val="0"/>
          <w:sz w:val="22"/>
          <w:szCs w:val="22"/>
          <w:lang w:val="en-US"/>
        </w:rPr>
        <w:t xml:space="preserve">the null of </w:t>
      </w:r>
      <w:r w:rsidR="00DB0A85" w:rsidRPr="0054671B">
        <w:rPr>
          <w:rFonts w:asciiTheme="minorHAnsi" w:eastAsiaTheme="minorEastAsia" w:hAnsiTheme="minorHAnsi" w:cstheme="minorBidi"/>
          <w:b w:val="0"/>
          <w:sz w:val="22"/>
          <w:szCs w:val="22"/>
          <w:lang w:val="en-US"/>
        </w:rPr>
        <w:t>convergenc</w:t>
      </w:r>
      <w:r w:rsidR="0022195C" w:rsidRPr="0054671B">
        <w:rPr>
          <w:rFonts w:asciiTheme="minorHAnsi" w:eastAsiaTheme="minorEastAsia" w:hAnsiTheme="minorHAnsi" w:cstheme="minorBidi"/>
          <w:b w:val="0"/>
          <w:sz w:val="22"/>
          <w:szCs w:val="22"/>
          <w:lang w:val="en-US"/>
        </w:rPr>
        <w:t>e</w:t>
      </w:r>
      <w:r w:rsidR="00DB0A85" w:rsidRPr="0054671B">
        <w:rPr>
          <w:rFonts w:asciiTheme="minorHAnsi" w:eastAsiaTheme="minorEastAsia" w:hAnsiTheme="minorHAnsi" w:cstheme="minorBidi"/>
          <w:b w:val="0"/>
          <w:sz w:val="22"/>
          <w:szCs w:val="22"/>
          <w:lang w:val="en-US"/>
        </w:rPr>
        <w:t xml:space="preserve"> is rejected, </w:t>
      </w:r>
      <w:r w:rsidR="0022195C" w:rsidRPr="0054671B">
        <w:rPr>
          <w:rFonts w:asciiTheme="minorHAnsi" w:eastAsiaTheme="minorEastAsia" w:hAnsiTheme="minorHAnsi" w:cstheme="minorBidi"/>
          <w:b w:val="0"/>
          <w:sz w:val="22"/>
          <w:szCs w:val="22"/>
          <w:lang w:val="en-US"/>
        </w:rPr>
        <w:t xml:space="preserve">conclude </w:t>
      </w:r>
      <w:r w:rsidR="00DB0A85" w:rsidRPr="0054671B">
        <w:rPr>
          <w:rFonts w:asciiTheme="minorHAnsi" w:eastAsiaTheme="minorEastAsia" w:hAnsiTheme="minorHAnsi" w:cstheme="minorBidi"/>
          <w:b w:val="0"/>
          <w:sz w:val="22"/>
          <w:szCs w:val="22"/>
          <w:lang w:val="en-US"/>
        </w:rPr>
        <w:t xml:space="preserve">that all previous groups converge, except the last added one. </w:t>
      </w:r>
      <w:r w:rsidR="0022195C" w:rsidRPr="0054671B">
        <w:rPr>
          <w:rFonts w:asciiTheme="minorHAnsi" w:eastAsiaTheme="minorEastAsia" w:hAnsiTheme="minorHAnsi" w:cstheme="minorBidi"/>
          <w:b w:val="0"/>
          <w:sz w:val="22"/>
          <w:szCs w:val="22"/>
          <w:lang w:val="en-US"/>
        </w:rPr>
        <w:t>R</w:t>
      </w:r>
      <w:r w:rsidR="00DB0A85" w:rsidRPr="0054671B">
        <w:rPr>
          <w:rFonts w:asciiTheme="minorHAnsi" w:eastAsiaTheme="minorEastAsia" w:hAnsiTheme="minorHAnsi" w:cstheme="minorBidi"/>
          <w:b w:val="0"/>
          <w:sz w:val="22"/>
          <w:szCs w:val="22"/>
          <w:lang w:val="en-US"/>
        </w:rPr>
        <w:t xml:space="preserve">estart the merging algorithm from the club </w:t>
      </w:r>
      <w:r w:rsidR="0022195C" w:rsidRPr="0054671B">
        <w:rPr>
          <w:rFonts w:asciiTheme="minorHAnsi" w:eastAsiaTheme="minorEastAsia" w:hAnsiTheme="minorHAnsi" w:cstheme="minorBidi"/>
          <w:b w:val="0"/>
          <w:sz w:val="22"/>
          <w:szCs w:val="22"/>
          <w:lang w:val="en-US"/>
        </w:rPr>
        <w:t>where</w:t>
      </w:r>
      <w:r w:rsidR="00DB0A85" w:rsidRPr="0054671B">
        <w:rPr>
          <w:rFonts w:asciiTheme="minorHAnsi" w:eastAsiaTheme="minorEastAsia" w:hAnsiTheme="minorHAnsi" w:cstheme="minorBidi"/>
          <w:b w:val="0"/>
          <w:sz w:val="22"/>
          <w:szCs w:val="22"/>
          <w:lang w:val="en-US"/>
        </w:rPr>
        <w:t xml:space="preserve"> the convergence </w:t>
      </w:r>
      <w:r w:rsidR="0022195C" w:rsidRPr="0054671B">
        <w:rPr>
          <w:rFonts w:asciiTheme="minorHAnsi" w:eastAsiaTheme="minorEastAsia" w:hAnsiTheme="minorHAnsi" w:cstheme="minorBidi"/>
          <w:b w:val="0"/>
          <w:sz w:val="22"/>
          <w:szCs w:val="22"/>
          <w:lang w:val="en-US"/>
        </w:rPr>
        <w:t xml:space="preserve">hypothesis </w:t>
      </w:r>
      <w:r w:rsidR="00DB0A85" w:rsidRPr="0054671B">
        <w:rPr>
          <w:rFonts w:asciiTheme="minorHAnsi" w:eastAsiaTheme="minorEastAsia" w:hAnsiTheme="minorHAnsi" w:cstheme="minorBidi"/>
          <w:b w:val="0"/>
          <w:sz w:val="22"/>
          <w:szCs w:val="22"/>
          <w:lang w:val="en-US"/>
        </w:rPr>
        <w:t>d</w:t>
      </w:r>
      <w:r w:rsidR="0022195C" w:rsidRPr="0054671B">
        <w:rPr>
          <w:rFonts w:asciiTheme="minorHAnsi" w:eastAsiaTheme="minorEastAsia" w:hAnsiTheme="minorHAnsi" w:cstheme="minorBidi"/>
          <w:b w:val="0"/>
          <w:sz w:val="22"/>
          <w:szCs w:val="22"/>
          <w:lang w:val="en-US"/>
        </w:rPr>
        <w:t>id</w:t>
      </w:r>
      <w:r w:rsidR="00DB0A85" w:rsidRPr="0054671B">
        <w:rPr>
          <w:rFonts w:asciiTheme="minorHAnsi" w:eastAsiaTheme="minorEastAsia" w:hAnsiTheme="minorHAnsi" w:cstheme="minorBidi"/>
          <w:b w:val="0"/>
          <w:sz w:val="22"/>
          <w:szCs w:val="22"/>
          <w:lang w:val="en-US"/>
        </w:rPr>
        <w:t xml:space="preserve"> not hold. </w:t>
      </w:r>
    </w:p>
    <w:p w14:paraId="50F1A981" w14:textId="35FE29D7" w:rsidR="00324AC5" w:rsidRDefault="005F5ACD" w:rsidP="00324AC5">
      <w:pPr>
        <w:snapToGrid w:val="0"/>
        <w:spacing w:after="0" w:line="240" w:lineRule="auto"/>
        <w:ind w:left="357"/>
        <w:jc w:val="center"/>
      </w:pPr>
      <w:r w:rsidRPr="0054671B">
        <w:lastRenderedPageBreak/>
        <w:t xml:space="preserve">Table A1. Descriptive statistics of </w:t>
      </w:r>
      <w:r w:rsidR="00422BF6" w:rsidRPr="0054671B">
        <w:t xml:space="preserve">monthly </w:t>
      </w:r>
      <w:r w:rsidRPr="0054671B">
        <w:t>real wage in 34 Indonesian provinces</w:t>
      </w:r>
      <w:r w:rsidR="000F24D5" w:rsidRPr="0054671B">
        <w:rPr>
          <w:noProof/>
        </w:rPr>
        <w:fldChar w:fldCharType="begin"/>
      </w:r>
      <w:r w:rsidR="000F24D5" w:rsidRPr="0054671B">
        <w:rPr>
          <w:noProof/>
        </w:rPr>
        <w:instrText xml:space="preserve"> LINK </w:instrText>
      </w:r>
      <w:r w:rsidR="00324AC5">
        <w:rPr>
          <w:noProof/>
        </w:rPr>
        <w:instrText xml:space="preserve">Excel.Sheet.12 "C:\\Users\\Harry\\QUARCS Lab Dropbox\\Harry Aginta\\Statistik Ecommerce\\wage convergence\\Project_Club_convergence_wage_Indonesia\\desc_stat_fin.xlsx" desc_stat!R2C1:R36C6 </w:instrText>
      </w:r>
      <w:r w:rsidR="000F24D5" w:rsidRPr="0054671B">
        <w:rPr>
          <w:noProof/>
        </w:rPr>
        <w:instrText xml:space="preserve">\a \f 4 \h  \* MERGEFORMAT </w:instrText>
      </w:r>
      <w:r w:rsidR="00324AC5" w:rsidRPr="0054671B">
        <w:rPr>
          <w:noProof/>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324AC5" w:rsidRPr="00324AC5" w14:paraId="28173706" w14:textId="77777777" w:rsidTr="00324AC5">
        <w:trPr>
          <w:divId w:val="1611663280"/>
          <w:trHeight w:val="154"/>
          <w:jc w:val="center"/>
        </w:trPr>
        <w:tc>
          <w:tcPr>
            <w:tcW w:w="543" w:type="dxa"/>
            <w:tcBorders>
              <w:top w:val="single" w:sz="4" w:space="0" w:color="auto"/>
              <w:left w:val="nil"/>
              <w:bottom w:val="single" w:sz="4" w:space="0" w:color="auto"/>
              <w:right w:val="nil"/>
            </w:tcBorders>
            <w:shd w:val="clear" w:color="auto" w:fill="auto"/>
            <w:noWrap/>
            <w:vAlign w:val="center"/>
            <w:hideMark/>
          </w:tcPr>
          <w:p w14:paraId="6A23B2CA" w14:textId="72E832CC" w:rsidR="00324AC5" w:rsidRPr="00324AC5" w:rsidRDefault="00324AC5" w:rsidP="00324AC5">
            <w:pPr>
              <w:spacing w:after="0" w:line="240" w:lineRule="auto"/>
              <w:jc w:val="center"/>
              <w:rPr>
                <w:rFonts w:ascii="Yu Gothic" w:eastAsia="Yu Gothic" w:hAnsi="Yu Gothic" w:cs="MS PGothic"/>
                <w:color w:val="000000"/>
                <w:sz w:val="18"/>
                <w:szCs w:val="18"/>
                <w:lang w:eastAsia="ja-JP"/>
              </w:rPr>
            </w:pPr>
            <w:r w:rsidRPr="00324AC5">
              <w:rPr>
                <w:rFonts w:ascii="Yu Gothic" w:eastAsia="Yu Gothic" w:hAnsi="Yu Gothic" w:cs="MS PGothic" w:hint="eastAsia"/>
                <w:color w:val="000000"/>
                <w:sz w:val="18"/>
                <w:szCs w:val="18"/>
                <w:lang w:eastAsia="ja-JP"/>
              </w:rPr>
              <w:t>No.</w:t>
            </w:r>
          </w:p>
        </w:tc>
        <w:tc>
          <w:tcPr>
            <w:tcW w:w="2859" w:type="dxa"/>
            <w:tcBorders>
              <w:top w:val="single" w:sz="4" w:space="0" w:color="auto"/>
              <w:left w:val="nil"/>
              <w:bottom w:val="single" w:sz="4" w:space="0" w:color="auto"/>
              <w:right w:val="nil"/>
            </w:tcBorders>
            <w:shd w:val="clear" w:color="auto" w:fill="auto"/>
            <w:noWrap/>
            <w:vAlign w:val="center"/>
            <w:hideMark/>
          </w:tcPr>
          <w:p w14:paraId="768EE10C"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Province</w:t>
            </w:r>
          </w:p>
        </w:tc>
        <w:tc>
          <w:tcPr>
            <w:tcW w:w="241" w:type="dxa"/>
            <w:tcBorders>
              <w:top w:val="single" w:sz="4" w:space="0" w:color="auto"/>
              <w:left w:val="nil"/>
              <w:bottom w:val="single" w:sz="4" w:space="0" w:color="auto"/>
              <w:right w:val="nil"/>
            </w:tcBorders>
            <w:shd w:val="clear" w:color="auto" w:fill="auto"/>
            <w:noWrap/>
            <w:vAlign w:val="center"/>
            <w:hideMark/>
          </w:tcPr>
          <w:p w14:paraId="625C7840"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Mean</w:t>
            </w:r>
          </w:p>
        </w:tc>
        <w:tc>
          <w:tcPr>
            <w:tcW w:w="1020" w:type="dxa"/>
            <w:tcBorders>
              <w:top w:val="single" w:sz="4" w:space="0" w:color="auto"/>
              <w:left w:val="nil"/>
              <w:bottom w:val="single" w:sz="4" w:space="0" w:color="auto"/>
              <w:right w:val="nil"/>
            </w:tcBorders>
            <w:shd w:val="clear" w:color="auto" w:fill="auto"/>
            <w:noWrap/>
            <w:vAlign w:val="center"/>
            <w:hideMark/>
          </w:tcPr>
          <w:p w14:paraId="107E28DD"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Std Dev</w:t>
            </w:r>
          </w:p>
        </w:tc>
        <w:tc>
          <w:tcPr>
            <w:tcW w:w="745" w:type="dxa"/>
            <w:tcBorders>
              <w:top w:val="single" w:sz="4" w:space="0" w:color="auto"/>
              <w:left w:val="nil"/>
              <w:bottom w:val="single" w:sz="4" w:space="0" w:color="auto"/>
              <w:right w:val="nil"/>
            </w:tcBorders>
            <w:shd w:val="clear" w:color="auto" w:fill="auto"/>
            <w:noWrap/>
            <w:vAlign w:val="center"/>
            <w:hideMark/>
          </w:tcPr>
          <w:p w14:paraId="52F25231"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Min</w:t>
            </w:r>
          </w:p>
        </w:tc>
        <w:tc>
          <w:tcPr>
            <w:tcW w:w="745" w:type="dxa"/>
            <w:tcBorders>
              <w:top w:val="single" w:sz="4" w:space="0" w:color="auto"/>
              <w:left w:val="nil"/>
              <w:bottom w:val="single" w:sz="4" w:space="0" w:color="auto"/>
              <w:right w:val="nil"/>
            </w:tcBorders>
            <w:shd w:val="clear" w:color="auto" w:fill="auto"/>
            <w:noWrap/>
            <w:vAlign w:val="center"/>
            <w:hideMark/>
          </w:tcPr>
          <w:p w14:paraId="35480C93"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Max</w:t>
            </w:r>
          </w:p>
        </w:tc>
      </w:tr>
      <w:tr w:rsidR="00324AC5" w:rsidRPr="00324AC5" w14:paraId="06A94507" w14:textId="77777777" w:rsidTr="00324AC5">
        <w:trPr>
          <w:divId w:val="1611663280"/>
          <w:trHeight w:val="130"/>
          <w:jc w:val="center"/>
        </w:trPr>
        <w:tc>
          <w:tcPr>
            <w:tcW w:w="543" w:type="dxa"/>
            <w:tcBorders>
              <w:top w:val="nil"/>
              <w:left w:val="nil"/>
              <w:bottom w:val="nil"/>
              <w:right w:val="nil"/>
            </w:tcBorders>
            <w:shd w:val="clear" w:color="auto" w:fill="auto"/>
            <w:noWrap/>
            <w:vAlign w:val="center"/>
            <w:hideMark/>
          </w:tcPr>
          <w:p w14:paraId="1DA6AFEF"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w:t>
            </w:r>
          </w:p>
        </w:tc>
        <w:tc>
          <w:tcPr>
            <w:tcW w:w="2859" w:type="dxa"/>
            <w:tcBorders>
              <w:top w:val="nil"/>
              <w:left w:val="nil"/>
              <w:bottom w:val="nil"/>
              <w:right w:val="nil"/>
            </w:tcBorders>
            <w:shd w:val="clear" w:color="auto" w:fill="auto"/>
            <w:noWrap/>
            <w:vAlign w:val="center"/>
            <w:hideMark/>
          </w:tcPr>
          <w:p w14:paraId="1EB813A1"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Aceh</w:t>
            </w:r>
          </w:p>
        </w:tc>
        <w:tc>
          <w:tcPr>
            <w:tcW w:w="241" w:type="dxa"/>
            <w:tcBorders>
              <w:top w:val="nil"/>
              <w:left w:val="nil"/>
              <w:bottom w:val="nil"/>
              <w:right w:val="nil"/>
            </w:tcBorders>
            <w:shd w:val="clear" w:color="auto" w:fill="auto"/>
            <w:noWrap/>
            <w:vAlign w:val="center"/>
            <w:hideMark/>
          </w:tcPr>
          <w:p w14:paraId="16D5DCFC"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1,057 </w:t>
            </w:r>
          </w:p>
        </w:tc>
        <w:tc>
          <w:tcPr>
            <w:tcW w:w="1020" w:type="dxa"/>
            <w:tcBorders>
              <w:top w:val="nil"/>
              <w:left w:val="nil"/>
              <w:bottom w:val="nil"/>
              <w:right w:val="nil"/>
            </w:tcBorders>
            <w:shd w:val="clear" w:color="auto" w:fill="auto"/>
            <w:noWrap/>
            <w:vAlign w:val="center"/>
            <w:hideMark/>
          </w:tcPr>
          <w:p w14:paraId="258B6CB1"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947 </w:t>
            </w:r>
          </w:p>
        </w:tc>
        <w:tc>
          <w:tcPr>
            <w:tcW w:w="745" w:type="dxa"/>
            <w:tcBorders>
              <w:top w:val="nil"/>
              <w:left w:val="nil"/>
              <w:bottom w:val="nil"/>
              <w:right w:val="nil"/>
            </w:tcBorders>
            <w:shd w:val="clear" w:color="auto" w:fill="auto"/>
            <w:noWrap/>
            <w:vAlign w:val="center"/>
            <w:hideMark/>
          </w:tcPr>
          <w:p w14:paraId="70D57E2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968 </w:t>
            </w:r>
          </w:p>
        </w:tc>
        <w:tc>
          <w:tcPr>
            <w:tcW w:w="745" w:type="dxa"/>
            <w:tcBorders>
              <w:top w:val="nil"/>
              <w:left w:val="nil"/>
              <w:bottom w:val="nil"/>
              <w:right w:val="nil"/>
            </w:tcBorders>
            <w:shd w:val="clear" w:color="auto" w:fill="auto"/>
            <w:noWrap/>
            <w:vAlign w:val="center"/>
            <w:hideMark/>
          </w:tcPr>
          <w:p w14:paraId="4956167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1,231 </w:t>
            </w:r>
          </w:p>
        </w:tc>
      </w:tr>
      <w:tr w:rsidR="00324AC5" w:rsidRPr="00324AC5" w14:paraId="7E5CCDEF" w14:textId="77777777" w:rsidTr="00324AC5">
        <w:trPr>
          <w:divId w:val="1611663280"/>
          <w:trHeight w:val="116"/>
          <w:jc w:val="center"/>
        </w:trPr>
        <w:tc>
          <w:tcPr>
            <w:tcW w:w="543" w:type="dxa"/>
            <w:tcBorders>
              <w:top w:val="nil"/>
              <w:left w:val="nil"/>
              <w:bottom w:val="nil"/>
              <w:right w:val="nil"/>
            </w:tcBorders>
            <w:shd w:val="clear" w:color="auto" w:fill="auto"/>
            <w:noWrap/>
            <w:vAlign w:val="center"/>
            <w:hideMark/>
          </w:tcPr>
          <w:p w14:paraId="26C9D6F1"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w:t>
            </w:r>
          </w:p>
        </w:tc>
        <w:tc>
          <w:tcPr>
            <w:tcW w:w="2859" w:type="dxa"/>
            <w:tcBorders>
              <w:top w:val="nil"/>
              <w:left w:val="nil"/>
              <w:bottom w:val="nil"/>
              <w:right w:val="nil"/>
            </w:tcBorders>
            <w:shd w:val="clear" w:color="auto" w:fill="auto"/>
            <w:noWrap/>
            <w:vAlign w:val="center"/>
            <w:hideMark/>
          </w:tcPr>
          <w:p w14:paraId="28479446"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Bali</w:t>
            </w:r>
          </w:p>
        </w:tc>
        <w:tc>
          <w:tcPr>
            <w:tcW w:w="241" w:type="dxa"/>
            <w:tcBorders>
              <w:top w:val="nil"/>
              <w:left w:val="nil"/>
              <w:bottom w:val="nil"/>
              <w:right w:val="nil"/>
            </w:tcBorders>
            <w:shd w:val="clear" w:color="auto" w:fill="auto"/>
            <w:noWrap/>
            <w:vAlign w:val="center"/>
            <w:hideMark/>
          </w:tcPr>
          <w:p w14:paraId="5D100829"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4B15F8B7"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1,920 </w:t>
            </w:r>
          </w:p>
        </w:tc>
        <w:tc>
          <w:tcPr>
            <w:tcW w:w="745" w:type="dxa"/>
            <w:tcBorders>
              <w:top w:val="nil"/>
              <w:left w:val="nil"/>
              <w:bottom w:val="nil"/>
              <w:right w:val="nil"/>
            </w:tcBorders>
            <w:shd w:val="clear" w:color="auto" w:fill="auto"/>
            <w:noWrap/>
            <w:vAlign w:val="center"/>
            <w:hideMark/>
          </w:tcPr>
          <w:p w14:paraId="24F36CE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1,001 </w:t>
            </w:r>
          </w:p>
        </w:tc>
        <w:tc>
          <w:tcPr>
            <w:tcW w:w="745" w:type="dxa"/>
            <w:tcBorders>
              <w:top w:val="nil"/>
              <w:left w:val="nil"/>
              <w:bottom w:val="nil"/>
              <w:right w:val="nil"/>
            </w:tcBorders>
            <w:shd w:val="clear" w:color="auto" w:fill="auto"/>
            <w:noWrap/>
            <w:vAlign w:val="center"/>
            <w:hideMark/>
          </w:tcPr>
          <w:p w14:paraId="29A6C83E"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1,529 </w:t>
            </w:r>
          </w:p>
        </w:tc>
      </w:tr>
      <w:tr w:rsidR="00324AC5" w:rsidRPr="00324AC5" w14:paraId="5ECD1666" w14:textId="77777777" w:rsidTr="00324AC5">
        <w:trPr>
          <w:divId w:val="1611663280"/>
          <w:trHeight w:val="248"/>
          <w:jc w:val="center"/>
        </w:trPr>
        <w:tc>
          <w:tcPr>
            <w:tcW w:w="543" w:type="dxa"/>
            <w:tcBorders>
              <w:top w:val="nil"/>
              <w:left w:val="nil"/>
              <w:bottom w:val="nil"/>
              <w:right w:val="nil"/>
            </w:tcBorders>
            <w:shd w:val="clear" w:color="auto" w:fill="auto"/>
            <w:noWrap/>
            <w:vAlign w:val="center"/>
            <w:hideMark/>
          </w:tcPr>
          <w:p w14:paraId="49553ABE"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3</w:t>
            </w:r>
          </w:p>
        </w:tc>
        <w:tc>
          <w:tcPr>
            <w:tcW w:w="2859" w:type="dxa"/>
            <w:tcBorders>
              <w:top w:val="nil"/>
              <w:left w:val="nil"/>
              <w:bottom w:val="nil"/>
              <w:right w:val="nil"/>
            </w:tcBorders>
            <w:shd w:val="clear" w:color="auto" w:fill="auto"/>
            <w:noWrap/>
            <w:vAlign w:val="center"/>
            <w:hideMark/>
          </w:tcPr>
          <w:p w14:paraId="65BB5AAC"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Bangka Belitung</w:t>
            </w:r>
          </w:p>
        </w:tc>
        <w:tc>
          <w:tcPr>
            <w:tcW w:w="241" w:type="dxa"/>
            <w:tcBorders>
              <w:top w:val="nil"/>
              <w:left w:val="nil"/>
              <w:bottom w:val="nil"/>
              <w:right w:val="nil"/>
            </w:tcBorders>
            <w:shd w:val="clear" w:color="auto" w:fill="auto"/>
            <w:noWrap/>
            <w:vAlign w:val="center"/>
            <w:hideMark/>
          </w:tcPr>
          <w:p w14:paraId="5F92558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1,017 </w:t>
            </w:r>
          </w:p>
        </w:tc>
        <w:tc>
          <w:tcPr>
            <w:tcW w:w="1020" w:type="dxa"/>
            <w:tcBorders>
              <w:top w:val="nil"/>
              <w:left w:val="nil"/>
              <w:bottom w:val="nil"/>
              <w:right w:val="nil"/>
            </w:tcBorders>
            <w:shd w:val="clear" w:color="auto" w:fill="auto"/>
            <w:noWrap/>
            <w:vAlign w:val="center"/>
            <w:hideMark/>
          </w:tcPr>
          <w:p w14:paraId="0BE8A644"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1,339 </w:t>
            </w:r>
          </w:p>
        </w:tc>
        <w:tc>
          <w:tcPr>
            <w:tcW w:w="745" w:type="dxa"/>
            <w:tcBorders>
              <w:top w:val="nil"/>
              <w:left w:val="nil"/>
              <w:bottom w:val="nil"/>
              <w:right w:val="nil"/>
            </w:tcBorders>
            <w:shd w:val="clear" w:color="auto" w:fill="auto"/>
            <w:noWrap/>
            <w:vAlign w:val="center"/>
            <w:hideMark/>
          </w:tcPr>
          <w:p w14:paraId="773F4056"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784 </w:t>
            </w:r>
          </w:p>
        </w:tc>
        <w:tc>
          <w:tcPr>
            <w:tcW w:w="745" w:type="dxa"/>
            <w:tcBorders>
              <w:top w:val="nil"/>
              <w:left w:val="nil"/>
              <w:bottom w:val="nil"/>
              <w:right w:val="nil"/>
            </w:tcBorders>
            <w:shd w:val="clear" w:color="auto" w:fill="auto"/>
            <w:noWrap/>
            <w:vAlign w:val="center"/>
            <w:hideMark/>
          </w:tcPr>
          <w:p w14:paraId="509427F1"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1,248 </w:t>
            </w:r>
          </w:p>
        </w:tc>
      </w:tr>
      <w:tr w:rsidR="00324AC5" w:rsidRPr="00324AC5" w14:paraId="41359F48" w14:textId="77777777" w:rsidTr="00324AC5">
        <w:trPr>
          <w:divId w:val="1611663280"/>
          <w:trHeight w:val="223"/>
          <w:jc w:val="center"/>
        </w:trPr>
        <w:tc>
          <w:tcPr>
            <w:tcW w:w="543" w:type="dxa"/>
            <w:tcBorders>
              <w:top w:val="nil"/>
              <w:left w:val="nil"/>
              <w:bottom w:val="nil"/>
              <w:right w:val="nil"/>
            </w:tcBorders>
            <w:shd w:val="clear" w:color="auto" w:fill="auto"/>
            <w:noWrap/>
            <w:vAlign w:val="center"/>
            <w:hideMark/>
          </w:tcPr>
          <w:p w14:paraId="7CE13CB0"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4</w:t>
            </w:r>
          </w:p>
        </w:tc>
        <w:tc>
          <w:tcPr>
            <w:tcW w:w="2859" w:type="dxa"/>
            <w:tcBorders>
              <w:top w:val="nil"/>
              <w:left w:val="nil"/>
              <w:bottom w:val="nil"/>
              <w:right w:val="nil"/>
            </w:tcBorders>
            <w:shd w:val="clear" w:color="auto" w:fill="auto"/>
            <w:noWrap/>
            <w:vAlign w:val="center"/>
            <w:hideMark/>
          </w:tcPr>
          <w:p w14:paraId="67E232E2"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Banten</w:t>
            </w:r>
          </w:p>
        </w:tc>
        <w:tc>
          <w:tcPr>
            <w:tcW w:w="241" w:type="dxa"/>
            <w:tcBorders>
              <w:top w:val="nil"/>
              <w:left w:val="nil"/>
              <w:bottom w:val="nil"/>
              <w:right w:val="nil"/>
            </w:tcBorders>
            <w:shd w:val="clear" w:color="auto" w:fill="auto"/>
            <w:noWrap/>
            <w:vAlign w:val="center"/>
            <w:hideMark/>
          </w:tcPr>
          <w:p w14:paraId="6BC6E72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1,371 </w:t>
            </w:r>
          </w:p>
        </w:tc>
        <w:tc>
          <w:tcPr>
            <w:tcW w:w="1020" w:type="dxa"/>
            <w:tcBorders>
              <w:top w:val="nil"/>
              <w:left w:val="nil"/>
              <w:bottom w:val="nil"/>
              <w:right w:val="nil"/>
            </w:tcBorders>
            <w:shd w:val="clear" w:color="auto" w:fill="auto"/>
            <w:noWrap/>
            <w:vAlign w:val="center"/>
            <w:hideMark/>
          </w:tcPr>
          <w:p w14:paraId="489FE32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2,831 </w:t>
            </w:r>
          </w:p>
        </w:tc>
        <w:tc>
          <w:tcPr>
            <w:tcW w:w="745" w:type="dxa"/>
            <w:tcBorders>
              <w:top w:val="nil"/>
              <w:left w:val="nil"/>
              <w:bottom w:val="nil"/>
              <w:right w:val="nil"/>
            </w:tcBorders>
            <w:shd w:val="clear" w:color="auto" w:fill="auto"/>
            <w:noWrap/>
            <w:vAlign w:val="center"/>
            <w:hideMark/>
          </w:tcPr>
          <w:p w14:paraId="38DAD47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987 </w:t>
            </w:r>
          </w:p>
        </w:tc>
        <w:tc>
          <w:tcPr>
            <w:tcW w:w="745" w:type="dxa"/>
            <w:tcBorders>
              <w:top w:val="nil"/>
              <w:left w:val="nil"/>
              <w:bottom w:val="nil"/>
              <w:right w:val="nil"/>
            </w:tcBorders>
            <w:shd w:val="clear" w:color="auto" w:fill="auto"/>
            <w:noWrap/>
            <w:vAlign w:val="center"/>
            <w:hideMark/>
          </w:tcPr>
          <w:p w14:paraId="3E14DB80"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1,797 </w:t>
            </w:r>
          </w:p>
        </w:tc>
      </w:tr>
      <w:tr w:rsidR="00324AC5" w:rsidRPr="00324AC5" w14:paraId="6C070A64"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412C6892"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5</w:t>
            </w:r>
          </w:p>
        </w:tc>
        <w:tc>
          <w:tcPr>
            <w:tcW w:w="2859" w:type="dxa"/>
            <w:tcBorders>
              <w:top w:val="nil"/>
              <w:left w:val="nil"/>
              <w:bottom w:val="nil"/>
              <w:right w:val="nil"/>
            </w:tcBorders>
            <w:shd w:val="clear" w:color="auto" w:fill="auto"/>
            <w:noWrap/>
            <w:vAlign w:val="center"/>
            <w:hideMark/>
          </w:tcPr>
          <w:p w14:paraId="5FB47397"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Bengkulu</w:t>
            </w:r>
          </w:p>
        </w:tc>
        <w:tc>
          <w:tcPr>
            <w:tcW w:w="241" w:type="dxa"/>
            <w:tcBorders>
              <w:top w:val="nil"/>
              <w:left w:val="nil"/>
              <w:bottom w:val="nil"/>
              <w:right w:val="nil"/>
            </w:tcBorders>
            <w:shd w:val="clear" w:color="auto" w:fill="auto"/>
            <w:noWrap/>
            <w:vAlign w:val="center"/>
            <w:hideMark/>
          </w:tcPr>
          <w:p w14:paraId="28C35DC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1,049 </w:t>
            </w:r>
          </w:p>
        </w:tc>
        <w:tc>
          <w:tcPr>
            <w:tcW w:w="1020" w:type="dxa"/>
            <w:tcBorders>
              <w:top w:val="nil"/>
              <w:left w:val="nil"/>
              <w:bottom w:val="nil"/>
              <w:right w:val="nil"/>
            </w:tcBorders>
            <w:shd w:val="clear" w:color="auto" w:fill="auto"/>
            <w:noWrap/>
            <w:vAlign w:val="center"/>
            <w:hideMark/>
          </w:tcPr>
          <w:p w14:paraId="69F20AD6"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685 </w:t>
            </w:r>
          </w:p>
        </w:tc>
        <w:tc>
          <w:tcPr>
            <w:tcW w:w="745" w:type="dxa"/>
            <w:tcBorders>
              <w:top w:val="nil"/>
              <w:left w:val="nil"/>
              <w:bottom w:val="nil"/>
              <w:right w:val="nil"/>
            </w:tcBorders>
            <w:shd w:val="clear" w:color="auto" w:fill="auto"/>
            <w:noWrap/>
            <w:vAlign w:val="center"/>
            <w:hideMark/>
          </w:tcPr>
          <w:p w14:paraId="0596A8A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955 </w:t>
            </w:r>
          </w:p>
        </w:tc>
        <w:tc>
          <w:tcPr>
            <w:tcW w:w="745" w:type="dxa"/>
            <w:tcBorders>
              <w:top w:val="nil"/>
              <w:left w:val="nil"/>
              <w:bottom w:val="nil"/>
              <w:right w:val="nil"/>
            </w:tcBorders>
            <w:shd w:val="clear" w:color="auto" w:fill="auto"/>
            <w:noWrap/>
            <w:vAlign w:val="center"/>
            <w:hideMark/>
          </w:tcPr>
          <w:p w14:paraId="7FD0101C"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1,178 </w:t>
            </w:r>
          </w:p>
        </w:tc>
      </w:tr>
      <w:tr w:rsidR="00324AC5" w:rsidRPr="00324AC5" w14:paraId="0E5C0946"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652680DB"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6</w:t>
            </w:r>
          </w:p>
        </w:tc>
        <w:tc>
          <w:tcPr>
            <w:tcW w:w="2859" w:type="dxa"/>
            <w:tcBorders>
              <w:top w:val="nil"/>
              <w:left w:val="nil"/>
              <w:bottom w:val="nil"/>
              <w:right w:val="nil"/>
            </w:tcBorders>
            <w:shd w:val="clear" w:color="auto" w:fill="auto"/>
            <w:noWrap/>
            <w:vAlign w:val="center"/>
            <w:hideMark/>
          </w:tcPr>
          <w:p w14:paraId="112A4C5F"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Central Java</w:t>
            </w:r>
          </w:p>
        </w:tc>
        <w:tc>
          <w:tcPr>
            <w:tcW w:w="241" w:type="dxa"/>
            <w:tcBorders>
              <w:top w:val="nil"/>
              <w:left w:val="nil"/>
              <w:bottom w:val="nil"/>
              <w:right w:val="nil"/>
            </w:tcBorders>
            <w:shd w:val="clear" w:color="auto" w:fill="auto"/>
            <w:noWrap/>
            <w:vAlign w:val="center"/>
            <w:hideMark/>
          </w:tcPr>
          <w:p w14:paraId="1EC080D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885 </w:t>
            </w:r>
          </w:p>
        </w:tc>
        <w:tc>
          <w:tcPr>
            <w:tcW w:w="1020" w:type="dxa"/>
            <w:tcBorders>
              <w:top w:val="nil"/>
              <w:left w:val="nil"/>
              <w:bottom w:val="nil"/>
              <w:right w:val="nil"/>
            </w:tcBorders>
            <w:shd w:val="clear" w:color="auto" w:fill="auto"/>
            <w:noWrap/>
            <w:vAlign w:val="center"/>
            <w:hideMark/>
          </w:tcPr>
          <w:p w14:paraId="5A1AEDD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1,484 </w:t>
            </w:r>
          </w:p>
        </w:tc>
        <w:tc>
          <w:tcPr>
            <w:tcW w:w="745" w:type="dxa"/>
            <w:tcBorders>
              <w:top w:val="nil"/>
              <w:left w:val="nil"/>
              <w:bottom w:val="nil"/>
              <w:right w:val="nil"/>
            </w:tcBorders>
            <w:shd w:val="clear" w:color="auto" w:fill="auto"/>
            <w:noWrap/>
            <w:vAlign w:val="center"/>
            <w:hideMark/>
          </w:tcPr>
          <w:p w14:paraId="56239DC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668 </w:t>
            </w:r>
          </w:p>
        </w:tc>
        <w:tc>
          <w:tcPr>
            <w:tcW w:w="745" w:type="dxa"/>
            <w:tcBorders>
              <w:top w:val="nil"/>
              <w:left w:val="nil"/>
              <w:bottom w:val="nil"/>
              <w:right w:val="nil"/>
            </w:tcBorders>
            <w:shd w:val="clear" w:color="auto" w:fill="auto"/>
            <w:noWrap/>
            <w:vAlign w:val="center"/>
            <w:hideMark/>
          </w:tcPr>
          <w:p w14:paraId="2F69F155"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1,123 </w:t>
            </w:r>
          </w:p>
        </w:tc>
      </w:tr>
      <w:tr w:rsidR="00324AC5" w:rsidRPr="00324AC5" w14:paraId="49E771A5"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7BDC692A"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7</w:t>
            </w:r>
          </w:p>
        </w:tc>
        <w:tc>
          <w:tcPr>
            <w:tcW w:w="2859" w:type="dxa"/>
            <w:tcBorders>
              <w:top w:val="nil"/>
              <w:left w:val="nil"/>
              <w:bottom w:val="nil"/>
              <w:right w:val="nil"/>
            </w:tcBorders>
            <w:shd w:val="clear" w:color="auto" w:fill="auto"/>
            <w:noWrap/>
            <w:vAlign w:val="center"/>
            <w:hideMark/>
          </w:tcPr>
          <w:p w14:paraId="51BB6CF0"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Central Kalimantan</w:t>
            </w:r>
          </w:p>
        </w:tc>
        <w:tc>
          <w:tcPr>
            <w:tcW w:w="241" w:type="dxa"/>
            <w:tcBorders>
              <w:top w:val="nil"/>
              <w:left w:val="nil"/>
              <w:bottom w:val="nil"/>
              <w:right w:val="nil"/>
            </w:tcBorders>
            <w:shd w:val="clear" w:color="auto" w:fill="auto"/>
            <w:noWrap/>
            <w:vAlign w:val="center"/>
            <w:hideMark/>
          </w:tcPr>
          <w:p w14:paraId="1E4F169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1,173 </w:t>
            </w:r>
          </w:p>
        </w:tc>
        <w:tc>
          <w:tcPr>
            <w:tcW w:w="1020" w:type="dxa"/>
            <w:tcBorders>
              <w:top w:val="nil"/>
              <w:left w:val="nil"/>
              <w:bottom w:val="nil"/>
              <w:right w:val="nil"/>
            </w:tcBorders>
            <w:shd w:val="clear" w:color="auto" w:fill="auto"/>
            <w:noWrap/>
            <w:vAlign w:val="center"/>
            <w:hideMark/>
          </w:tcPr>
          <w:p w14:paraId="5B2386A9"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1,886 </w:t>
            </w:r>
          </w:p>
        </w:tc>
        <w:tc>
          <w:tcPr>
            <w:tcW w:w="745" w:type="dxa"/>
            <w:tcBorders>
              <w:top w:val="nil"/>
              <w:left w:val="nil"/>
              <w:bottom w:val="nil"/>
              <w:right w:val="nil"/>
            </w:tcBorders>
            <w:shd w:val="clear" w:color="auto" w:fill="auto"/>
            <w:noWrap/>
            <w:vAlign w:val="center"/>
            <w:hideMark/>
          </w:tcPr>
          <w:p w14:paraId="7CF1E45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857 </w:t>
            </w:r>
          </w:p>
        </w:tc>
        <w:tc>
          <w:tcPr>
            <w:tcW w:w="745" w:type="dxa"/>
            <w:tcBorders>
              <w:top w:val="nil"/>
              <w:left w:val="nil"/>
              <w:bottom w:val="nil"/>
              <w:right w:val="nil"/>
            </w:tcBorders>
            <w:shd w:val="clear" w:color="auto" w:fill="auto"/>
            <w:noWrap/>
            <w:vAlign w:val="center"/>
            <w:hideMark/>
          </w:tcPr>
          <w:p w14:paraId="66D30EB0"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1,452 </w:t>
            </w:r>
          </w:p>
        </w:tc>
      </w:tr>
      <w:tr w:rsidR="00324AC5" w:rsidRPr="00324AC5" w14:paraId="15B572FA"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4EFF9C82"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8</w:t>
            </w:r>
          </w:p>
        </w:tc>
        <w:tc>
          <w:tcPr>
            <w:tcW w:w="2859" w:type="dxa"/>
            <w:tcBorders>
              <w:top w:val="nil"/>
              <w:left w:val="nil"/>
              <w:bottom w:val="nil"/>
              <w:right w:val="nil"/>
            </w:tcBorders>
            <w:shd w:val="clear" w:color="auto" w:fill="auto"/>
            <w:noWrap/>
            <w:vAlign w:val="center"/>
            <w:hideMark/>
          </w:tcPr>
          <w:p w14:paraId="3F2411B3"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Central Sulawesi</w:t>
            </w:r>
          </w:p>
        </w:tc>
        <w:tc>
          <w:tcPr>
            <w:tcW w:w="241" w:type="dxa"/>
            <w:tcBorders>
              <w:top w:val="nil"/>
              <w:left w:val="nil"/>
              <w:bottom w:val="nil"/>
              <w:right w:val="nil"/>
            </w:tcBorders>
            <w:shd w:val="clear" w:color="auto" w:fill="auto"/>
            <w:noWrap/>
            <w:vAlign w:val="center"/>
            <w:hideMark/>
          </w:tcPr>
          <w:p w14:paraId="65C7DE2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989 </w:t>
            </w:r>
          </w:p>
        </w:tc>
        <w:tc>
          <w:tcPr>
            <w:tcW w:w="1020" w:type="dxa"/>
            <w:tcBorders>
              <w:top w:val="nil"/>
              <w:left w:val="nil"/>
              <w:bottom w:val="nil"/>
              <w:right w:val="nil"/>
            </w:tcBorders>
            <w:shd w:val="clear" w:color="auto" w:fill="auto"/>
            <w:noWrap/>
            <w:vAlign w:val="center"/>
            <w:hideMark/>
          </w:tcPr>
          <w:p w14:paraId="3FA1C3F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824 </w:t>
            </w:r>
          </w:p>
        </w:tc>
        <w:tc>
          <w:tcPr>
            <w:tcW w:w="745" w:type="dxa"/>
            <w:tcBorders>
              <w:top w:val="nil"/>
              <w:left w:val="nil"/>
              <w:bottom w:val="nil"/>
              <w:right w:val="nil"/>
            </w:tcBorders>
            <w:shd w:val="clear" w:color="auto" w:fill="auto"/>
            <w:noWrap/>
            <w:vAlign w:val="center"/>
            <w:hideMark/>
          </w:tcPr>
          <w:p w14:paraId="3BE715F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849 </w:t>
            </w:r>
          </w:p>
        </w:tc>
        <w:tc>
          <w:tcPr>
            <w:tcW w:w="745" w:type="dxa"/>
            <w:tcBorders>
              <w:top w:val="nil"/>
              <w:left w:val="nil"/>
              <w:bottom w:val="nil"/>
              <w:right w:val="nil"/>
            </w:tcBorders>
            <w:shd w:val="clear" w:color="auto" w:fill="auto"/>
            <w:noWrap/>
            <w:vAlign w:val="center"/>
            <w:hideMark/>
          </w:tcPr>
          <w:p w14:paraId="2B41C87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1,120 </w:t>
            </w:r>
          </w:p>
        </w:tc>
      </w:tr>
      <w:tr w:rsidR="00324AC5" w:rsidRPr="00324AC5" w14:paraId="3B2A4476"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6D089531"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9</w:t>
            </w:r>
          </w:p>
        </w:tc>
        <w:tc>
          <w:tcPr>
            <w:tcW w:w="2859" w:type="dxa"/>
            <w:tcBorders>
              <w:top w:val="nil"/>
              <w:left w:val="nil"/>
              <w:bottom w:val="nil"/>
              <w:right w:val="nil"/>
            </w:tcBorders>
            <w:shd w:val="clear" w:color="auto" w:fill="auto"/>
            <w:noWrap/>
            <w:vAlign w:val="center"/>
            <w:hideMark/>
          </w:tcPr>
          <w:p w14:paraId="7D5077BA"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East Java</w:t>
            </w:r>
          </w:p>
        </w:tc>
        <w:tc>
          <w:tcPr>
            <w:tcW w:w="241" w:type="dxa"/>
            <w:tcBorders>
              <w:top w:val="nil"/>
              <w:left w:val="nil"/>
              <w:bottom w:val="nil"/>
              <w:right w:val="nil"/>
            </w:tcBorders>
            <w:shd w:val="clear" w:color="auto" w:fill="auto"/>
            <w:noWrap/>
            <w:vAlign w:val="center"/>
            <w:hideMark/>
          </w:tcPr>
          <w:p w14:paraId="130E0F6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929 </w:t>
            </w:r>
          </w:p>
        </w:tc>
        <w:tc>
          <w:tcPr>
            <w:tcW w:w="1020" w:type="dxa"/>
            <w:tcBorders>
              <w:top w:val="nil"/>
              <w:left w:val="nil"/>
              <w:bottom w:val="nil"/>
              <w:right w:val="nil"/>
            </w:tcBorders>
            <w:shd w:val="clear" w:color="auto" w:fill="auto"/>
            <w:noWrap/>
            <w:vAlign w:val="center"/>
            <w:hideMark/>
          </w:tcPr>
          <w:p w14:paraId="1D710356"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1,553 </w:t>
            </w:r>
          </w:p>
        </w:tc>
        <w:tc>
          <w:tcPr>
            <w:tcW w:w="745" w:type="dxa"/>
            <w:tcBorders>
              <w:top w:val="nil"/>
              <w:left w:val="nil"/>
              <w:bottom w:val="nil"/>
              <w:right w:val="nil"/>
            </w:tcBorders>
            <w:shd w:val="clear" w:color="auto" w:fill="auto"/>
            <w:noWrap/>
            <w:vAlign w:val="center"/>
            <w:hideMark/>
          </w:tcPr>
          <w:p w14:paraId="1399C0D4"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734 </w:t>
            </w:r>
          </w:p>
        </w:tc>
        <w:tc>
          <w:tcPr>
            <w:tcW w:w="745" w:type="dxa"/>
            <w:tcBorders>
              <w:top w:val="nil"/>
              <w:left w:val="nil"/>
              <w:bottom w:val="nil"/>
              <w:right w:val="nil"/>
            </w:tcBorders>
            <w:shd w:val="clear" w:color="auto" w:fill="auto"/>
            <w:noWrap/>
            <w:vAlign w:val="center"/>
            <w:hideMark/>
          </w:tcPr>
          <w:p w14:paraId="0C873C8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1,185 </w:t>
            </w:r>
          </w:p>
        </w:tc>
      </w:tr>
      <w:tr w:rsidR="00324AC5" w:rsidRPr="00324AC5" w14:paraId="7028F4B1"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5F9143E6"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10</w:t>
            </w:r>
          </w:p>
        </w:tc>
        <w:tc>
          <w:tcPr>
            <w:tcW w:w="2859" w:type="dxa"/>
            <w:tcBorders>
              <w:top w:val="nil"/>
              <w:left w:val="nil"/>
              <w:bottom w:val="nil"/>
              <w:right w:val="nil"/>
            </w:tcBorders>
            <w:shd w:val="clear" w:color="auto" w:fill="auto"/>
            <w:noWrap/>
            <w:vAlign w:val="center"/>
            <w:hideMark/>
          </w:tcPr>
          <w:p w14:paraId="62E6B102"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East Kalimantan</w:t>
            </w:r>
          </w:p>
        </w:tc>
        <w:tc>
          <w:tcPr>
            <w:tcW w:w="241" w:type="dxa"/>
            <w:tcBorders>
              <w:top w:val="nil"/>
              <w:left w:val="nil"/>
              <w:bottom w:val="nil"/>
              <w:right w:val="nil"/>
            </w:tcBorders>
            <w:shd w:val="clear" w:color="auto" w:fill="auto"/>
            <w:noWrap/>
            <w:vAlign w:val="center"/>
            <w:hideMark/>
          </w:tcPr>
          <w:p w14:paraId="47218D7E"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1,537 </w:t>
            </w:r>
          </w:p>
        </w:tc>
        <w:tc>
          <w:tcPr>
            <w:tcW w:w="1020" w:type="dxa"/>
            <w:tcBorders>
              <w:top w:val="nil"/>
              <w:left w:val="nil"/>
              <w:bottom w:val="nil"/>
              <w:right w:val="nil"/>
            </w:tcBorders>
            <w:shd w:val="clear" w:color="auto" w:fill="auto"/>
            <w:noWrap/>
            <w:vAlign w:val="center"/>
            <w:hideMark/>
          </w:tcPr>
          <w:p w14:paraId="6D3DE699"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1,583 </w:t>
            </w:r>
          </w:p>
        </w:tc>
        <w:tc>
          <w:tcPr>
            <w:tcW w:w="745" w:type="dxa"/>
            <w:tcBorders>
              <w:top w:val="nil"/>
              <w:left w:val="nil"/>
              <w:bottom w:val="nil"/>
              <w:right w:val="nil"/>
            </w:tcBorders>
            <w:shd w:val="clear" w:color="auto" w:fill="auto"/>
            <w:noWrap/>
            <w:vAlign w:val="center"/>
            <w:hideMark/>
          </w:tcPr>
          <w:p w14:paraId="7AC474E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1,324 </w:t>
            </w:r>
          </w:p>
        </w:tc>
        <w:tc>
          <w:tcPr>
            <w:tcW w:w="745" w:type="dxa"/>
            <w:tcBorders>
              <w:top w:val="nil"/>
              <w:left w:val="nil"/>
              <w:bottom w:val="nil"/>
              <w:right w:val="nil"/>
            </w:tcBorders>
            <w:shd w:val="clear" w:color="auto" w:fill="auto"/>
            <w:noWrap/>
            <w:vAlign w:val="center"/>
            <w:hideMark/>
          </w:tcPr>
          <w:p w14:paraId="5DC52BA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1,839 </w:t>
            </w:r>
          </w:p>
        </w:tc>
      </w:tr>
      <w:tr w:rsidR="00324AC5" w:rsidRPr="00324AC5" w14:paraId="4C855E33" w14:textId="77777777" w:rsidTr="00324AC5">
        <w:trPr>
          <w:divId w:val="1611663280"/>
          <w:trHeight w:val="98"/>
          <w:jc w:val="center"/>
        </w:trPr>
        <w:tc>
          <w:tcPr>
            <w:tcW w:w="543" w:type="dxa"/>
            <w:tcBorders>
              <w:top w:val="nil"/>
              <w:left w:val="nil"/>
              <w:bottom w:val="nil"/>
              <w:right w:val="nil"/>
            </w:tcBorders>
            <w:shd w:val="clear" w:color="auto" w:fill="auto"/>
            <w:noWrap/>
            <w:vAlign w:val="center"/>
            <w:hideMark/>
          </w:tcPr>
          <w:p w14:paraId="6E4025A1"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11</w:t>
            </w:r>
          </w:p>
        </w:tc>
        <w:tc>
          <w:tcPr>
            <w:tcW w:w="2859" w:type="dxa"/>
            <w:tcBorders>
              <w:top w:val="nil"/>
              <w:left w:val="nil"/>
              <w:bottom w:val="nil"/>
              <w:right w:val="nil"/>
            </w:tcBorders>
            <w:shd w:val="clear" w:color="auto" w:fill="auto"/>
            <w:noWrap/>
            <w:vAlign w:val="center"/>
            <w:hideMark/>
          </w:tcPr>
          <w:p w14:paraId="2DF09118"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East Nusa Tenggara</w:t>
            </w:r>
          </w:p>
        </w:tc>
        <w:tc>
          <w:tcPr>
            <w:tcW w:w="241" w:type="dxa"/>
            <w:tcBorders>
              <w:top w:val="nil"/>
              <w:left w:val="nil"/>
              <w:bottom w:val="nil"/>
              <w:right w:val="nil"/>
            </w:tcBorders>
            <w:shd w:val="clear" w:color="auto" w:fill="auto"/>
            <w:noWrap/>
            <w:vAlign w:val="center"/>
            <w:hideMark/>
          </w:tcPr>
          <w:p w14:paraId="00FB0616"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938 </w:t>
            </w:r>
          </w:p>
        </w:tc>
        <w:tc>
          <w:tcPr>
            <w:tcW w:w="1020" w:type="dxa"/>
            <w:tcBorders>
              <w:top w:val="nil"/>
              <w:left w:val="nil"/>
              <w:bottom w:val="nil"/>
              <w:right w:val="nil"/>
            </w:tcBorders>
            <w:shd w:val="clear" w:color="auto" w:fill="auto"/>
            <w:noWrap/>
            <w:vAlign w:val="center"/>
            <w:hideMark/>
          </w:tcPr>
          <w:p w14:paraId="39252E9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486 </w:t>
            </w:r>
          </w:p>
        </w:tc>
        <w:tc>
          <w:tcPr>
            <w:tcW w:w="745" w:type="dxa"/>
            <w:tcBorders>
              <w:top w:val="nil"/>
              <w:left w:val="nil"/>
              <w:bottom w:val="nil"/>
              <w:right w:val="nil"/>
            </w:tcBorders>
            <w:shd w:val="clear" w:color="auto" w:fill="auto"/>
            <w:noWrap/>
            <w:vAlign w:val="center"/>
            <w:hideMark/>
          </w:tcPr>
          <w:p w14:paraId="6279445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613F17E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1,037 </w:t>
            </w:r>
          </w:p>
        </w:tc>
      </w:tr>
      <w:tr w:rsidR="00324AC5" w:rsidRPr="00324AC5" w14:paraId="39D36737"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337B9D79"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12</w:t>
            </w:r>
          </w:p>
        </w:tc>
        <w:tc>
          <w:tcPr>
            <w:tcW w:w="2859" w:type="dxa"/>
            <w:tcBorders>
              <w:top w:val="nil"/>
              <w:left w:val="nil"/>
              <w:bottom w:val="nil"/>
              <w:right w:val="nil"/>
            </w:tcBorders>
            <w:shd w:val="clear" w:color="auto" w:fill="auto"/>
            <w:noWrap/>
            <w:vAlign w:val="center"/>
            <w:hideMark/>
          </w:tcPr>
          <w:p w14:paraId="285507B8"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Gorontalo</w:t>
            </w:r>
          </w:p>
        </w:tc>
        <w:tc>
          <w:tcPr>
            <w:tcW w:w="241" w:type="dxa"/>
            <w:tcBorders>
              <w:top w:val="nil"/>
              <w:left w:val="nil"/>
              <w:bottom w:val="nil"/>
              <w:right w:val="nil"/>
            </w:tcBorders>
            <w:shd w:val="clear" w:color="auto" w:fill="auto"/>
            <w:noWrap/>
            <w:vAlign w:val="center"/>
            <w:hideMark/>
          </w:tcPr>
          <w:p w14:paraId="6115F2BC"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1,000 </w:t>
            </w:r>
          </w:p>
        </w:tc>
        <w:tc>
          <w:tcPr>
            <w:tcW w:w="1020" w:type="dxa"/>
            <w:tcBorders>
              <w:top w:val="nil"/>
              <w:left w:val="nil"/>
              <w:bottom w:val="nil"/>
              <w:right w:val="nil"/>
            </w:tcBorders>
            <w:shd w:val="clear" w:color="auto" w:fill="auto"/>
            <w:noWrap/>
            <w:vAlign w:val="center"/>
            <w:hideMark/>
          </w:tcPr>
          <w:p w14:paraId="220E0EC9"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1,603 </w:t>
            </w:r>
          </w:p>
        </w:tc>
        <w:tc>
          <w:tcPr>
            <w:tcW w:w="745" w:type="dxa"/>
            <w:tcBorders>
              <w:top w:val="nil"/>
              <w:left w:val="nil"/>
              <w:bottom w:val="nil"/>
              <w:right w:val="nil"/>
            </w:tcBorders>
            <w:shd w:val="clear" w:color="auto" w:fill="auto"/>
            <w:noWrap/>
            <w:vAlign w:val="center"/>
            <w:hideMark/>
          </w:tcPr>
          <w:p w14:paraId="1059EB7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683 </w:t>
            </w:r>
          </w:p>
        </w:tc>
        <w:tc>
          <w:tcPr>
            <w:tcW w:w="745" w:type="dxa"/>
            <w:tcBorders>
              <w:top w:val="nil"/>
              <w:left w:val="nil"/>
              <w:bottom w:val="nil"/>
              <w:right w:val="nil"/>
            </w:tcBorders>
            <w:shd w:val="clear" w:color="auto" w:fill="auto"/>
            <w:noWrap/>
            <w:vAlign w:val="center"/>
            <w:hideMark/>
          </w:tcPr>
          <w:p w14:paraId="64AC1CA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1,226 </w:t>
            </w:r>
          </w:p>
        </w:tc>
      </w:tr>
      <w:tr w:rsidR="00324AC5" w:rsidRPr="00324AC5" w14:paraId="50BE0D12" w14:textId="77777777" w:rsidTr="00324AC5">
        <w:trPr>
          <w:divId w:val="1611663280"/>
          <w:trHeight w:val="205"/>
          <w:jc w:val="center"/>
        </w:trPr>
        <w:tc>
          <w:tcPr>
            <w:tcW w:w="543" w:type="dxa"/>
            <w:tcBorders>
              <w:top w:val="nil"/>
              <w:left w:val="nil"/>
              <w:bottom w:val="nil"/>
              <w:right w:val="nil"/>
            </w:tcBorders>
            <w:shd w:val="clear" w:color="auto" w:fill="auto"/>
            <w:noWrap/>
            <w:vAlign w:val="center"/>
            <w:hideMark/>
          </w:tcPr>
          <w:p w14:paraId="7E2B8630"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13</w:t>
            </w:r>
          </w:p>
        </w:tc>
        <w:tc>
          <w:tcPr>
            <w:tcW w:w="2859" w:type="dxa"/>
            <w:tcBorders>
              <w:top w:val="nil"/>
              <w:left w:val="nil"/>
              <w:bottom w:val="nil"/>
              <w:right w:val="nil"/>
            </w:tcBorders>
            <w:shd w:val="clear" w:color="auto" w:fill="auto"/>
            <w:noWrap/>
            <w:vAlign w:val="center"/>
            <w:hideMark/>
          </w:tcPr>
          <w:p w14:paraId="66C7DE24"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Jakarta</w:t>
            </w:r>
          </w:p>
        </w:tc>
        <w:tc>
          <w:tcPr>
            <w:tcW w:w="241" w:type="dxa"/>
            <w:tcBorders>
              <w:top w:val="nil"/>
              <w:left w:val="nil"/>
              <w:bottom w:val="nil"/>
              <w:right w:val="nil"/>
            </w:tcBorders>
            <w:shd w:val="clear" w:color="auto" w:fill="auto"/>
            <w:noWrap/>
            <w:vAlign w:val="center"/>
            <w:hideMark/>
          </w:tcPr>
          <w:p w14:paraId="1CA1EAE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1,706 </w:t>
            </w:r>
          </w:p>
        </w:tc>
        <w:tc>
          <w:tcPr>
            <w:tcW w:w="1020" w:type="dxa"/>
            <w:tcBorders>
              <w:top w:val="nil"/>
              <w:left w:val="nil"/>
              <w:bottom w:val="nil"/>
              <w:right w:val="nil"/>
            </w:tcBorders>
            <w:shd w:val="clear" w:color="auto" w:fill="auto"/>
            <w:noWrap/>
            <w:vAlign w:val="center"/>
            <w:hideMark/>
          </w:tcPr>
          <w:p w14:paraId="0ABDD2B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3,334 </w:t>
            </w:r>
          </w:p>
        </w:tc>
        <w:tc>
          <w:tcPr>
            <w:tcW w:w="745" w:type="dxa"/>
            <w:tcBorders>
              <w:top w:val="nil"/>
              <w:left w:val="nil"/>
              <w:bottom w:val="nil"/>
              <w:right w:val="nil"/>
            </w:tcBorders>
            <w:shd w:val="clear" w:color="auto" w:fill="auto"/>
            <w:noWrap/>
            <w:vAlign w:val="center"/>
            <w:hideMark/>
          </w:tcPr>
          <w:p w14:paraId="2F48DFA4"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1,295 </w:t>
            </w:r>
          </w:p>
        </w:tc>
        <w:tc>
          <w:tcPr>
            <w:tcW w:w="745" w:type="dxa"/>
            <w:tcBorders>
              <w:top w:val="nil"/>
              <w:left w:val="nil"/>
              <w:bottom w:val="nil"/>
              <w:right w:val="nil"/>
            </w:tcBorders>
            <w:shd w:val="clear" w:color="auto" w:fill="auto"/>
            <w:noWrap/>
            <w:vAlign w:val="center"/>
            <w:hideMark/>
          </w:tcPr>
          <w:p w14:paraId="19B85C6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2,210 </w:t>
            </w:r>
          </w:p>
        </w:tc>
      </w:tr>
      <w:tr w:rsidR="00324AC5" w:rsidRPr="00324AC5" w14:paraId="5B3313B2"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26085F15"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14</w:t>
            </w:r>
          </w:p>
        </w:tc>
        <w:tc>
          <w:tcPr>
            <w:tcW w:w="2859" w:type="dxa"/>
            <w:tcBorders>
              <w:top w:val="nil"/>
              <w:left w:val="nil"/>
              <w:bottom w:val="nil"/>
              <w:right w:val="nil"/>
            </w:tcBorders>
            <w:shd w:val="clear" w:color="auto" w:fill="auto"/>
            <w:noWrap/>
            <w:vAlign w:val="center"/>
            <w:hideMark/>
          </w:tcPr>
          <w:p w14:paraId="2A345F8E"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Jambi</w:t>
            </w:r>
          </w:p>
        </w:tc>
        <w:tc>
          <w:tcPr>
            <w:tcW w:w="241" w:type="dxa"/>
            <w:tcBorders>
              <w:top w:val="nil"/>
              <w:left w:val="nil"/>
              <w:bottom w:val="nil"/>
              <w:right w:val="nil"/>
            </w:tcBorders>
            <w:shd w:val="clear" w:color="auto" w:fill="auto"/>
            <w:noWrap/>
            <w:vAlign w:val="center"/>
            <w:hideMark/>
          </w:tcPr>
          <w:p w14:paraId="3642838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941 </w:t>
            </w:r>
          </w:p>
        </w:tc>
        <w:tc>
          <w:tcPr>
            <w:tcW w:w="1020" w:type="dxa"/>
            <w:tcBorders>
              <w:top w:val="nil"/>
              <w:left w:val="nil"/>
              <w:bottom w:val="nil"/>
              <w:right w:val="nil"/>
            </w:tcBorders>
            <w:shd w:val="clear" w:color="auto" w:fill="auto"/>
            <w:noWrap/>
            <w:vAlign w:val="center"/>
            <w:hideMark/>
          </w:tcPr>
          <w:p w14:paraId="30BCD40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975 </w:t>
            </w:r>
          </w:p>
        </w:tc>
        <w:tc>
          <w:tcPr>
            <w:tcW w:w="745" w:type="dxa"/>
            <w:tcBorders>
              <w:top w:val="nil"/>
              <w:left w:val="nil"/>
              <w:bottom w:val="nil"/>
              <w:right w:val="nil"/>
            </w:tcBorders>
            <w:shd w:val="clear" w:color="auto" w:fill="auto"/>
            <w:noWrap/>
            <w:vAlign w:val="center"/>
            <w:hideMark/>
          </w:tcPr>
          <w:p w14:paraId="571F8974"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755 </w:t>
            </w:r>
          </w:p>
        </w:tc>
        <w:tc>
          <w:tcPr>
            <w:tcW w:w="745" w:type="dxa"/>
            <w:tcBorders>
              <w:top w:val="nil"/>
              <w:left w:val="nil"/>
              <w:bottom w:val="nil"/>
              <w:right w:val="nil"/>
            </w:tcBorders>
            <w:shd w:val="clear" w:color="auto" w:fill="auto"/>
            <w:noWrap/>
            <w:vAlign w:val="center"/>
            <w:hideMark/>
          </w:tcPr>
          <w:p w14:paraId="6FE910B6"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1,092 </w:t>
            </w:r>
          </w:p>
        </w:tc>
      </w:tr>
      <w:tr w:rsidR="00324AC5" w:rsidRPr="00324AC5" w14:paraId="20DFABD3"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51877DFD"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15</w:t>
            </w:r>
          </w:p>
        </w:tc>
        <w:tc>
          <w:tcPr>
            <w:tcW w:w="2859" w:type="dxa"/>
            <w:tcBorders>
              <w:top w:val="nil"/>
              <w:left w:val="nil"/>
              <w:bottom w:val="nil"/>
              <w:right w:val="nil"/>
            </w:tcBorders>
            <w:shd w:val="clear" w:color="auto" w:fill="auto"/>
            <w:noWrap/>
            <w:vAlign w:val="center"/>
            <w:hideMark/>
          </w:tcPr>
          <w:p w14:paraId="55F92315"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Lampung</w:t>
            </w:r>
          </w:p>
        </w:tc>
        <w:tc>
          <w:tcPr>
            <w:tcW w:w="241" w:type="dxa"/>
            <w:tcBorders>
              <w:top w:val="nil"/>
              <w:left w:val="nil"/>
              <w:bottom w:val="nil"/>
              <w:right w:val="nil"/>
            </w:tcBorders>
            <w:shd w:val="clear" w:color="auto" w:fill="auto"/>
            <w:noWrap/>
            <w:vAlign w:val="center"/>
            <w:hideMark/>
          </w:tcPr>
          <w:p w14:paraId="51C3C41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874 </w:t>
            </w:r>
          </w:p>
        </w:tc>
        <w:tc>
          <w:tcPr>
            <w:tcW w:w="1020" w:type="dxa"/>
            <w:tcBorders>
              <w:top w:val="nil"/>
              <w:left w:val="nil"/>
              <w:bottom w:val="nil"/>
              <w:right w:val="nil"/>
            </w:tcBorders>
            <w:shd w:val="clear" w:color="auto" w:fill="auto"/>
            <w:noWrap/>
            <w:vAlign w:val="center"/>
            <w:hideMark/>
          </w:tcPr>
          <w:p w14:paraId="5E4713B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1,389 </w:t>
            </w:r>
          </w:p>
        </w:tc>
        <w:tc>
          <w:tcPr>
            <w:tcW w:w="745" w:type="dxa"/>
            <w:tcBorders>
              <w:top w:val="nil"/>
              <w:left w:val="nil"/>
              <w:bottom w:val="nil"/>
              <w:right w:val="nil"/>
            </w:tcBorders>
            <w:shd w:val="clear" w:color="auto" w:fill="auto"/>
            <w:noWrap/>
            <w:vAlign w:val="center"/>
            <w:hideMark/>
          </w:tcPr>
          <w:p w14:paraId="67CCB131"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724 </w:t>
            </w:r>
          </w:p>
        </w:tc>
        <w:tc>
          <w:tcPr>
            <w:tcW w:w="745" w:type="dxa"/>
            <w:tcBorders>
              <w:top w:val="nil"/>
              <w:left w:val="nil"/>
              <w:bottom w:val="nil"/>
              <w:right w:val="nil"/>
            </w:tcBorders>
            <w:shd w:val="clear" w:color="auto" w:fill="auto"/>
            <w:noWrap/>
            <w:vAlign w:val="center"/>
            <w:hideMark/>
          </w:tcPr>
          <w:p w14:paraId="32B690D9"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1,079 </w:t>
            </w:r>
          </w:p>
        </w:tc>
      </w:tr>
      <w:tr w:rsidR="00324AC5" w:rsidRPr="00324AC5" w14:paraId="50DCEA70" w14:textId="77777777" w:rsidTr="00324AC5">
        <w:trPr>
          <w:divId w:val="1611663280"/>
          <w:trHeight w:val="147"/>
          <w:jc w:val="center"/>
        </w:trPr>
        <w:tc>
          <w:tcPr>
            <w:tcW w:w="543" w:type="dxa"/>
            <w:tcBorders>
              <w:top w:val="nil"/>
              <w:left w:val="nil"/>
              <w:bottom w:val="nil"/>
              <w:right w:val="nil"/>
            </w:tcBorders>
            <w:shd w:val="clear" w:color="auto" w:fill="auto"/>
            <w:noWrap/>
            <w:vAlign w:val="center"/>
            <w:hideMark/>
          </w:tcPr>
          <w:p w14:paraId="3FCF9312"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16</w:t>
            </w:r>
          </w:p>
        </w:tc>
        <w:tc>
          <w:tcPr>
            <w:tcW w:w="2859" w:type="dxa"/>
            <w:tcBorders>
              <w:top w:val="nil"/>
              <w:left w:val="nil"/>
              <w:bottom w:val="nil"/>
              <w:right w:val="nil"/>
            </w:tcBorders>
            <w:shd w:val="clear" w:color="auto" w:fill="auto"/>
            <w:noWrap/>
            <w:vAlign w:val="center"/>
            <w:hideMark/>
          </w:tcPr>
          <w:p w14:paraId="1949F614"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Maluku</w:t>
            </w:r>
          </w:p>
        </w:tc>
        <w:tc>
          <w:tcPr>
            <w:tcW w:w="241" w:type="dxa"/>
            <w:tcBorders>
              <w:top w:val="nil"/>
              <w:left w:val="nil"/>
              <w:bottom w:val="nil"/>
              <w:right w:val="nil"/>
            </w:tcBorders>
            <w:shd w:val="clear" w:color="auto" w:fill="auto"/>
            <w:noWrap/>
            <w:vAlign w:val="center"/>
            <w:hideMark/>
          </w:tcPr>
          <w:p w14:paraId="45721D41"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1,191 </w:t>
            </w:r>
          </w:p>
        </w:tc>
        <w:tc>
          <w:tcPr>
            <w:tcW w:w="1020" w:type="dxa"/>
            <w:tcBorders>
              <w:top w:val="nil"/>
              <w:left w:val="nil"/>
              <w:bottom w:val="nil"/>
              <w:right w:val="nil"/>
            </w:tcBorders>
            <w:shd w:val="clear" w:color="auto" w:fill="auto"/>
            <w:noWrap/>
            <w:vAlign w:val="center"/>
            <w:hideMark/>
          </w:tcPr>
          <w:p w14:paraId="45D92519"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793 </w:t>
            </w:r>
          </w:p>
        </w:tc>
        <w:tc>
          <w:tcPr>
            <w:tcW w:w="745" w:type="dxa"/>
            <w:tcBorders>
              <w:top w:val="nil"/>
              <w:left w:val="nil"/>
              <w:bottom w:val="nil"/>
              <w:right w:val="nil"/>
            </w:tcBorders>
            <w:shd w:val="clear" w:color="auto" w:fill="auto"/>
            <w:noWrap/>
            <w:vAlign w:val="center"/>
            <w:hideMark/>
          </w:tcPr>
          <w:p w14:paraId="36710BCC"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1,075 </w:t>
            </w:r>
          </w:p>
        </w:tc>
        <w:tc>
          <w:tcPr>
            <w:tcW w:w="745" w:type="dxa"/>
            <w:tcBorders>
              <w:top w:val="nil"/>
              <w:left w:val="nil"/>
              <w:bottom w:val="nil"/>
              <w:right w:val="nil"/>
            </w:tcBorders>
            <w:shd w:val="clear" w:color="auto" w:fill="auto"/>
            <w:noWrap/>
            <w:vAlign w:val="center"/>
            <w:hideMark/>
          </w:tcPr>
          <w:p w14:paraId="29DE512D"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1,370 </w:t>
            </w:r>
          </w:p>
        </w:tc>
      </w:tr>
      <w:tr w:rsidR="00324AC5" w:rsidRPr="00324AC5" w14:paraId="4BCF44CC"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461AA247"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17</w:t>
            </w:r>
          </w:p>
        </w:tc>
        <w:tc>
          <w:tcPr>
            <w:tcW w:w="2859" w:type="dxa"/>
            <w:tcBorders>
              <w:top w:val="nil"/>
              <w:left w:val="nil"/>
              <w:bottom w:val="nil"/>
              <w:right w:val="nil"/>
            </w:tcBorders>
            <w:shd w:val="clear" w:color="auto" w:fill="auto"/>
            <w:noWrap/>
            <w:vAlign w:val="center"/>
            <w:hideMark/>
          </w:tcPr>
          <w:p w14:paraId="06D06499"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North Kalimantan</w:t>
            </w:r>
          </w:p>
        </w:tc>
        <w:tc>
          <w:tcPr>
            <w:tcW w:w="241" w:type="dxa"/>
            <w:tcBorders>
              <w:top w:val="nil"/>
              <w:left w:val="nil"/>
              <w:bottom w:val="nil"/>
              <w:right w:val="nil"/>
            </w:tcBorders>
            <w:shd w:val="clear" w:color="auto" w:fill="auto"/>
            <w:noWrap/>
            <w:vAlign w:val="center"/>
            <w:hideMark/>
          </w:tcPr>
          <w:p w14:paraId="03AFFD27"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1,290 </w:t>
            </w:r>
          </w:p>
        </w:tc>
        <w:tc>
          <w:tcPr>
            <w:tcW w:w="1020" w:type="dxa"/>
            <w:tcBorders>
              <w:top w:val="nil"/>
              <w:left w:val="nil"/>
              <w:bottom w:val="nil"/>
              <w:right w:val="nil"/>
            </w:tcBorders>
            <w:shd w:val="clear" w:color="auto" w:fill="auto"/>
            <w:noWrap/>
            <w:vAlign w:val="center"/>
            <w:hideMark/>
          </w:tcPr>
          <w:p w14:paraId="118F842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2,435 </w:t>
            </w:r>
          </w:p>
        </w:tc>
        <w:tc>
          <w:tcPr>
            <w:tcW w:w="745" w:type="dxa"/>
            <w:tcBorders>
              <w:top w:val="nil"/>
              <w:left w:val="nil"/>
              <w:bottom w:val="nil"/>
              <w:right w:val="nil"/>
            </w:tcBorders>
            <w:shd w:val="clear" w:color="auto" w:fill="auto"/>
            <w:noWrap/>
            <w:vAlign w:val="center"/>
            <w:hideMark/>
          </w:tcPr>
          <w:p w14:paraId="49CDB4D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739F92C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1,613 </w:t>
            </w:r>
          </w:p>
        </w:tc>
      </w:tr>
      <w:tr w:rsidR="00324AC5" w:rsidRPr="00324AC5" w14:paraId="1EC479F1" w14:textId="77777777" w:rsidTr="00324AC5">
        <w:trPr>
          <w:divId w:val="1611663280"/>
          <w:trHeight w:val="114"/>
          <w:jc w:val="center"/>
        </w:trPr>
        <w:tc>
          <w:tcPr>
            <w:tcW w:w="543" w:type="dxa"/>
            <w:tcBorders>
              <w:top w:val="nil"/>
              <w:left w:val="nil"/>
              <w:bottom w:val="nil"/>
              <w:right w:val="nil"/>
            </w:tcBorders>
            <w:shd w:val="clear" w:color="auto" w:fill="auto"/>
            <w:noWrap/>
            <w:vAlign w:val="center"/>
            <w:hideMark/>
          </w:tcPr>
          <w:p w14:paraId="698F11DC"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18</w:t>
            </w:r>
          </w:p>
        </w:tc>
        <w:tc>
          <w:tcPr>
            <w:tcW w:w="2859" w:type="dxa"/>
            <w:tcBorders>
              <w:top w:val="nil"/>
              <w:left w:val="nil"/>
              <w:bottom w:val="nil"/>
              <w:right w:val="nil"/>
            </w:tcBorders>
            <w:shd w:val="clear" w:color="auto" w:fill="auto"/>
            <w:noWrap/>
            <w:vAlign w:val="center"/>
            <w:hideMark/>
          </w:tcPr>
          <w:p w14:paraId="30AD1744"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North Maluku</w:t>
            </w:r>
          </w:p>
        </w:tc>
        <w:tc>
          <w:tcPr>
            <w:tcW w:w="241" w:type="dxa"/>
            <w:tcBorders>
              <w:top w:val="nil"/>
              <w:left w:val="nil"/>
              <w:bottom w:val="nil"/>
              <w:right w:val="nil"/>
            </w:tcBorders>
            <w:shd w:val="clear" w:color="auto" w:fill="auto"/>
            <w:noWrap/>
            <w:vAlign w:val="center"/>
            <w:hideMark/>
          </w:tcPr>
          <w:p w14:paraId="7B62463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042CCD3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1,060 </w:t>
            </w:r>
          </w:p>
        </w:tc>
        <w:tc>
          <w:tcPr>
            <w:tcW w:w="745" w:type="dxa"/>
            <w:tcBorders>
              <w:top w:val="nil"/>
              <w:left w:val="nil"/>
              <w:bottom w:val="nil"/>
              <w:right w:val="nil"/>
            </w:tcBorders>
            <w:shd w:val="clear" w:color="auto" w:fill="auto"/>
            <w:noWrap/>
            <w:vAlign w:val="center"/>
            <w:hideMark/>
          </w:tcPr>
          <w:p w14:paraId="45C9FFB7"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7163DA8E"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1,373 </w:t>
            </w:r>
          </w:p>
        </w:tc>
      </w:tr>
      <w:tr w:rsidR="00324AC5" w:rsidRPr="00324AC5" w14:paraId="51D79AFA"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7286CBDE"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19</w:t>
            </w:r>
          </w:p>
        </w:tc>
        <w:tc>
          <w:tcPr>
            <w:tcW w:w="2859" w:type="dxa"/>
            <w:tcBorders>
              <w:top w:val="nil"/>
              <w:left w:val="nil"/>
              <w:bottom w:val="nil"/>
              <w:right w:val="nil"/>
            </w:tcBorders>
            <w:shd w:val="clear" w:color="auto" w:fill="auto"/>
            <w:noWrap/>
            <w:vAlign w:val="center"/>
            <w:hideMark/>
          </w:tcPr>
          <w:p w14:paraId="38480221"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North Sulawesi</w:t>
            </w:r>
          </w:p>
        </w:tc>
        <w:tc>
          <w:tcPr>
            <w:tcW w:w="241" w:type="dxa"/>
            <w:tcBorders>
              <w:top w:val="nil"/>
              <w:left w:val="nil"/>
              <w:bottom w:val="nil"/>
              <w:right w:val="nil"/>
            </w:tcBorders>
            <w:shd w:val="clear" w:color="auto" w:fill="auto"/>
            <w:noWrap/>
            <w:vAlign w:val="center"/>
            <w:hideMark/>
          </w:tcPr>
          <w:p w14:paraId="3D8676D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1,243 </w:t>
            </w:r>
          </w:p>
        </w:tc>
        <w:tc>
          <w:tcPr>
            <w:tcW w:w="1020" w:type="dxa"/>
            <w:tcBorders>
              <w:top w:val="nil"/>
              <w:left w:val="nil"/>
              <w:bottom w:val="nil"/>
              <w:right w:val="nil"/>
            </w:tcBorders>
            <w:shd w:val="clear" w:color="auto" w:fill="auto"/>
            <w:noWrap/>
            <w:vAlign w:val="center"/>
            <w:hideMark/>
          </w:tcPr>
          <w:p w14:paraId="6A8A018D"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2,143 </w:t>
            </w:r>
          </w:p>
        </w:tc>
        <w:tc>
          <w:tcPr>
            <w:tcW w:w="745" w:type="dxa"/>
            <w:tcBorders>
              <w:top w:val="nil"/>
              <w:left w:val="nil"/>
              <w:bottom w:val="nil"/>
              <w:right w:val="nil"/>
            </w:tcBorders>
            <w:shd w:val="clear" w:color="auto" w:fill="auto"/>
            <w:noWrap/>
            <w:vAlign w:val="center"/>
            <w:hideMark/>
          </w:tcPr>
          <w:p w14:paraId="4B6A6A3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929 </w:t>
            </w:r>
          </w:p>
        </w:tc>
        <w:tc>
          <w:tcPr>
            <w:tcW w:w="745" w:type="dxa"/>
            <w:tcBorders>
              <w:top w:val="nil"/>
              <w:left w:val="nil"/>
              <w:bottom w:val="nil"/>
              <w:right w:val="nil"/>
            </w:tcBorders>
            <w:shd w:val="clear" w:color="auto" w:fill="auto"/>
            <w:noWrap/>
            <w:vAlign w:val="center"/>
            <w:hideMark/>
          </w:tcPr>
          <w:p w14:paraId="4C78D030"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1,571 </w:t>
            </w:r>
          </w:p>
        </w:tc>
      </w:tr>
      <w:tr w:rsidR="00324AC5" w:rsidRPr="00324AC5" w14:paraId="6FCC1F89" w14:textId="77777777" w:rsidTr="00324AC5">
        <w:trPr>
          <w:divId w:val="1611663280"/>
          <w:trHeight w:val="80"/>
          <w:jc w:val="center"/>
        </w:trPr>
        <w:tc>
          <w:tcPr>
            <w:tcW w:w="543" w:type="dxa"/>
            <w:tcBorders>
              <w:top w:val="nil"/>
              <w:left w:val="nil"/>
              <w:bottom w:val="nil"/>
              <w:right w:val="nil"/>
            </w:tcBorders>
            <w:shd w:val="clear" w:color="auto" w:fill="auto"/>
            <w:noWrap/>
            <w:vAlign w:val="center"/>
            <w:hideMark/>
          </w:tcPr>
          <w:p w14:paraId="576144FB"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20</w:t>
            </w:r>
          </w:p>
        </w:tc>
        <w:tc>
          <w:tcPr>
            <w:tcW w:w="2859" w:type="dxa"/>
            <w:tcBorders>
              <w:top w:val="nil"/>
              <w:left w:val="nil"/>
              <w:bottom w:val="nil"/>
              <w:right w:val="nil"/>
            </w:tcBorders>
            <w:shd w:val="clear" w:color="auto" w:fill="auto"/>
            <w:noWrap/>
            <w:vAlign w:val="center"/>
            <w:hideMark/>
          </w:tcPr>
          <w:p w14:paraId="49A03B0F"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North Sumatra</w:t>
            </w:r>
          </w:p>
        </w:tc>
        <w:tc>
          <w:tcPr>
            <w:tcW w:w="241" w:type="dxa"/>
            <w:tcBorders>
              <w:top w:val="nil"/>
              <w:left w:val="nil"/>
              <w:bottom w:val="nil"/>
              <w:right w:val="nil"/>
            </w:tcBorders>
            <w:shd w:val="clear" w:color="auto" w:fill="auto"/>
            <w:noWrap/>
            <w:vAlign w:val="center"/>
            <w:hideMark/>
          </w:tcPr>
          <w:p w14:paraId="23067B2E"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1,009 </w:t>
            </w:r>
          </w:p>
        </w:tc>
        <w:tc>
          <w:tcPr>
            <w:tcW w:w="1020" w:type="dxa"/>
            <w:tcBorders>
              <w:top w:val="nil"/>
              <w:left w:val="nil"/>
              <w:bottom w:val="nil"/>
              <w:right w:val="nil"/>
            </w:tcBorders>
            <w:shd w:val="clear" w:color="auto" w:fill="auto"/>
            <w:noWrap/>
            <w:vAlign w:val="center"/>
            <w:hideMark/>
          </w:tcPr>
          <w:p w14:paraId="4AB04730"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829 </w:t>
            </w:r>
          </w:p>
        </w:tc>
        <w:tc>
          <w:tcPr>
            <w:tcW w:w="745" w:type="dxa"/>
            <w:tcBorders>
              <w:top w:val="nil"/>
              <w:left w:val="nil"/>
              <w:bottom w:val="nil"/>
              <w:right w:val="nil"/>
            </w:tcBorders>
            <w:shd w:val="clear" w:color="auto" w:fill="auto"/>
            <w:noWrap/>
            <w:vAlign w:val="center"/>
            <w:hideMark/>
          </w:tcPr>
          <w:p w14:paraId="67A7CE1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872 </w:t>
            </w:r>
          </w:p>
        </w:tc>
        <w:tc>
          <w:tcPr>
            <w:tcW w:w="745" w:type="dxa"/>
            <w:tcBorders>
              <w:top w:val="nil"/>
              <w:left w:val="nil"/>
              <w:bottom w:val="nil"/>
              <w:right w:val="nil"/>
            </w:tcBorders>
            <w:shd w:val="clear" w:color="auto" w:fill="auto"/>
            <w:noWrap/>
            <w:vAlign w:val="center"/>
            <w:hideMark/>
          </w:tcPr>
          <w:p w14:paraId="2B9AE190"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1,142 </w:t>
            </w:r>
          </w:p>
        </w:tc>
      </w:tr>
      <w:tr w:rsidR="00324AC5" w:rsidRPr="00324AC5" w14:paraId="1DAFBA53"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04E2BCE4"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21</w:t>
            </w:r>
          </w:p>
        </w:tc>
        <w:tc>
          <w:tcPr>
            <w:tcW w:w="2859" w:type="dxa"/>
            <w:tcBorders>
              <w:top w:val="nil"/>
              <w:left w:val="nil"/>
              <w:bottom w:val="nil"/>
              <w:right w:val="nil"/>
            </w:tcBorders>
            <w:shd w:val="clear" w:color="auto" w:fill="auto"/>
            <w:noWrap/>
            <w:vAlign w:val="center"/>
            <w:hideMark/>
          </w:tcPr>
          <w:p w14:paraId="09751C85"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Papua</w:t>
            </w:r>
          </w:p>
        </w:tc>
        <w:tc>
          <w:tcPr>
            <w:tcW w:w="241" w:type="dxa"/>
            <w:tcBorders>
              <w:top w:val="nil"/>
              <w:left w:val="nil"/>
              <w:bottom w:val="nil"/>
              <w:right w:val="nil"/>
            </w:tcBorders>
            <w:shd w:val="clear" w:color="auto" w:fill="auto"/>
            <w:noWrap/>
            <w:vAlign w:val="center"/>
            <w:hideMark/>
          </w:tcPr>
          <w:p w14:paraId="6CD3DBCD"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1,612 </w:t>
            </w:r>
          </w:p>
        </w:tc>
        <w:tc>
          <w:tcPr>
            <w:tcW w:w="1020" w:type="dxa"/>
            <w:tcBorders>
              <w:top w:val="nil"/>
              <w:left w:val="nil"/>
              <w:bottom w:val="nil"/>
              <w:right w:val="nil"/>
            </w:tcBorders>
            <w:shd w:val="clear" w:color="auto" w:fill="auto"/>
            <w:noWrap/>
            <w:vAlign w:val="center"/>
            <w:hideMark/>
          </w:tcPr>
          <w:p w14:paraId="16A43E3D"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1,656 </w:t>
            </w:r>
          </w:p>
        </w:tc>
        <w:tc>
          <w:tcPr>
            <w:tcW w:w="745" w:type="dxa"/>
            <w:tcBorders>
              <w:top w:val="nil"/>
              <w:left w:val="nil"/>
              <w:bottom w:val="nil"/>
              <w:right w:val="nil"/>
            </w:tcBorders>
            <w:shd w:val="clear" w:color="auto" w:fill="auto"/>
            <w:noWrap/>
            <w:vAlign w:val="center"/>
            <w:hideMark/>
          </w:tcPr>
          <w:p w14:paraId="35F459E4"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1,280 </w:t>
            </w:r>
          </w:p>
        </w:tc>
        <w:tc>
          <w:tcPr>
            <w:tcW w:w="745" w:type="dxa"/>
            <w:tcBorders>
              <w:top w:val="nil"/>
              <w:left w:val="nil"/>
              <w:bottom w:val="nil"/>
              <w:right w:val="nil"/>
            </w:tcBorders>
            <w:shd w:val="clear" w:color="auto" w:fill="auto"/>
            <w:noWrap/>
            <w:vAlign w:val="center"/>
            <w:hideMark/>
          </w:tcPr>
          <w:p w14:paraId="7A294E5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1,900 </w:t>
            </w:r>
          </w:p>
        </w:tc>
      </w:tr>
      <w:tr w:rsidR="00324AC5" w:rsidRPr="00324AC5" w14:paraId="4FEF2269"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798BBDB8"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22</w:t>
            </w:r>
          </w:p>
        </w:tc>
        <w:tc>
          <w:tcPr>
            <w:tcW w:w="2859" w:type="dxa"/>
            <w:tcBorders>
              <w:top w:val="nil"/>
              <w:left w:val="nil"/>
              <w:bottom w:val="nil"/>
              <w:right w:val="nil"/>
            </w:tcBorders>
            <w:shd w:val="clear" w:color="auto" w:fill="auto"/>
            <w:noWrap/>
            <w:vAlign w:val="center"/>
            <w:hideMark/>
          </w:tcPr>
          <w:p w14:paraId="00FA2532"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Riau</w:t>
            </w:r>
          </w:p>
        </w:tc>
        <w:tc>
          <w:tcPr>
            <w:tcW w:w="241" w:type="dxa"/>
            <w:tcBorders>
              <w:top w:val="nil"/>
              <w:left w:val="nil"/>
              <w:bottom w:val="nil"/>
              <w:right w:val="nil"/>
            </w:tcBorders>
            <w:shd w:val="clear" w:color="auto" w:fill="auto"/>
            <w:noWrap/>
            <w:vAlign w:val="center"/>
            <w:hideMark/>
          </w:tcPr>
          <w:p w14:paraId="1771B1A1"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1,188 </w:t>
            </w:r>
          </w:p>
        </w:tc>
        <w:tc>
          <w:tcPr>
            <w:tcW w:w="1020" w:type="dxa"/>
            <w:tcBorders>
              <w:top w:val="nil"/>
              <w:left w:val="nil"/>
              <w:bottom w:val="nil"/>
              <w:right w:val="nil"/>
            </w:tcBorders>
            <w:shd w:val="clear" w:color="auto" w:fill="auto"/>
            <w:noWrap/>
            <w:vAlign w:val="center"/>
            <w:hideMark/>
          </w:tcPr>
          <w:p w14:paraId="7FB8256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976 </w:t>
            </w:r>
          </w:p>
        </w:tc>
        <w:tc>
          <w:tcPr>
            <w:tcW w:w="745" w:type="dxa"/>
            <w:tcBorders>
              <w:top w:val="nil"/>
              <w:left w:val="nil"/>
              <w:bottom w:val="nil"/>
              <w:right w:val="nil"/>
            </w:tcBorders>
            <w:shd w:val="clear" w:color="auto" w:fill="auto"/>
            <w:noWrap/>
            <w:vAlign w:val="center"/>
            <w:hideMark/>
          </w:tcPr>
          <w:p w14:paraId="567F1946"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1,036 </w:t>
            </w:r>
          </w:p>
        </w:tc>
        <w:tc>
          <w:tcPr>
            <w:tcW w:w="745" w:type="dxa"/>
            <w:tcBorders>
              <w:top w:val="nil"/>
              <w:left w:val="nil"/>
              <w:bottom w:val="nil"/>
              <w:right w:val="nil"/>
            </w:tcBorders>
            <w:shd w:val="clear" w:color="auto" w:fill="auto"/>
            <w:noWrap/>
            <w:vAlign w:val="center"/>
            <w:hideMark/>
          </w:tcPr>
          <w:p w14:paraId="64F96D9E"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1,322 </w:t>
            </w:r>
          </w:p>
        </w:tc>
      </w:tr>
      <w:tr w:rsidR="00324AC5" w:rsidRPr="00324AC5" w14:paraId="17C73C2F"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2407F215"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23</w:t>
            </w:r>
          </w:p>
        </w:tc>
        <w:tc>
          <w:tcPr>
            <w:tcW w:w="2859" w:type="dxa"/>
            <w:tcBorders>
              <w:top w:val="nil"/>
              <w:left w:val="nil"/>
              <w:bottom w:val="nil"/>
              <w:right w:val="nil"/>
            </w:tcBorders>
            <w:shd w:val="clear" w:color="auto" w:fill="auto"/>
            <w:noWrap/>
            <w:vAlign w:val="center"/>
            <w:hideMark/>
          </w:tcPr>
          <w:p w14:paraId="5FDEE499"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Riau Islands</w:t>
            </w:r>
          </w:p>
        </w:tc>
        <w:tc>
          <w:tcPr>
            <w:tcW w:w="241" w:type="dxa"/>
            <w:tcBorders>
              <w:top w:val="nil"/>
              <w:left w:val="nil"/>
              <w:bottom w:val="nil"/>
              <w:right w:val="nil"/>
            </w:tcBorders>
            <w:shd w:val="clear" w:color="auto" w:fill="auto"/>
            <w:noWrap/>
            <w:vAlign w:val="center"/>
            <w:hideMark/>
          </w:tcPr>
          <w:p w14:paraId="04F49AAD"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1,744 </w:t>
            </w:r>
          </w:p>
        </w:tc>
        <w:tc>
          <w:tcPr>
            <w:tcW w:w="1020" w:type="dxa"/>
            <w:tcBorders>
              <w:top w:val="nil"/>
              <w:left w:val="nil"/>
              <w:bottom w:val="nil"/>
              <w:right w:val="nil"/>
            </w:tcBorders>
            <w:shd w:val="clear" w:color="auto" w:fill="auto"/>
            <w:noWrap/>
            <w:vAlign w:val="center"/>
            <w:hideMark/>
          </w:tcPr>
          <w:p w14:paraId="36DE913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2,329 </w:t>
            </w:r>
          </w:p>
        </w:tc>
        <w:tc>
          <w:tcPr>
            <w:tcW w:w="745" w:type="dxa"/>
            <w:tcBorders>
              <w:top w:val="nil"/>
              <w:left w:val="nil"/>
              <w:bottom w:val="nil"/>
              <w:right w:val="nil"/>
            </w:tcBorders>
            <w:shd w:val="clear" w:color="auto" w:fill="auto"/>
            <w:noWrap/>
            <w:vAlign w:val="center"/>
            <w:hideMark/>
          </w:tcPr>
          <w:p w14:paraId="13752DC4"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1,365 </w:t>
            </w:r>
          </w:p>
        </w:tc>
        <w:tc>
          <w:tcPr>
            <w:tcW w:w="745" w:type="dxa"/>
            <w:tcBorders>
              <w:top w:val="nil"/>
              <w:left w:val="nil"/>
              <w:bottom w:val="nil"/>
              <w:right w:val="nil"/>
            </w:tcBorders>
            <w:shd w:val="clear" w:color="auto" w:fill="auto"/>
            <w:noWrap/>
            <w:vAlign w:val="center"/>
            <w:hideMark/>
          </w:tcPr>
          <w:p w14:paraId="116982A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2,051 </w:t>
            </w:r>
          </w:p>
        </w:tc>
      </w:tr>
      <w:tr w:rsidR="00324AC5" w:rsidRPr="00324AC5" w14:paraId="0D17E0CA"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515C8AED"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24</w:t>
            </w:r>
          </w:p>
        </w:tc>
        <w:tc>
          <w:tcPr>
            <w:tcW w:w="2859" w:type="dxa"/>
            <w:tcBorders>
              <w:top w:val="nil"/>
              <w:left w:val="nil"/>
              <w:bottom w:val="nil"/>
              <w:right w:val="nil"/>
            </w:tcBorders>
            <w:shd w:val="clear" w:color="auto" w:fill="auto"/>
            <w:noWrap/>
            <w:vAlign w:val="center"/>
            <w:hideMark/>
          </w:tcPr>
          <w:p w14:paraId="664A743F"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South Kalimantan</w:t>
            </w:r>
          </w:p>
        </w:tc>
        <w:tc>
          <w:tcPr>
            <w:tcW w:w="241" w:type="dxa"/>
            <w:tcBorders>
              <w:top w:val="nil"/>
              <w:left w:val="nil"/>
              <w:bottom w:val="nil"/>
              <w:right w:val="nil"/>
            </w:tcBorders>
            <w:shd w:val="clear" w:color="auto" w:fill="auto"/>
            <w:noWrap/>
            <w:vAlign w:val="center"/>
            <w:hideMark/>
          </w:tcPr>
          <w:p w14:paraId="515A8009"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1,066 </w:t>
            </w:r>
          </w:p>
        </w:tc>
        <w:tc>
          <w:tcPr>
            <w:tcW w:w="1020" w:type="dxa"/>
            <w:tcBorders>
              <w:top w:val="nil"/>
              <w:left w:val="nil"/>
              <w:bottom w:val="nil"/>
              <w:right w:val="nil"/>
            </w:tcBorders>
            <w:shd w:val="clear" w:color="auto" w:fill="auto"/>
            <w:noWrap/>
            <w:vAlign w:val="center"/>
            <w:hideMark/>
          </w:tcPr>
          <w:p w14:paraId="17EEA95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1,402 </w:t>
            </w:r>
          </w:p>
        </w:tc>
        <w:tc>
          <w:tcPr>
            <w:tcW w:w="745" w:type="dxa"/>
            <w:tcBorders>
              <w:top w:val="nil"/>
              <w:left w:val="nil"/>
              <w:bottom w:val="nil"/>
              <w:right w:val="nil"/>
            </w:tcBorders>
            <w:shd w:val="clear" w:color="auto" w:fill="auto"/>
            <w:noWrap/>
            <w:vAlign w:val="center"/>
            <w:hideMark/>
          </w:tcPr>
          <w:p w14:paraId="39E45BA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830 </w:t>
            </w:r>
          </w:p>
        </w:tc>
        <w:tc>
          <w:tcPr>
            <w:tcW w:w="745" w:type="dxa"/>
            <w:tcBorders>
              <w:top w:val="nil"/>
              <w:left w:val="nil"/>
              <w:bottom w:val="nil"/>
              <w:right w:val="nil"/>
            </w:tcBorders>
            <w:shd w:val="clear" w:color="auto" w:fill="auto"/>
            <w:noWrap/>
            <w:vAlign w:val="center"/>
            <w:hideMark/>
          </w:tcPr>
          <w:p w14:paraId="089D141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1,269 </w:t>
            </w:r>
          </w:p>
        </w:tc>
      </w:tr>
      <w:tr w:rsidR="00324AC5" w:rsidRPr="00324AC5" w14:paraId="361B2286"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68176E96"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25</w:t>
            </w:r>
          </w:p>
        </w:tc>
        <w:tc>
          <w:tcPr>
            <w:tcW w:w="2859" w:type="dxa"/>
            <w:tcBorders>
              <w:top w:val="nil"/>
              <w:left w:val="nil"/>
              <w:bottom w:val="nil"/>
              <w:right w:val="nil"/>
            </w:tcBorders>
            <w:shd w:val="clear" w:color="auto" w:fill="auto"/>
            <w:noWrap/>
            <w:vAlign w:val="center"/>
            <w:hideMark/>
          </w:tcPr>
          <w:p w14:paraId="65FA5C16"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South Sulawesi</w:t>
            </w:r>
          </w:p>
        </w:tc>
        <w:tc>
          <w:tcPr>
            <w:tcW w:w="241" w:type="dxa"/>
            <w:tcBorders>
              <w:top w:val="nil"/>
              <w:left w:val="nil"/>
              <w:bottom w:val="nil"/>
              <w:right w:val="nil"/>
            </w:tcBorders>
            <w:shd w:val="clear" w:color="auto" w:fill="auto"/>
            <w:noWrap/>
            <w:vAlign w:val="center"/>
            <w:hideMark/>
          </w:tcPr>
          <w:p w14:paraId="50ABB1E6"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1,145 </w:t>
            </w:r>
          </w:p>
        </w:tc>
        <w:tc>
          <w:tcPr>
            <w:tcW w:w="1020" w:type="dxa"/>
            <w:tcBorders>
              <w:top w:val="nil"/>
              <w:left w:val="nil"/>
              <w:bottom w:val="nil"/>
              <w:right w:val="nil"/>
            </w:tcBorders>
            <w:shd w:val="clear" w:color="auto" w:fill="auto"/>
            <w:noWrap/>
            <w:vAlign w:val="center"/>
            <w:hideMark/>
          </w:tcPr>
          <w:p w14:paraId="65D4B2B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1,978 </w:t>
            </w:r>
          </w:p>
        </w:tc>
        <w:tc>
          <w:tcPr>
            <w:tcW w:w="745" w:type="dxa"/>
            <w:tcBorders>
              <w:top w:val="nil"/>
              <w:left w:val="nil"/>
              <w:bottom w:val="nil"/>
              <w:right w:val="nil"/>
            </w:tcBorders>
            <w:shd w:val="clear" w:color="auto" w:fill="auto"/>
            <w:noWrap/>
            <w:vAlign w:val="center"/>
            <w:hideMark/>
          </w:tcPr>
          <w:p w14:paraId="2BD85751"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876 </w:t>
            </w:r>
          </w:p>
        </w:tc>
        <w:tc>
          <w:tcPr>
            <w:tcW w:w="745" w:type="dxa"/>
            <w:tcBorders>
              <w:top w:val="nil"/>
              <w:left w:val="nil"/>
              <w:bottom w:val="nil"/>
              <w:right w:val="nil"/>
            </w:tcBorders>
            <w:shd w:val="clear" w:color="auto" w:fill="auto"/>
            <w:noWrap/>
            <w:vAlign w:val="center"/>
            <w:hideMark/>
          </w:tcPr>
          <w:p w14:paraId="259A938C"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1,452 </w:t>
            </w:r>
          </w:p>
        </w:tc>
      </w:tr>
      <w:tr w:rsidR="00324AC5" w:rsidRPr="00324AC5" w14:paraId="1FCBC3F8"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4A083F27"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26</w:t>
            </w:r>
          </w:p>
        </w:tc>
        <w:tc>
          <w:tcPr>
            <w:tcW w:w="2859" w:type="dxa"/>
            <w:tcBorders>
              <w:top w:val="nil"/>
              <w:left w:val="nil"/>
              <w:bottom w:val="nil"/>
              <w:right w:val="nil"/>
            </w:tcBorders>
            <w:shd w:val="clear" w:color="auto" w:fill="auto"/>
            <w:noWrap/>
            <w:vAlign w:val="center"/>
            <w:hideMark/>
          </w:tcPr>
          <w:p w14:paraId="396B9828"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South Sumatra</w:t>
            </w:r>
          </w:p>
        </w:tc>
        <w:tc>
          <w:tcPr>
            <w:tcW w:w="241" w:type="dxa"/>
            <w:tcBorders>
              <w:top w:val="nil"/>
              <w:left w:val="nil"/>
              <w:bottom w:val="nil"/>
              <w:right w:val="nil"/>
            </w:tcBorders>
            <w:shd w:val="clear" w:color="auto" w:fill="auto"/>
            <w:noWrap/>
            <w:vAlign w:val="center"/>
            <w:hideMark/>
          </w:tcPr>
          <w:p w14:paraId="6FB8F9F7"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987 </w:t>
            </w:r>
          </w:p>
        </w:tc>
        <w:tc>
          <w:tcPr>
            <w:tcW w:w="1020" w:type="dxa"/>
            <w:tcBorders>
              <w:top w:val="nil"/>
              <w:left w:val="nil"/>
              <w:bottom w:val="nil"/>
              <w:right w:val="nil"/>
            </w:tcBorders>
            <w:shd w:val="clear" w:color="auto" w:fill="auto"/>
            <w:noWrap/>
            <w:vAlign w:val="center"/>
            <w:hideMark/>
          </w:tcPr>
          <w:p w14:paraId="265A64D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912 </w:t>
            </w:r>
          </w:p>
        </w:tc>
        <w:tc>
          <w:tcPr>
            <w:tcW w:w="745" w:type="dxa"/>
            <w:tcBorders>
              <w:top w:val="nil"/>
              <w:left w:val="nil"/>
              <w:bottom w:val="nil"/>
              <w:right w:val="nil"/>
            </w:tcBorders>
            <w:shd w:val="clear" w:color="auto" w:fill="auto"/>
            <w:noWrap/>
            <w:vAlign w:val="center"/>
            <w:hideMark/>
          </w:tcPr>
          <w:p w14:paraId="74DBDD3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818 </w:t>
            </w:r>
          </w:p>
        </w:tc>
        <w:tc>
          <w:tcPr>
            <w:tcW w:w="745" w:type="dxa"/>
            <w:tcBorders>
              <w:top w:val="nil"/>
              <w:left w:val="nil"/>
              <w:bottom w:val="nil"/>
              <w:right w:val="nil"/>
            </w:tcBorders>
            <w:shd w:val="clear" w:color="auto" w:fill="auto"/>
            <w:noWrap/>
            <w:vAlign w:val="center"/>
            <w:hideMark/>
          </w:tcPr>
          <w:p w14:paraId="31C2F8B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1,105 </w:t>
            </w:r>
          </w:p>
        </w:tc>
      </w:tr>
      <w:tr w:rsidR="00324AC5" w:rsidRPr="00324AC5" w14:paraId="4FABBA8A" w14:textId="77777777" w:rsidTr="00324AC5">
        <w:trPr>
          <w:divId w:val="1611663280"/>
          <w:trHeight w:val="95"/>
          <w:jc w:val="center"/>
        </w:trPr>
        <w:tc>
          <w:tcPr>
            <w:tcW w:w="543" w:type="dxa"/>
            <w:tcBorders>
              <w:top w:val="nil"/>
              <w:left w:val="nil"/>
              <w:bottom w:val="nil"/>
              <w:right w:val="nil"/>
            </w:tcBorders>
            <w:shd w:val="clear" w:color="auto" w:fill="auto"/>
            <w:noWrap/>
            <w:vAlign w:val="center"/>
            <w:hideMark/>
          </w:tcPr>
          <w:p w14:paraId="6729CBDF"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27</w:t>
            </w:r>
          </w:p>
        </w:tc>
        <w:tc>
          <w:tcPr>
            <w:tcW w:w="2859" w:type="dxa"/>
            <w:tcBorders>
              <w:top w:val="nil"/>
              <w:left w:val="nil"/>
              <w:bottom w:val="nil"/>
              <w:right w:val="nil"/>
            </w:tcBorders>
            <w:shd w:val="clear" w:color="auto" w:fill="auto"/>
            <w:noWrap/>
            <w:vAlign w:val="center"/>
            <w:hideMark/>
          </w:tcPr>
          <w:p w14:paraId="497F0E7E"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Southeast Sulawesi</w:t>
            </w:r>
          </w:p>
        </w:tc>
        <w:tc>
          <w:tcPr>
            <w:tcW w:w="241" w:type="dxa"/>
            <w:tcBorders>
              <w:top w:val="nil"/>
              <w:left w:val="nil"/>
              <w:bottom w:val="nil"/>
              <w:right w:val="nil"/>
            </w:tcBorders>
            <w:shd w:val="clear" w:color="auto" w:fill="auto"/>
            <w:noWrap/>
            <w:vAlign w:val="center"/>
            <w:hideMark/>
          </w:tcPr>
          <w:p w14:paraId="2A5BC181"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1,079 </w:t>
            </w:r>
          </w:p>
        </w:tc>
        <w:tc>
          <w:tcPr>
            <w:tcW w:w="1020" w:type="dxa"/>
            <w:tcBorders>
              <w:top w:val="nil"/>
              <w:left w:val="nil"/>
              <w:bottom w:val="nil"/>
              <w:right w:val="nil"/>
            </w:tcBorders>
            <w:shd w:val="clear" w:color="auto" w:fill="auto"/>
            <w:noWrap/>
            <w:vAlign w:val="center"/>
            <w:hideMark/>
          </w:tcPr>
          <w:p w14:paraId="1D1B4184"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1,495 </w:t>
            </w:r>
          </w:p>
        </w:tc>
        <w:tc>
          <w:tcPr>
            <w:tcW w:w="745" w:type="dxa"/>
            <w:tcBorders>
              <w:top w:val="nil"/>
              <w:left w:val="nil"/>
              <w:bottom w:val="nil"/>
              <w:right w:val="nil"/>
            </w:tcBorders>
            <w:shd w:val="clear" w:color="auto" w:fill="auto"/>
            <w:noWrap/>
            <w:vAlign w:val="center"/>
            <w:hideMark/>
          </w:tcPr>
          <w:p w14:paraId="39AD1BA7"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810 </w:t>
            </w:r>
          </w:p>
        </w:tc>
        <w:tc>
          <w:tcPr>
            <w:tcW w:w="745" w:type="dxa"/>
            <w:tcBorders>
              <w:top w:val="nil"/>
              <w:left w:val="nil"/>
              <w:bottom w:val="nil"/>
              <w:right w:val="nil"/>
            </w:tcBorders>
            <w:shd w:val="clear" w:color="auto" w:fill="auto"/>
            <w:noWrap/>
            <w:vAlign w:val="center"/>
            <w:hideMark/>
          </w:tcPr>
          <w:p w14:paraId="410AA01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1,350 </w:t>
            </w:r>
          </w:p>
        </w:tc>
      </w:tr>
      <w:tr w:rsidR="00324AC5" w:rsidRPr="00324AC5" w14:paraId="014CCAC7"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0A201E79"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28</w:t>
            </w:r>
          </w:p>
        </w:tc>
        <w:tc>
          <w:tcPr>
            <w:tcW w:w="2859" w:type="dxa"/>
            <w:tcBorders>
              <w:top w:val="nil"/>
              <w:left w:val="nil"/>
              <w:bottom w:val="nil"/>
              <w:right w:val="nil"/>
            </w:tcBorders>
            <w:shd w:val="clear" w:color="auto" w:fill="auto"/>
            <w:noWrap/>
            <w:vAlign w:val="center"/>
            <w:hideMark/>
          </w:tcPr>
          <w:p w14:paraId="0D3DAF5F"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West Java</w:t>
            </w:r>
          </w:p>
        </w:tc>
        <w:tc>
          <w:tcPr>
            <w:tcW w:w="241" w:type="dxa"/>
            <w:tcBorders>
              <w:top w:val="nil"/>
              <w:left w:val="nil"/>
              <w:bottom w:val="nil"/>
              <w:right w:val="nil"/>
            </w:tcBorders>
            <w:shd w:val="clear" w:color="auto" w:fill="auto"/>
            <w:noWrap/>
            <w:vAlign w:val="center"/>
            <w:hideMark/>
          </w:tcPr>
          <w:p w14:paraId="127D97D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1,233 </w:t>
            </w:r>
          </w:p>
        </w:tc>
        <w:tc>
          <w:tcPr>
            <w:tcW w:w="1020" w:type="dxa"/>
            <w:tcBorders>
              <w:top w:val="nil"/>
              <w:left w:val="nil"/>
              <w:bottom w:val="nil"/>
              <w:right w:val="nil"/>
            </w:tcBorders>
            <w:shd w:val="clear" w:color="auto" w:fill="auto"/>
            <w:noWrap/>
            <w:vAlign w:val="center"/>
            <w:hideMark/>
          </w:tcPr>
          <w:p w14:paraId="773611A0"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2,490 </w:t>
            </w:r>
          </w:p>
        </w:tc>
        <w:tc>
          <w:tcPr>
            <w:tcW w:w="745" w:type="dxa"/>
            <w:tcBorders>
              <w:top w:val="nil"/>
              <w:left w:val="nil"/>
              <w:bottom w:val="nil"/>
              <w:right w:val="nil"/>
            </w:tcBorders>
            <w:shd w:val="clear" w:color="auto" w:fill="auto"/>
            <w:noWrap/>
            <w:vAlign w:val="center"/>
            <w:hideMark/>
          </w:tcPr>
          <w:p w14:paraId="704F2C1F"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942 </w:t>
            </w:r>
          </w:p>
        </w:tc>
        <w:tc>
          <w:tcPr>
            <w:tcW w:w="745" w:type="dxa"/>
            <w:tcBorders>
              <w:top w:val="nil"/>
              <w:left w:val="nil"/>
              <w:bottom w:val="nil"/>
              <w:right w:val="nil"/>
            </w:tcBorders>
            <w:shd w:val="clear" w:color="auto" w:fill="auto"/>
            <w:noWrap/>
            <w:vAlign w:val="center"/>
            <w:hideMark/>
          </w:tcPr>
          <w:p w14:paraId="285C8AFD"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1,645 </w:t>
            </w:r>
          </w:p>
        </w:tc>
      </w:tr>
      <w:tr w:rsidR="00324AC5" w:rsidRPr="00324AC5" w14:paraId="457C8008"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7A0BF6FA"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29</w:t>
            </w:r>
          </w:p>
        </w:tc>
        <w:tc>
          <w:tcPr>
            <w:tcW w:w="2859" w:type="dxa"/>
            <w:tcBorders>
              <w:top w:val="nil"/>
              <w:left w:val="nil"/>
              <w:bottom w:val="nil"/>
              <w:right w:val="nil"/>
            </w:tcBorders>
            <w:shd w:val="clear" w:color="auto" w:fill="auto"/>
            <w:noWrap/>
            <w:vAlign w:val="center"/>
            <w:hideMark/>
          </w:tcPr>
          <w:p w14:paraId="380EC7FD"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West Kalimantan</w:t>
            </w:r>
          </w:p>
        </w:tc>
        <w:tc>
          <w:tcPr>
            <w:tcW w:w="241" w:type="dxa"/>
            <w:tcBorders>
              <w:top w:val="nil"/>
              <w:left w:val="nil"/>
              <w:bottom w:val="nil"/>
              <w:right w:val="nil"/>
            </w:tcBorders>
            <w:shd w:val="clear" w:color="auto" w:fill="auto"/>
            <w:noWrap/>
            <w:vAlign w:val="center"/>
            <w:hideMark/>
          </w:tcPr>
          <w:p w14:paraId="2A1AFAF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954 </w:t>
            </w:r>
          </w:p>
        </w:tc>
        <w:tc>
          <w:tcPr>
            <w:tcW w:w="1020" w:type="dxa"/>
            <w:tcBorders>
              <w:top w:val="nil"/>
              <w:left w:val="nil"/>
              <w:bottom w:val="nil"/>
              <w:right w:val="nil"/>
            </w:tcBorders>
            <w:shd w:val="clear" w:color="auto" w:fill="auto"/>
            <w:noWrap/>
            <w:vAlign w:val="center"/>
            <w:hideMark/>
          </w:tcPr>
          <w:p w14:paraId="681ACF90"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696 </w:t>
            </w:r>
          </w:p>
        </w:tc>
        <w:tc>
          <w:tcPr>
            <w:tcW w:w="745" w:type="dxa"/>
            <w:tcBorders>
              <w:top w:val="nil"/>
              <w:left w:val="nil"/>
              <w:bottom w:val="nil"/>
              <w:right w:val="nil"/>
            </w:tcBorders>
            <w:shd w:val="clear" w:color="auto" w:fill="auto"/>
            <w:noWrap/>
            <w:vAlign w:val="center"/>
            <w:hideMark/>
          </w:tcPr>
          <w:p w14:paraId="6799AE7D"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845 </w:t>
            </w:r>
          </w:p>
        </w:tc>
        <w:tc>
          <w:tcPr>
            <w:tcW w:w="745" w:type="dxa"/>
            <w:tcBorders>
              <w:top w:val="nil"/>
              <w:left w:val="nil"/>
              <w:bottom w:val="nil"/>
              <w:right w:val="nil"/>
            </w:tcBorders>
            <w:shd w:val="clear" w:color="auto" w:fill="auto"/>
            <w:noWrap/>
            <w:vAlign w:val="center"/>
            <w:hideMark/>
          </w:tcPr>
          <w:p w14:paraId="0DC7CFD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1,077 </w:t>
            </w:r>
          </w:p>
        </w:tc>
      </w:tr>
      <w:tr w:rsidR="00324AC5" w:rsidRPr="00324AC5" w14:paraId="4BAA827C"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54489D74"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30</w:t>
            </w:r>
          </w:p>
        </w:tc>
        <w:tc>
          <w:tcPr>
            <w:tcW w:w="2859" w:type="dxa"/>
            <w:tcBorders>
              <w:top w:val="nil"/>
              <w:left w:val="nil"/>
              <w:bottom w:val="nil"/>
              <w:right w:val="nil"/>
            </w:tcBorders>
            <w:shd w:val="clear" w:color="auto" w:fill="auto"/>
            <w:noWrap/>
            <w:vAlign w:val="center"/>
            <w:hideMark/>
          </w:tcPr>
          <w:p w14:paraId="00CD5039"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West Nusa Tenggara</w:t>
            </w:r>
          </w:p>
        </w:tc>
        <w:tc>
          <w:tcPr>
            <w:tcW w:w="241" w:type="dxa"/>
            <w:tcBorders>
              <w:top w:val="nil"/>
              <w:left w:val="nil"/>
              <w:bottom w:val="nil"/>
              <w:right w:val="nil"/>
            </w:tcBorders>
            <w:shd w:val="clear" w:color="auto" w:fill="auto"/>
            <w:noWrap/>
            <w:vAlign w:val="center"/>
            <w:hideMark/>
          </w:tcPr>
          <w:p w14:paraId="5F8B4F74"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936 </w:t>
            </w:r>
          </w:p>
        </w:tc>
        <w:tc>
          <w:tcPr>
            <w:tcW w:w="1020" w:type="dxa"/>
            <w:tcBorders>
              <w:top w:val="nil"/>
              <w:left w:val="nil"/>
              <w:bottom w:val="nil"/>
              <w:right w:val="nil"/>
            </w:tcBorders>
            <w:shd w:val="clear" w:color="auto" w:fill="auto"/>
            <w:noWrap/>
            <w:vAlign w:val="center"/>
            <w:hideMark/>
          </w:tcPr>
          <w:p w14:paraId="7E74108C"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45ABB66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785 </w:t>
            </w:r>
          </w:p>
        </w:tc>
        <w:tc>
          <w:tcPr>
            <w:tcW w:w="745" w:type="dxa"/>
            <w:tcBorders>
              <w:top w:val="nil"/>
              <w:left w:val="nil"/>
              <w:bottom w:val="nil"/>
              <w:right w:val="nil"/>
            </w:tcBorders>
            <w:shd w:val="clear" w:color="auto" w:fill="auto"/>
            <w:noWrap/>
            <w:vAlign w:val="center"/>
            <w:hideMark/>
          </w:tcPr>
          <w:p w14:paraId="67809A40"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1,115 </w:t>
            </w:r>
          </w:p>
        </w:tc>
      </w:tr>
      <w:tr w:rsidR="00324AC5" w:rsidRPr="00324AC5" w14:paraId="38A66E13"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675CA4D6"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31</w:t>
            </w:r>
          </w:p>
        </w:tc>
        <w:tc>
          <w:tcPr>
            <w:tcW w:w="2859" w:type="dxa"/>
            <w:tcBorders>
              <w:top w:val="nil"/>
              <w:left w:val="nil"/>
              <w:bottom w:val="nil"/>
              <w:right w:val="nil"/>
            </w:tcBorders>
            <w:shd w:val="clear" w:color="auto" w:fill="auto"/>
            <w:noWrap/>
            <w:vAlign w:val="center"/>
            <w:hideMark/>
          </w:tcPr>
          <w:p w14:paraId="682CA51E"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West Papua</w:t>
            </w:r>
          </w:p>
        </w:tc>
        <w:tc>
          <w:tcPr>
            <w:tcW w:w="241" w:type="dxa"/>
            <w:tcBorders>
              <w:top w:val="nil"/>
              <w:left w:val="nil"/>
              <w:bottom w:val="nil"/>
              <w:right w:val="nil"/>
            </w:tcBorders>
            <w:shd w:val="clear" w:color="auto" w:fill="auto"/>
            <w:noWrap/>
            <w:vAlign w:val="center"/>
            <w:hideMark/>
          </w:tcPr>
          <w:p w14:paraId="13C7680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1,551 </w:t>
            </w:r>
          </w:p>
        </w:tc>
        <w:tc>
          <w:tcPr>
            <w:tcW w:w="1020" w:type="dxa"/>
            <w:tcBorders>
              <w:top w:val="nil"/>
              <w:left w:val="nil"/>
              <w:bottom w:val="nil"/>
              <w:right w:val="nil"/>
            </w:tcBorders>
            <w:shd w:val="clear" w:color="auto" w:fill="auto"/>
            <w:noWrap/>
            <w:vAlign w:val="center"/>
            <w:hideMark/>
          </w:tcPr>
          <w:p w14:paraId="63EDF515"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1,053 </w:t>
            </w:r>
          </w:p>
        </w:tc>
        <w:tc>
          <w:tcPr>
            <w:tcW w:w="745" w:type="dxa"/>
            <w:tcBorders>
              <w:top w:val="nil"/>
              <w:left w:val="nil"/>
              <w:bottom w:val="nil"/>
              <w:right w:val="nil"/>
            </w:tcBorders>
            <w:shd w:val="clear" w:color="auto" w:fill="auto"/>
            <w:noWrap/>
            <w:vAlign w:val="center"/>
            <w:hideMark/>
          </w:tcPr>
          <w:p w14:paraId="3AE01719"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1,384 </w:t>
            </w:r>
          </w:p>
        </w:tc>
        <w:tc>
          <w:tcPr>
            <w:tcW w:w="745" w:type="dxa"/>
            <w:tcBorders>
              <w:top w:val="nil"/>
              <w:left w:val="nil"/>
              <w:bottom w:val="nil"/>
              <w:right w:val="nil"/>
            </w:tcBorders>
            <w:shd w:val="clear" w:color="auto" w:fill="auto"/>
            <w:noWrap/>
            <w:vAlign w:val="center"/>
            <w:hideMark/>
          </w:tcPr>
          <w:p w14:paraId="41E2E636"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1,732 </w:t>
            </w:r>
          </w:p>
        </w:tc>
      </w:tr>
      <w:tr w:rsidR="00324AC5" w:rsidRPr="00324AC5" w14:paraId="523EC696"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63D99B2D"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32</w:t>
            </w:r>
          </w:p>
        </w:tc>
        <w:tc>
          <w:tcPr>
            <w:tcW w:w="2859" w:type="dxa"/>
            <w:tcBorders>
              <w:top w:val="nil"/>
              <w:left w:val="nil"/>
              <w:bottom w:val="nil"/>
              <w:right w:val="nil"/>
            </w:tcBorders>
            <w:shd w:val="clear" w:color="auto" w:fill="auto"/>
            <w:noWrap/>
            <w:vAlign w:val="center"/>
            <w:hideMark/>
          </w:tcPr>
          <w:p w14:paraId="2E230A1B"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West Sulawesi</w:t>
            </w:r>
          </w:p>
        </w:tc>
        <w:tc>
          <w:tcPr>
            <w:tcW w:w="241" w:type="dxa"/>
            <w:tcBorders>
              <w:top w:val="nil"/>
              <w:left w:val="nil"/>
              <w:bottom w:val="nil"/>
              <w:right w:val="nil"/>
            </w:tcBorders>
            <w:shd w:val="clear" w:color="auto" w:fill="auto"/>
            <w:noWrap/>
            <w:vAlign w:val="center"/>
            <w:hideMark/>
          </w:tcPr>
          <w:p w14:paraId="114771D9"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1,170 </w:t>
            </w:r>
          </w:p>
        </w:tc>
        <w:tc>
          <w:tcPr>
            <w:tcW w:w="1020" w:type="dxa"/>
            <w:tcBorders>
              <w:top w:val="nil"/>
              <w:left w:val="nil"/>
              <w:bottom w:val="nil"/>
              <w:right w:val="nil"/>
            </w:tcBorders>
            <w:shd w:val="clear" w:color="auto" w:fill="auto"/>
            <w:noWrap/>
            <w:vAlign w:val="center"/>
            <w:hideMark/>
          </w:tcPr>
          <w:p w14:paraId="7CE7429B"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1,304 </w:t>
            </w:r>
          </w:p>
        </w:tc>
        <w:tc>
          <w:tcPr>
            <w:tcW w:w="745" w:type="dxa"/>
            <w:tcBorders>
              <w:top w:val="nil"/>
              <w:left w:val="nil"/>
              <w:bottom w:val="nil"/>
              <w:right w:val="nil"/>
            </w:tcBorders>
            <w:shd w:val="clear" w:color="auto" w:fill="auto"/>
            <w:noWrap/>
            <w:vAlign w:val="center"/>
            <w:hideMark/>
          </w:tcPr>
          <w:p w14:paraId="4EF33E07"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986 </w:t>
            </w:r>
          </w:p>
        </w:tc>
        <w:tc>
          <w:tcPr>
            <w:tcW w:w="745" w:type="dxa"/>
            <w:tcBorders>
              <w:top w:val="nil"/>
              <w:left w:val="nil"/>
              <w:bottom w:val="nil"/>
              <w:right w:val="nil"/>
            </w:tcBorders>
            <w:shd w:val="clear" w:color="auto" w:fill="auto"/>
            <w:noWrap/>
            <w:vAlign w:val="center"/>
            <w:hideMark/>
          </w:tcPr>
          <w:p w14:paraId="649F66FC"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1,377 </w:t>
            </w:r>
          </w:p>
        </w:tc>
      </w:tr>
      <w:tr w:rsidR="00324AC5" w:rsidRPr="00324AC5" w14:paraId="483ED065" w14:textId="77777777" w:rsidTr="00324AC5">
        <w:trPr>
          <w:divId w:val="1611663280"/>
          <w:trHeight w:val="60"/>
          <w:jc w:val="center"/>
        </w:trPr>
        <w:tc>
          <w:tcPr>
            <w:tcW w:w="543" w:type="dxa"/>
            <w:tcBorders>
              <w:top w:val="nil"/>
              <w:left w:val="nil"/>
              <w:bottom w:val="nil"/>
              <w:right w:val="nil"/>
            </w:tcBorders>
            <w:shd w:val="clear" w:color="auto" w:fill="auto"/>
            <w:noWrap/>
            <w:vAlign w:val="center"/>
            <w:hideMark/>
          </w:tcPr>
          <w:p w14:paraId="4D5537B1"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33</w:t>
            </w:r>
          </w:p>
        </w:tc>
        <w:tc>
          <w:tcPr>
            <w:tcW w:w="2859" w:type="dxa"/>
            <w:tcBorders>
              <w:top w:val="nil"/>
              <w:left w:val="nil"/>
              <w:bottom w:val="nil"/>
              <w:right w:val="nil"/>
            </w:tcBorders>
            <w:shd w:val="clear" w:color="auto" w:fill="auto"/>
            <w:noWrap/>
            <w:vAlign w:val="center"/>
            <w:hideMark/>
          </w:tcPr>
          <w:p w14:paraId="59465AEA"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West Sumatra</w:t>
            </w:r>
          </w:p>
        </w:tc>
        <w:tc>
          <w:tcPr>
            <w:tcW w:w="241" w:type="dxa"/>
            <w:tcBorders>
              <w:top w:val="nil"/>
              <w:left w:val="nil"/>
              <w:bottom w:val="nil"/>
              <w:right w:val="nil"/>
            </w:tcBorders>
            <w:shd w:val="clear" w:color="auto" w:fill="auto"/>
            <w:noWrap/>
            <w:vAlign w:val="center"/>
            <w:hideMark/>
          </w:tcPr>
          <w:p w14:paraId="7B1AA622"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1,061 </w:t>
            </w:r>
          </w:p>
        </w:tc>
        <w:tc>
          <w:tcPr>
            <w:tcW w:w="1020" w:type="dxa"/>
            <w:tcBorders>
              <w:top w:val="nil"/>
              <w:left w:val="nil"/>
              <w:bottom w:val="nil"/>
              <w:right w:val="nil"/>
            </w:tcBorders>
            <w:shd w:val="clear" w:color="auto" w:fill="auto"/>
            <w:noWrap/>
            <w:vAlign w:val="center"/>
            <w:hideMark/>
          </w:tcPr>
          <w:p w14:paraId="4864727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990 </w:t>
            </w:r>
          </w:p>
        </w:tc>
        <w:tc>
          <w:tcPr>
            <w:tcW w:w="745" w:type="dxa"/>
            <w:tcBorders>
              <w:top w:val="nil"/>
              <w:left w:val="nil"/>
              <w:bottom w:val="nil"/>
              <w:right w:val="nil"/>
            </w:tcBorders>
            <w:shd w:val="clear" w:color="auto" w:fill="auto"/>
            <w:noWrap/>
            <w:vAlign w:val="center"/>
            <w:hideMark/>
          </w:tcPr>
          <w:p w14:paraId="508832D8"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885 </w:t>
            </w:r>
          </w:p>
        </w:tc>
        <w:tc>
          <w:tcPr>
            <w:tcW w:w="745" w:type="dxa"/>
            <w:tcBorders>
              <w:top w:val="nil"/>
              <w:left w:val="nil"/>
              <w:bottom w:val="nil"/>
              <w:right w:val="nil"/>
            </w:tcBorders>
            <w:shd w:val="clear" w:color="auto" w:fill="auto"/>
            <w:noWrap/>
            <w:vAlign w:val="center"/>
            <w:hideMark/>
          </w:tcPr>
          <w:p w14:paraId="14136CBA"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1,235 </w:t>
            </w:r>
          </w:p>
        </w:tc>
      </w:tr>
      <w:tr w:rsidR="00324AC5" w:rsidRPr="00324AC5" w14:paraId="62160601" w14:textId="77777777" w:rsidTr="00324AC5">
        <w:trPr>
          <w:divId w:val="1611663280"/>
          <w:trHeight w:val="60"/>
          <w:jc w:val="center"/>
        </w:trPr>
        <w:tc>
          <w:tcPr>
            <w:tcW w:w="543" w:type="dxa"/>
            <w:tcBorders>
              <w:top w:val="nil"/>
              <w:left w:val="nil"/>
              <w:bottom w:val="single" w:sz="4" w:space="0" w:color="auto"/>
              <w:right w:val="nil"/>
            </w:tcBorders>
            <w:shd w:val="clear" w:color="auto" w:fill="auto"/>
            <w:noWrap/>
            <w:vAlign w:val="center"/>
            <w:hideMark/>
          </w:tcPr>
          <w:p w14:paraId="2CCD8EB4" w14:textId="77777777" w:rsidR="00324AC5" w:rsidRPr="00324AC5" w:rsidRDefault="00324AC5" w:rsidP="00324AC5">
            <w:pPr>
              <w:spacing w:after="0" w:line="240" w:lineRule="auto"/>
              <w:jc w:val="center"/>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34</w:t>
            </w:r>
          </w:p>
        </w:tc>
        <w:tc>
          <w:tcPr>
            <w:tcW w:w="2859" w:type="dxa"/>
            <w:tcBorders>
              <w:top w:val="nil"/>
              <w:left w:val="nil"/>
              <w:bottom w:val="single" w:sz="4" w:space="0" w:color="auto"/>
              <w:right w:val="nil"/>
            </w:tcBorders>
            <w:shd w:val="clear" w:color="auto" w:fill="auto"/>
            <w:noWrap/>
            <w:vAlign w:val="center"/>
            <w:hideMark/>
          </w:tcPr>
          <w:p w14:paraId="64E86B53" w14:textId="77777777" w:rsidR="00324AC5" w:rsidRPr="00324AC5" w:rsidRDefault="00324AC5" w:rsidP="00324AC5">
            <w:pPr>
              <w:spacing w:after="0" w:line="240" w:lineRule="auto"/>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Yogyakarta</w:t>
            </w:r>
          </w:p>
        </w:tc>
        <w:tc>
          <w:tcPr>
            <w:tcW w:w="241" w:type="dxa"/>
            <w:tcBorders>
              <w:top w:val="nil"/>
              <w:left w:val="nil"/>
              <w:bottom w:val="single" w:sz="4" w:space="0" w:color="auto"/>
              <w:right w:val="nil"/>
            </w:tcBorders>
            <w:shd w:val="clear" w:color="auto" w:fill="auto"/>
            <w:noWrap/>
            <w:vAlign w:val="center"/>
            <w:hideMark/>
          </w:tcPr>
          <w:p w14:paraId="436A4A7C"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968 </w:t>
            </w:r>
          </w:p>
        </w:tc>
        <w:tc>
          <w:tcPr>
            <w:tcW w:w="1020" w:type="dxa"/>
            <w:tcBorders>
              <w:top w:val="nil"/>
              <w:left w:val="nil"/>
              <w:bottom w:val="single" w:sz="4" w:space="0" w:color="auto"/>
              <w:right w:val="nil"/>
            </w:tcBorders>
            <w:shd w:val="clear" w:color="auto" w:fill="auto"/>
            <w:noWrap/>
            <w:vAlign w:val="center"/>
            <w:hideMark/>
          </w:tcPr>
          <w:p w14:paraId="5FB85023"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1,254 </w:t>
            </w:r>
          </w:p>
        </w:tc>
        <w:tc>
          <w:tcPr>
            <w:tcW w:w="745" w:type="dxa"/>
            <w:tcBorders>
              <w:top w:val="nil"/>
              <w:left w:val="nil"/>
              <w:bottom w:val="single" w:sz="4" w:space="0" w:color="auto"/>
              <w:right w:val="nil"/>
            </w:tcBorders>
            <w:shd w:val="clear" w:color="auto" w:fill="auto"/>
            <w:noWrap/>
            <w:vAlign w:val="center"/>
            <w:hideMark/>
          </w:tcPr>
          <w:p w14:paraId="3CE7276E"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784 </w:t>
            </w:r>
          </w:p>
        </w:tc>
        <w:tc>
          <w:tcPr>
            <w:tcW w:w="745" w:type="dxa"/>
            <w:tcBorders>
              <w:top w:val="nil"/>
              <w:left w:val="nil"/>
              <w:bottom w:val="single" w:sz="4" w:space="0" w:color="auto"/>
              <w:right w:val="nil"/>
            </w:tcBorders>
            <w:shd w:val="clear" w:color="auto" w:fill="auto"/>
            <w:noWrap/>
            <w:vAlign w:val="center"/>
            <w:hideMark/>
          </w:tcPr>
          <w:p w14:paraId="0AE08334" w14:textId="77777777" w:rsidR="00324AC5" w:rsidRPr="00324AC5" w:rsidRDefault="00324AC5" w:rsidP="00324AC5">
            <w:pPr>
              <w:spacing w:after="0" w:line="240" w:lineRule="auto"/>
              <w:jc w:val="right"/>
              <w:rPr>
                <w:rFonts w:ascii="Yu Gothic" w:eastAsia="Yu Gothic" w:hAnsi="Yu Gothic" w:cs="MS PGothic" w:hint="eastAsia"/>
                <w:color w:val="000000"/>
                <w:sz w:val="18"/>
                <w:szCs w:val="18"/>
                <w:lang w:eastAsia="ja-JP"/>
              </w:rPr>
            </w:pPr>
            <w:r w:rsidRPr="00324AC5">
              <w:rPr>
                <w:rFonts w:ascii="Yu Gothic" w:eastAsia="Yu Gothic" w:hAnsi="Yu Gothic" w:cs="MS PGothic" w:hint="eastAsia"/>
                <w:color w:val="000000"/>
                <w:sz w:val="18"/>
                <w:szCs w:val="18"/>
                <w:lang w:eastAsia="ja-JP"/>
              </w:rPr>
              <w:t xml:space="preserve">1,189 </w:t>
            </w:r>
          </w:p>
        </w:tc>
      </w:tr>
    </w:tbl>
    <w:p w14:paraId="2E054A62" w14:textId="77777777" w:rsidR="00422BF6" w:rsidRPr="0054671B" w:rsidRDefault="000F24D5" w:rsidP="00422BF6">
      <w:pPr>
        <w:snapToGrid w:val="0"/>
        <w:spacing w:after="0" w:line="240" w:lineRule="auto"/>
        <w:ind w:left="913" w:firstLine="363"/>
        <w:rPr>
          <w:sz w:val="20"/>
          <w:szCs w:val="20"/>
        </w:rPr>
      </w:pPr>
      <w:r w:rsidRPr="0054671B">
        <w:rPr>
          <w:noProof/>
        </w:rPr>
        <w:fldChar w:fldCharType="end"/>
      </w:r>
      <w:r w:rsidR="005F5ACD" w:rsidRPr="0054671B">
        <w:rPr>
          <w:rFonts w:hint="eastAsia"/>
          <w:i/>
          <w:iCs/>
          <w:sz w:val="20"/>
          <w:szCs w:val="20"/>
        </w:rPr>
        <w:t>N</w:t>
      </w:r>
      <w:r w:rsidR="005F5ACD" w:rsidRPr="0054671B">
        <w:rPr>
          <w:i/>
          <w:iCs/>
          <w:sz w:val="20"/>
          <w:szCs w:val="20"/>
        </w:rPr>
        <w:t>ote:</w:t>
      </w:r>
      <w:r w:rsidR="005F5ACD" w:rsidRPr="0054671B">
        <w:rPr>
          <w:sz w:val="20"/>
          <w:szCs w:val="20"/>
        </w:rPr>
        <w:t xml:space="preserve"> In thousands of IDR</w:t>
      </w:r>
      <w:r w:rsidR="00422BF6" w:rsidRPr="0054671B">
        <w:rPr>
          <w:rFonts w:hint="eastAsia"/>
          <w:sz w:val="20"/>
          <w:szCs w:val="20"/>
        </w:rPr>
        <w:t>.</w:t>
      </w:r>
      <w:r w:rsidR="00422BF6" w:rsidRPr="0054671B">
        <w:rPr>
          <w:sz w:val="20"/>
          <w:szCs w:val="20"/>
        </w:rPr>
        <w:t xml:space="preserve"> </w:t>
      </w:r>
    </w:p>
    <w:p w14:paraId="3BBCED05" w14:textId="7809DB71" w:rsidR="005F5ACD" w:rsidRPr="0054671B" w:rsidRDefault="005F5ACD" w:rsidP="00422BF6">
      <w:pPr>
        <w:snapToGrid w:val="0"/>
        <w:spacing w:after="0" w:line="240" w:lineRule="auto"/>
        <w:ind w:left="913" w:firstLine="363"/>
        <w:rPr>
          <w:sz w:val="20"/>
          <w:szCs w:val="20"/>
        </w:rPr>
      </w:pPr>
      <w:r w:rsidRPr="0054671B">
        <w:rPr>
          <w:rFonts w:hint="eastAsia"/>
          <w:i/>
          <w:iCs/>
          <w:sz w:val="20"/>
          <w:szCs w:val="20"/>
        </w:rPr>
        <w:t>S</w:t>
      </w:r>
      <w:r w:rsidRPr="0054671B">
        <w:rPr>
          <w:i/>
          <w:iCs/>
          <w:sz w:val="20"/>
          <w:szCs w:val="20"/>
        </w:rPr>
        <w:t>ource:</w:t>
      </w:r>
      <w:r w:rsidRPr="0054671B">
        <w:rPr>
          <w:sz w:val="20"/>
          <w:szCs w:val="20"/>
        </w:rPr>
        <w:t xml:space="preserve"> Authors’ computation</w:t>
      </w:r>
      <w:r w:rsidR="002A72FE" w:rsidRPr="0054671B">
        <w:rPr>
          <w:sz w:val="20"/>
          <w:szCs w:val="20"/>
        </w:rPr>
        <w:t>.</w:t>
      </w:r>
    </w:p>
    <w:p w14:paraId="2D346BD2" w14:textId="4F19352C" w:rsidR="00F23585" w:rsidRPr="0054671B" w:rsidRDefault="00F23585" w:rsidP="00422BF6">
      <w:pPr>
        <w:snapToGrid w:val="0"/>
        <w:spacing w:after="0" w:line="240" w:lineRule="auto"/>
        <w:ind w:left="913" w:firstLine="363"/>
        <w:rPr>
          <w:sz w:val="20"/>
          <w:szCs w:val="20"/>
        </w:rPr>
      </w:pPr>
    </w:p>
    <w:p w14:paraId="1519C9AE" w14:textId="195AD2E2" w:rsidR="00F23585" w:rsidRPr="0054671B" w:rsidRDefault="00F23585" w:rsidP="00422BF6">
      <w:pPr>
        <w:snapToGrid w:val="0"/>
        <w:spacing w:after="0" w:line="240" w:lineRule="auto"/>
        <w:ind w:left="913" w:firstLine="363"/>
        <w:rPr>
          <w:sz w:val="20"/>
          <w:szCs w:val="20"/>
        </w:rPr>
      </w:pPr>
    </w:p>
    <w:p w14:paraId="4C58E432" w14:textId="304590F4" w:rsidR="00F23585" w:rsidRPr="0054671B" w:rsidRDefault="00F23585" w:rsidP="00422BF6">
      <w:pPr>
        <w:snapToGrid w:val="0"/>
        <w:spacing w:after="0" w:line="240" w:lineRule="auto"/>
        <w:ind w:left="913" w:firstLine="363"/>
        <w:rPr>
          <w:sz w:val="20"/>
          <w:szCs w:val="20"/>
        </w:rPr>
      </w:pPr>
      <w:r w:rsidRPr="0054671B">
        <w:rPr>
          <w:noProof/>
        </w:rPr>
        <w:lastRenderedPageBreak/>
        <w:drawing>
          <wp:inline distT="0" distB="0" distL="0" distR="0" wp14:anchorId="4BF8DDF6" wp14:editId="6F55933A">
            <wp:extent cx="4305935" cy="265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05935" cy="2656205"/>
                    </a:xfrm>
                    <a:prstGeom prst="rect">
                      <a:avLst/>
                    </a:prstGeom>
                    <a:noFill/>
                    <a:ln>
                      <a:noFill/>
                    </a:ln>
                  </pic:spPr>
                </pic:pic>
              </a:graphicData>
            </a:graphic>
          </wp:inline>
        </w:drawing>
      </w:r>
    </w:p>
    <w:p w14:paraId="3BEFC720" w14:textId="1B3AC6FE" w:rsidR="001F7977" w:rsidRPr="00857081" w:rsidRDefault="00F23585" w:rsidP="00857081">
      <w:pPr>
        <w:pStyle w:val="ListParagraph"/>
        <w:spacing w:line="360" w:lineRule="auto"/>
        <w:jc w:val="center"/>
      </w:pPr>
      <w:r w:rsidRPr="0054671B">
        <w:t xml:space="preserve">Fig. </w:t>
      </w:r>
      <w:r w:rsidR="00523120" w:rsidRPr="0054671B">
        <w:t>A</w:t>
      </w:r>
      <w:r w:rsidR="00A410CD" w:rsidRPr="0054671B">
        <w:t>1</w:t>
      </w:r>
      <w:r w:rsidRPr="0054671B">
        <w:t xml:space="preserve">. The </w:t>
      </w:r>
      <w:r w:rsidR="00523120" w:rsidRPr="0054671B">
        <w:t>time-series</w:t>
      </w:r>
      <w:r w:rsidRPr="0054671B">
        <w:t xml:space="preserve"> </w:t>
      </w:r>
      <w:r w:rsidR="00523120" w:rsidRPr="0054671B">
        <w:t>o</w:t>
      </w:r>
      <w:r w:rsidRPr="0054671B">
        <w:t xml:space="preserve">f </w:t>
      </w:r>
      <w:r w:rsidR="00523120" w:rsidRPr="0054671B">
        <w:t>real wage across provinces</w:t>
      </w:r>
      <w:r w:rsidR="003B1D68" w:rsidRPr="0054671B">
        <w:t xml:space="preserve"> based on region</w:t>
      </w:r>
      <w:r w:rsidR="00523120" w:rsidRPr="0054671B">
        <w:t>, 2008-2020</w:t>
      </w:r>
    </w:p>
    <w:sectPr w:rsidR="001F7977" w:rsidRPr="00857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D914E" w14:textId="77777777" w:rsidR="00721E62" w:rsidRDefault="00721E62" w:rsidP="00186716">
      <w:pPr>
        <w:spacing w:after="0" w:line="240" w:lineRule="auto"/>
      </w:pPr>
      <w:r>
        <w:separator/>
      </w:r>
    </w:p>
  </w:endnote>
  <w:endnote w:type="continuationSeparator" w:id="0">
    <w:p w14:paraId="202169CD" w14:textId="77777777" w:rsidR="00721E62" w:rsidRDefault="00721E62"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2C6DC1BC" w14:textId="4EE648B5" w:rsidR="00395A72" w:rsidRDefault="00395A72">
        <w:pPr>
          <w:pStyle w:val="Footer"/>
          <w:jc w:val="right"/>
        </w:pPr>
        <w:r>
          <w:fldChar w:fldCharType="begin"/>
        </w:r>
        <w:r>
          <w:instrText xml:space="preserve"> PAGE   \* MERGEFORMAT </w:instrText>
        </w:r>
        <w:r>
          <w:fldChar w:fldCharType="separate"/>
        </w:r>
        <w:r w:rsidR="006F66A7">
          <w:rPr>
            <w:noProof/>
          </w:rPr>
          <w:t>21</w:t>
        </w:r>
        <w:r>
          <w:rPr>
            <w:noProof/>
          </w:rPr>
          <w:fldChar w:fldCharType="end"/>
        </w:r>
      </w:p>
    </w:sdtContent>
  </w:sdt>
  <w:p w14:paraId="5D41138A" w14:textId="77777777" w:rsidR="00395A72" w:rsidRDefault="003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EF2C3" w14:textId="77777777" w:rsidR="00721E62" w:rsidRDefault="00721E62" w:rsidP="00186716">
      <w:pPr>
        <w:spacing w:after="0" w:line="240" w:lineRule="auto"/>
      </w:pPr>
      <w:r>
        <w:separator/>
      </w:r>
    </w:p>
  </w:footnote>
  <w:footnote w:type="continuationSeparator" w:id="0">
    <w:p w14:paraId="0D8DA2A9" w14:textId="77777777" w:rsidR="00721E62" w:rsidRDefault="00721E62" w:rsidP="00186716">
      <w:pPr>
        <w:spacing w:after="0" w:line="240" w:lineRule="auto"/>
      </w:pPr>
      <w:r>
        <w:continuationSeparator/>
      </w:r>
    </w:p>
  </w:footnote>
  <w:footnote w:id="1">
    <w:p w14:paraId="369B4C81" w14:textId="77777777" w:rsidR="0011388F" w:rsidRDefault="0011388F" w:rsidP="0011388F">
      <w:pPr>
        <w:pStyle w:val="FootnoteText"/>
        <w:ind w:left="200" w:hanging="200"/>
      </w:pPr>
      <w:r w:rsidRPr="00DF669A">
        <w:rPr>
          <w:rStyle w:val="FootnoteReference"/>
          <w:rFonts w:asciiTheme="majorHAnsi" w:hAnsiTheme="majorHAnsi" w:cstheme="majorHAnsi"/>
        </w:rPr>
        <w:footnoteRef/>
      </w:r>
      <w:r>
        <w:t xml:space="preserve"> </w:t>
      </w:r>
      <w:r w:rsidRPr="00C20435">
        <w:rPr>
          <w:rFonts w:asciiTheme="minorHAnsi" w:eastAsiaTheme="minorEastAsia" w:hAnsiTheme="minorHAnsi" w:cstheme="minorBidi"/>
        </w:rPr>
        <w:t xml:space="preserve">See </w:t>
      </w:r>
      <w:r w:rsidRPr="00C20435">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{"citationID":"3qyw3GJI","properties":{"formattedCitation":"(Peter C. B. Phillips and Sul 2009)","plainCitation":"(Peter C. B. Phillips and Sul 2009)","dontUpdate":true,"noteIndex":1},"citationItems":[{"id":94,"uris":["http://zotero.org/users/local/9Bu69DCL/items/E3IIME5U"],"uri":["http://zotero.org/users/local/9Bu69DCL/items/E3IIME5U"],"itemData":{"id":94,"type":"article-journal","abstract":"Abstract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C20435">
        <w:rPr>
          <w:rFonts w:asciiTheme="minorHAnsi" w:eastAsiaTheme="minorEastAsia" w:hAnsiTheme="minorHAnsi" w:cstheme="minorBidi"/>
        </w:rPr>
        <w:fldChar w:fldCharType="separate"/>
      </w:r>
      <w:r w:rsidRPr="00C20435">
        <w:rPr>
          <w:rFonts w:asciiTheme="minorHAnsi" w:eastAsiaTheme="minorEastAsia" w:hAnsiTheme="minorHAnsi" w:cstheme="minorBidi"/>
        </w:rPr>
        <w:t>Phillips and Sul (2009)</w:t>
      </w:r>
      <w:r w:rsidRPr="00C20435">
        <w:rPr>
          <w:rFonts w:asciiTheme="minorHAnsi" w:eastAsiaTheme="minorEastAsia" w:hAnsiTheme="minorHAnsi" w:cstheme="minorBidi"/>
        </w:rPr>
        <w:fldChar w:fldCharType="end"/>
      </w:r>
      <w:r w:rsidRPr="00C20435">
        <w:rPr>
          <w:rFonts w:asciiTheme="minorHAnsi" w:eastAsiaTheme="minorEastAsia" w:hAnsiTheme="minorHAnsi" w:cstheme="minorBidi"/>
        </w:rPr>
        <w:t xml:space="preserve"> for further detailed discussion.</w:t>
      </w:r>
    </w:p>
  </w:footnote>
  <w:footnote w:id="2">
    <w:p w14:paraId="5D4E8DB3" w14:textId="325F6E19" w:rsidR="006D3D74" w:rsidRDefault="006D3D74" w:rsidP="006D276B">
      <w:pPr>
        <w:pStyle w:val="FootnoteText"/>
        <w:ind w:left="220" w:hanging="220"/>
        <w:jc w:val="both"/>
      </w:pPr>
      <w:r w:rsidRPr="003B3495">
        <w:rPr>
          <w:rFonts w:asciiTheme="minorHAnsi" w:eastAsiaTheme="minorEastAsia" w:hAnsiTheme="minorHAnsi" w:cstheme="minorBidi"/>
          <w:sz w:val="22"/>
          <w:szCs w:val="22"/>
          <w:vertAlign w:val="superscript"/>
        </w:rPr>
        <w:footnoteRef/>
      </w:r>
      <w:r w:rsidRPr="003B3495">
        <w:rPr>
          <w:rFonts w:asciiTheme="minorHAnsi" w:eastAsiaTheme="minorEastAsia" w:hAnsiTheme="minorHAnsi" w:cstheme="minorBidi"/>
          <w:sz w:val="22"/>
          <w:szCs w:val="22"/>
          <w:vertAlign w:val="superscript"/>
        </w:rPr>
        <w:t xml:space="preserve"> </w:t>
      </w:r>
      <w:r w:rsidR="000E058A">
        <w:rPr>
          <w:rFonts w:asciiTheme="minorHAnsi" w:eastAsiaTheme="minorEastAsia" w:hAnsiTheme="minorHAnsi" w:cstheme="minorBidi"/>
          <w:sz w:val="22"/>
          <w:szCs w:val="22"/>
          <w:vertAlign w:val="superscript"/>
        </w:rPr>
        <w:tab/>
      </w:r>
      <w:r w:rsidRPr="00541C7F">
        <w:rPr>
          <w:rFonts w:asciiTheme="minorHAnsi" w:eastAsiaTheme="minorEastAsia" w:hAnsiTheme="minorHAnsi" w:cstheme="minorBidi"/>
        </w:rPr>
        <w:t>Since the range of our observation is from January 2008 to December 2020, we intentionally select the year outside of our investigated interval as the base year to avoid using of the same wage level (nominal equals real wage) at a particular year.</w:t>
      </w:r>
    </w:p>
  </w:footnote>
  <w:footnote w:id="3">
    <w:p w14:paraId="436C555C" w14:textId="68A7F855" w:rsidR="00DC7519" w:rsidRPr="00DC7519" w:rsidRDefault="00DC7519" w:rsidP="00354321">
      <w:pPr>
        <w:pStyle w:val="FootnoteText"/>
        <w:ind w:left="220" w:hanging="220"/>
        <w:jc w:val="both"/>
        <w:rPr>
          <w:rFonts w:asciiTheme="minorHAnsi" w:eastAsiaTheme="minorEastAsia" w:hAnsiTheme="minorHAnsi" w:cstheme="minorBidi"/>
        </w:rPr>
      </w:pPr>
      <w:r w:rsidRPr="0054671B">
        <w:rPr>
          <w:rFonts w:asciiTheme="minorHAnsi" w:eastAsiaTheme="minorEastAsia" w:hAnsiTheme="minorHAnsi" w:cstheme="minorBidi"/>
          <w:sz w:val="22"/>
          <w:szCs w:val="22"/>
          <w:vertAlign w:val="superscript"/>
        </w:rPr>
        <w:footnoteRef/>
      </w:r>
      <w:r w:rsidRPr="0054671B">
        <w:rPr>
          <w:rFonts w:asciiTheme="minorHAnsi" w:eastAsiaTheme="minorEastAsia" w:hAnsiTheme="minorHAnsi" w:cstheme="minorBidi"/>
          <w:sz w:val="22"/>
          <w:szCs w:val="22"/>
        </w:rPr>
        <w:t xml:space="preserve">  </w:t>
      </w:r>
      <w:r w:rsidRPr="0054671B">
        <w:rPr>
          <w:rFonts w:asciiTheme="minorHAnsi" w:eastAsiaTheme="minorEastAsia" w:hAnsiTheme="minorHAnsi" w:cstheme="minorBidi"/>
        </w:rPr>
        <w:t xml:space="preserve">Derived from </w:t>
      </w:r>
      <w:r w:rsidRPr="0054671B">
        <w:rPr>
          <w:rFonts w:asciiTheme="minorHAnsi" w:eastAsiaTheme="minorEastAsia" w:hAnsiTheme="minorHAnsi" w:cstheme="minorBidi"/>
        </w:rPr>
        <w:fldChar w:fldCharType="begin"/>
      </w:r>
      <w:r w:rsidR="0020617F">
        <w:rPr>
          <w:rFonts w:asciiTheme="minorHAnsi" w:eastAsiaTheme="minorEastAsia" w:hAnsiTheme="minorHAnsi" w:cstheme="minorBidi"/>
        </w:rPr>
        <w:instrText xml:space="preserve"> ADDIN ZOTERO_ITEM CSL_CITATION {"citationID":"iGFsVo1Z","properties":{"formattedCitation":"(Barro &amp; Xavier Sala-i-Martin, 1992)","plainCitation":"(Barro &amp; Xavier Sala-i-Martin, 1992)","dontUpdate":true,"noteIndex":3},"citationItems":[{"id":89,"uris":["http://zotero.org/users/local/9Bu69DCL/items/K8RESFI7"],"uri":["http://zotero.org/users/local/9Bu69DCL/items/K8RESFI7"],"itemData":{"id":89,"type":"article-journal","abstract":"A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Pr="0054671B">
        <w:rPr>
          <w:rFonts w:asciiTheme="minorHAnsi" w:eastAsiaTheme="minorEastAsia" w:hAnsiTheme="minorHAnsi" w:cstheme="minorBidi"/>
        </w:rPr>
        <w:fldChar w:fldCharType="separate"/>
      </w:r>
      <w:r w:rsidRPr="0054671B">
        <w:rPr>
          <w:rFonts w:ascii="Calibri" w:hAnsi="Calibri" w:cs="Calibri"/>
        </w:rPr>
        <w:t>Barro &amp; Xavier Sala-i-Martin (1992)</w:t>
      </w:r>
      <w:r w:rsidRPr="0054671B">
        <w:rPr>
          <w:rFonts w:asciiTheme="minorHAnsi" w:eastAsiaTheme="minorEastAsia" w:hAnsiTheme="minorHAnsi" w:cstheme="minorBidi"/>
        </w:rPr>
        <w:fldChar w:fldCharType="end"/>
      </w:r>
      <w:r w:rsidRPr="0054671B">
        <w:rPr>
          <w:rFonts w:asciiTheme="minorHAnsi" w:eastAsiaTheme="minorEastAsia" w:hAnsiTheme="minorHAnsi" w:cstheme="minorBidi"/>
        </w:rPr>
        <w:t xml:space="preserve">, </w:t>
      </w:r>
      <w:r w:rsidR="00183C8A" w:rsidRPr="0054671B">
        <w:rPr>
          <w:rFonts w:asciiTheme="minorHAnsi" w:eastAsiaTheme="minorEastAsia" w:hAnsiTheme="minorHAnsi" w:cstheme="minorBidi"/>
        </w:rPr>
        <w:t>sigma convergence refers to the decrease in the dispersion of the levels of a given variable across countries or regions over time.</w:t>
      </w:r>
    </w:p>
  </w:footnote>
  <w:footnote w:id="4">
    <w:p w14:paraId="5ECB1C60" w14:textId="1E21F49D" w:rsidR="00F8326F" w:rsidRDefault="00F8326F" w:rsidP="003C5630">
      <w:pPr>
        <w:pStyle w:val="FootnoteText"/>
        <w:ind w:left="200" w:hanging="200"/>
        <w:jc w:val="both"/>
      </w:pPr>
      <w:r w:rsidRPr="0054671B">
        <w:rPr>
          <w:rStyle w:val="FootnoteReference"/>
          <w:rFonts w:asciiTheme="minorHAnsi" w:eastAsiaTheme="minorEastAsia" w:hAnsiTheme="minorHAnsi" w:cstheme="minorBidi"/>
        </w:rPr>
        <w:footnoteRef/>
      </w:r>
      <w:r w:rsidRPr="0054671B">
        <w:rPr>
          <w:rStyle w:val="FootnoteReference"/>
          <w:rFonts w:asciiTheme="minorHAnsi" w:eastAsiaTheme="minorEastAsia" w:hAnsiTheme="minorHAnsi" w:cstheme="minorBidi"/>
        </w:rPr>
        <w:t xml:space="preserve"> </w:t>
      </w:r>
      <w:r w:rsidRPr="0054671B">
        <w:rPr>
          <w:rFonts w:asciiTheme="minorHAnsi" w:eastAsiaTheme="minorEastAsia" w:hAnsiTheme="minorHAnsi" w:cstheme="minorBidi"/>
        </w:rPr>
        <w:t xml:space="preserve">CV for China and India </w:t>
      </w:r>
      <w:r w:rsidR="006A5D9E" w:rsidRPr="0054671B">
        <w:rPr>
          <w:rFonts w:asciiTheme="minorHAnsi" w:eastAsiaTheme="minorEastAsia" w:hAnsiTheme="minorHAnsi" w:cstheme="minorBidi"/>
        </w:rPr>
        <w:t>is</w:t>
      </w:r>
      <w:r w:rsidRPr="0054671B">
        <w:rPr>
          <w:rFonts w:asciiTheme="minorHAnsi" w:eastAsiaTheme="minorEastAsia" w:hAnsiTheme="minorHAnsi" w:cstheme="minorBidi"/>
        </w:rPr>
        <w:t xml:space="preserve"> computed from 295</w:t>
      </w:r>
      <w:r w:rsidR="003C5630" w:rsidRPr="0054671B">
        <w:rPr>
          <w:rFonts w:asciiTheme="minorHAnsi" w:eastAsiaTheme="minorEastAsia" w:hAnsiTheme="minorHAnsi" w:cstheme="minorBidi"/>
        </w:rPr>
        <w:t xml:space="preserve"> prefectural-level cities and 31 states and union territories</w:t>
      </w:r>
      <w:r w:rsidR="006A5D9E" w:rsidRPr="0054671B">
        <w:rPr>
          <w:rFonts w:asciiTheme="minorHAnsi" w:eastAsiaTheme="minorEastAsia" w:hAnsiTheme="minorHAnsi" w:cstheme="minorBidi"/>
        </w:rPr>
        <w:t>,</w:t>
      </w:r>
      <w:r w:rsidR="003C5630" w:rsidRPr="0054671B">
        <w:rPr>
          <w:rFonts w:asciiTheme="minorHAnsi" w:eastAsiaTheme="minorEastAsia" w:hAnsiTheme="minorHAnsi" w:cstheme="minorBidi"/>
        </w:rPr>
        <w:t xml:space="preserve"> respectively.</w:t>
      </w:r>
      <w:r w:rsidR="00E222CD" w:rsidRPr="0054671B">
        <w:rPr>
          <w:rFonts w:asciiTheme="minorHAnsi" w:eastAsiaTheme="minorEastAsia" w:hAnsiTheme="minorHAnsi" w:cstheme="minorBidi"/>
        </w:rPr>
        <w:t xml:space="preserve"> Regional wage data for China </w:t>
      </w:r>
      <w:r w:rsidR="00765A12" w:rsidRPr="0054671B">
        <w:rPr>
          <w:rFonts w:asciiTheme="minorHAnsi" w:eastAsiaTheme="minorEastAsia" w:hAnsiTheme="minorHAnsi" w:cstheme="minorBidi"/>
        </w:rPr>
        <w:t>is</w:t>
      </w:r>
      <w:r w:rsidR="004E7221" w:rsidRPr="0054671B">
        <w:rPr>
          <w:rFonts w:asciiTheme="minorHAnsi" w:eastAsiaTheme="minorEastAsia" w:hAnsiTheme="minorHAnsi" w:cstheme="minorBidi"/>
        </w:rPr>
        <w:t xml:space="preserve"> available until 2018, while the data for</w:t>
      </w:r>
      <w:r w:rsidR="00E222CD" w:rsidRPr="0054671B">
        <w:rPr>
          <w:rFonts w:asciiTheme="minorHAnsi" w:eastAsiaTheme="minorEastAsia" w:hAnsiTheme="minorHAnsi" w:cstheme="minorBidi"/>
        </w:rPr>
        <w:t xml:space="preserve"> India </w:t>
      </w:r>
      <w:r w:rsidR="000A089D" w:rsidRPr="0054671B">
        <w:rPr>
          <w:rFonts w:asciiTheme="minorHAnsi" w:eastAsiaTheme="minorEastAsia" w:hAnsiTheme="minorHAnsi" w:cstheme="minorBidi"/>
        </w:rPr>
        <w:t>is</w:t>
      </w:r>
      <w:r w:rsidR="004E7221" w:rsidRPr="0054671B">
        <w:rPr>
          <w:rFonts w:asciiTheme="minorHAnsi" w:eastAsiaTheme="minorEastAsia" w:hAnsiTheme="minorHAnsi" w:cstheme="minorBidi"/>
        </w:rPr>
        <w:t xml:space="preserve"> available until 2019. Data for both countries are</w:t>
      </w:r>
      <w:r w:rsidR="00E222CD" w:rsidRPr="0054671B">
        <w:rPr>
          <w:rFonts w:asciiTheme="minorHAnsi" w:eastAsiaTheme="minorEastAsia" w:hAnsiTheme="minorHAnsi" w:cstheme="minorBidi"/>
        </w:rPr>
        <w:t xml:space="preserve"> collected from CEIC</w:t>
      </w:r>
      <w:r w:rsidR="004E7221" w:rsidRPr="0054671B">
        <w:rPr>
          <w:rFonts w:asciiTheme="minorHAnsi" w:eastAsiaTheme="minorEastAsia" w:hAnsiTheme="minorHAnsi" w:cstheme="minorBidi"/>
        </w:rPr>
        <w:t>.</w:t>
      </w:r>
    </w:p>
  </w:footnote>
  <w:footnote w:id="5">
    <w:p w14:paraId="7D1FF065" w14:textId="6072E952" w:rsidR="00395A72" w:rsidRPr="00B2106A" w:rsidRDefault="00395A72" w:rsidP="000E058A">
      <w:pPr>
        <w:pStyle w:val="ListParagraph"/>
        <w:spacing w:after="0" w:line="240" w:lineRule="auto"/>
        <w:ind w:left="0" w:hanging="2"/>
        <w:contextualSpacing w:val="0"/>
        <w:jc w:val="both"/>
      </w:pPr>
      <w:r w:rsidRPr="000A1BA8">
        <w:rPr>
          <w:rStyle w:val="FootnoteReference"/>
          <w:sz w:val="20"/>
          <w:szCs w:val="20"/>
        </w:rPr>
        <w:footnoteRef/>
      </w:r>
      <w:r w:rsidRPr="000A1BA8">
        <w:rPr>
          <w:sz w:val="20"/>
          <w:szCs w:val="20"/>
        </w:rPr>
        <w:t xml:space="preserve"> </w:t>
      </w:r>
      <w:r w:rsidR="00513EE2">
        <w:rPr>
          <w:sz w:val="20"/>
          <w:szCs w:val="20"/>
        </w:rPr>
        <w:t xml:space="preserve">The evaluation of club convergence is executed using </w:t>
      </w:r>
      <w:r w:rsidR="001F021A">
        <w:rPr>
          <w:sz w:val="20"/>
          <w:szCs w:val="20"/>
        </w:rPr>
        <w:t xml:space="preserve">the </w:t>
      </w:r>
      <w:r w:rsidR="00513EE2">
        <w:rPr>
          <w:sz w:val="20"/>
          <w:szCs w:val="20"/>
        </w:rPr>
        <w:t xml:space="preserve">club convergence package in R developed by </w:t>
      </w:r>
      <w:r w:rsidR="00513EE2">
        <w:rPr>
          <w:sz w:val="20"/>
          <w:szCs w:val="20"/>
        </w:rPr>
        <w:fldChar w:fldCharType="begin"/>
      </w:r>
      <w:r w:rsidR="0020617F">
        <w:rPr>
          <w:sz w:val="20"/>
          <w:szCs w:val="20"/>
        </w:rPr>
        <w:instrText xml:space="preserve"> ADDIN ZOTERO_ITEM CSL_CITATION {"citationID":"0RT46Oul","properties":{"formattedCitation":"(Sichera &amp; Pizzuto, 2019)","plainCitation":"(Sichera &amp; Pizzuto, 2019)","dontUpdate":true,"noteIndex":5},"citationItems":[{"id":178,"uris":["http://zotero.org/users/local/9Bu69DCL/items/FP8WF99T"],"uri":["http://zotero.org/users/local/9Bu69DCL/items/FP8WF99T"],"itemData":{"id":178,"type":"article-journal","container-title":"The R Journal","note":"Citation Key: sichera2019convergenceclubs","title":"ConvergenceClubs: A package for performing the phillips and sul's club convergence clustering procedure","author":[{"family":"Sichera","given":"Roberto"},{"family":"Pizzuto","given":"Pietro"}],"issued":{"date-parts":[["2019"]]}}}],"schema":"https://github.com/citation-style-language/schema/raw/master/csl-citation.json"} </w:instrText>
      </w:r>
      <w:r w:rsidR="00513EE2">
        <w:rPr>
          <w:sz w:val="20"/>
          <w:szCs w:val="20"/>
        </w:rPr>
        <w:fldChar w:fldCharType="separate"/>
      </w:r>
      <w:r w:rsidR="00513EE2" w:rsidRPr="00513EE2">
        <w:rPr>
          <w:rFonts w:ascii="Calibri" w:hAnsi="Calibri" w:cs="Calibri"/>
          <w:sz w:val="20"/>
        </w:rPr>
        <w:t>Sichera &amp; Pizzuto</w:t>
      </w:r>
      <w:r w:rsidR="00513EE2">
        <w:rPr>
          <w:rFonts w:ascii="Calibri" w:hAnsi="Calibri" w:cs="Calibri"/>
          <w:sz w:val="20"/>
        </w:rPr>
        <w:t xml:space="preserve"> (</w:t>
      </w:r>
      <w:r w:rsidR="00513EE2" w:rsidRPr="00513EE2">
        <w:rPr>
          <w:rFonts w:ascii="Calibri" w:hAnsi="Calibri" w:cs="Calibri"/>
          <w:sz w:val="20"/>
        </w:rPr>
        <w:t>2019)</w:t>
      </w:r>
      <w:r w:rsidR="00513EE2">
        <w:rPr>
          <w:sz w:val="20"/>
          <w:szCs w:val="20"/>
        </w:rPr>
        <w:fldChar w:fldCharType="end"/>
      </w:r>
      <w:r w:rsidR="00513EE2">
        <w:rPr>
          <w:sz w:val="20"/>
          <w:szCs w:val="20"/>
        </w:rPr>
        <w:t>.</w:t>
      </w:r>
    </w:p>
  </w:footnote>
  <w:footnote w:id="6">
    <w:p w14:paraId="3E35CF4E" w14:textId="65B43D57" w:rsidR="0024581A" w:rsidRDefault="0024581A" w:rsidP="000E058A">
      <w:pPr>
        <w:pStyle w:val="FootnoteText"/>
        <w:spacing w:line="240" w:lineRule="auto"/>
        <w:ind w:left="2" w:firstLineChars="0" w:firstLine="0"/>
        <w:jc w:val="both"/>
      </w:pPr>
      <w:r w:rsidRPr="0024581A">
        <w:rPr>
          <w:rStyle w:val="FootnoteReference"/>
          <w:rFonts w:asciiTheme="minorHAnsi" w:eastAsiaTheme="minorEastAsia" w:hAnsiTheme="minorHAnsi" w:cstheme="minorBidi"/>
        </w:rPr>
        <w:footnoteRef/>
      </w:r>
      <w:r>
        <w:t xml:space="preserve"> </w:t>
      </w:r>
      <w:r w:rsidRPr="0024581A">
        <w:rPr>
          <w:rFonts w:asciiTheme="minorHAnsi" w:hAnsiTheme="minorHAnsi" w:cstheme="minorHAnsi"/>
        </w:rPr>
        <w:t xml:space="preserve">We also </w:t>
      </w:r>
      <w:r w:rsidR="00CD23B8">
        <w:rPr>
          <w:rFonts w:asciiTheme="minorHAnsi" w:hAnsiTheme="minorHAnsi" w:cstheme="minorHAnsi"/>
        </w:rPr>
        <w:t>implement</w:t>
      </w:r>
      <w:r w:rsidRPr="0024581A">
        <w:rPr>
          <w:rFonts w:asciiTheme="minorHAnsi" w:hAnsiTheme="minorHAnsi" w:cstheme="minorHAnsi"/>
        </w:rPr>
        <w:t xml:space="preserve"> </w:t>
      </w:r>
      <w:r w:rsidR="003B05A6">
        <w:rPr>
          <w:rFonts w:asciiTheme="minorHAnsi" w:hAnsiTheme="minorHAnsi" w:cstheme="minorHAnsi"/>
        </w:rPr>
        <w:t xml:space="preserve">the </w:t>
      </w:r>
      <w:r w:rsidRPr="0024581A">
        <w:rPr>
          <w:rFonts w:asciiTheme="minorHAnsi" w:hAnsiTheme="minorHAnsi" w:cstheme="minorHAnsi"/>
        </w:rPr>
        <w:t xml:space="preserve">merging procedure according to </w:t>
      </w:r>
      <w:r w:rsidRPr="0024581A">
        <w:rPr>
          <w:rFonts w:asciiTheme="minorHAnsi" w:hAnsiTheme="minorHAnsi" w:cstheme="minorHAnsi"/>
        </w:rPr>
        <w:fldChar w:fldCharType="begin"/>
      </w:r>
      <w:r w:rsidR="0020617F">
        <w:rPr>
          <w:rFonts w:asciiTheme="minorHAnsi" w:hAnsiTheme="minorHAnsi" w:cstheme="minorHAnsi"/>
        </w:rPr>
        <w:instrText xml:space="preserve"> ADDIN ZOTERO_ITEM CSL_CITATION {"citationID":"zLwbkW1B","properties":{"formattedCitation":"(Von Lyncker &amp; Thoennessen, 2017)","plainCitation":"(Von Lyncker &amp; Thoennessen, 2017)","dontUpdate":true,"noteIndex":6},"citationItems":[{"id":206,"uris":["http://zotero.org/users/local/9Bu69DCL/items/ZZ3DGXNC"],"uri":["http://zotero.org/users/local/9Bu69DCL/items/ZZ3DGXNC"],"itemData":{"id":206,"type":"article-journal","container-title":"Empirical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24581A">
        <w:rPr>
          <w:rFonts w:asciiTheme="minorHAnsi" w:hAnsiTheme="minorHAnsi" w:cstheme="minorHAnsi"/>
        </w:rPr>
        <w:fldChar w:fldCharType="separate"/>
      </w:r>
      <w:r w:rsidRPr="0024581A">
        <w:rPr>
          <w:rFonts w:asciiTheme="minorHAnsi" w:hAnsiTheme="minorHAnsi" w:cstheme="minorHAnsi"/>
        </w:rPr>
        <w:t>Von Lyncker &amp; Thoennessen (2017)</w:t>
      </w:r>
      <w:r w:rsidRPr="0024581A">
        <w:rPr>
          <w:rFonts w:asciiTheme="minorHAnsi" w:hAnsiTheme="minorHAnsi" w:cstheme="minorHAnsi"/>
        </w:rPr>
        <w:fldChar w:fldCharType="end"/>
      </w:r>
      <w:r w:rsidRPr="0024581A">
        <w:rPr>
          <w:rFonts w:asciiTheme="minorHAnsi" w:hAnsiTheme="minorHAnsi" w:cstheme="minorHAnsi"/>
        </w:rPr>
        <w:t xml:space="preserve">. The test gives identical results from </w:t>
      </w:r>
      <w:r w:rsidR="003B05A6">
        <w:rPr>
          <w:rFonts w:asciiTheme="minorHAnsi" w:hAnsiTheme="minorHAnsi" w:cstheme="minorHAnsi"/>
        </w:rPr>
        <w:t xml:space="preserve">the </w:t>
      </w:r>
      <w:r w:rsidRPr="0024581A">
        <w:rPr>
          <w:rFonts w:asciiTheme="minorHAnsi" w:hAnsiTheme="minorHAnsi" w:cstheme="minorHAnsi"/>
        </w:rPr>
        <w:t xml:space="preserve">merging test of </w:t>
      </w:r>
      <w:r w:rsidR="0001623E">
        <w:rPr>
          <w:rFonts w:asciiTheme="minorHAnsi" w:hAnsiTheme="minorHAnsi" w:cstheme="minorHAnsi"/>
        </w:rPr>
        <w:fldChar w:fldCharType="begin"/>
      </w:r>
      <w:r w:rsidR="0020617F">
        <w:rPr>
          <w:rFonts w:asciiTheme="minorHAnsi" w:hAnsiTheme="minorHAnsi" w:cstheme="minorHAnsi"/>
        </w:rPr>
        <w:instrText xml:space="preserve"> ADDIN ZOTERO_ITEM CSL_CITATION {"citationID":"9kzzlv22","properties":{"formattedCitation":"(Phillips &amp; Sul, 2009)","plainCitation":"(Phillips &amp; Sul, 2009)","dontUpdate":true,"noteIndex":6},"citationItems":[{"id":94,"uris":["http://zotero.org/users/local/9Bu69DCL/items/E3IIME5U"],"uri":["http://zotero.org/users/local/9Bu69DCL/items/E3IIME5U"],"itemData":{"id":94,"type":"article-journal","abstract":"Abstract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01623E">
        <w:rPr>
          <w:rFonts w:asciiTheme="minorHAnsi" w:hAnsiTheme="minorHAnsi" w:cstheme="minorHAnsi"/>
        </w:rPr>
        <w:fldChar w:fldCharType="separate"/>
      </w:r>
      <w:r w:rsidR="0001623E" w:rsidRPr="0001623E">
        <w:rPr>
          <w:rFonts w:ascii="Calibri" w:hAnsi="Calibri" w:cs="Calibri"/>
        </w:rPr>
        <w:t xml:space="preserve">Phillips &amp; Sul </w:t>
      </w:r>
      <w:r w:rsidR="0001623E">
        <w:rPr>
          <w:rFonts w:ascii="Calibri" w:hAnsi="Calibri" w:cs="Calibri"/>
        </w:rPr>
        <w:t>(</w:t>
      </w:r>
      <w:r w:rsidR="0001623E" w:rsidRPr="0001623E">
        <w:rPr>
          <w:rFonts w:ascii="Calibri" w:hAnsi="Calibri" w:cs="Calibri"/>
        </w:rPr>
        <w:t>2009)</w:t>
      </w:r>
      <w:r w:rsidR="0001623E">
        <w:rPr>
          <w:rFonts w:asciiTheme="minorHAnsi" w:hAnsiTheme="minorHAnsi" w:cstheme="minorHAnsi"/>
        </w:rPr>
        <w:fldChar w:fldCharType="end"/>
      </w:r>
      <w:r>
        <w:rPr>
          <w:rFonts w:asciiTheme="minorHAnsi" w:hAnsiTheme="minorHAnsi" w:cstheme="minorHAnsi"/>
        </w:rPr>
        <w:t>.</w:t>
      </w:r>
      <w:r w:rsidRPr="0024581A">
        <w:rPr>
          <w:rFonts w:asciiTheme="minorHAnsi" w:hAnsiTheme="minorHAnsi" w:cstheme="minorHAnsi"/>
        </w:rPr>
        <w:t xml:space="preserve"> </w:t>
      </w:r>
      <w:r>
        <w:t xml:space="preserve">   </w:t>
      </w:r>
    </w:p>
  </w:footnote>
  <w:footnote w:id="7">
    <w:p w14:paraId="0D11364F" w14:textId="01AF3044" w:rsidR="00555852" w:rsidRPr="00D01D59" w:rsidRDefault="00555852" w:rsidP="00AD4A1E">
      <w:pPr>
        <w:pStyle w:val="FootnoteText"/>
        <w:ind w:left="200" w:hanging="200"/>
        <w:jc w:val="both"/>
        <w:rPr>
          <w:rFonts w:asciiTheme="minorHAnsi" w:eastAsiaTheme="minorEastAsia" w:hAnsiTheme="minorHAnsi" w:cstheme="minorBidi"/>
        </w:rPr>
      </w:pPr>
      <w:r w:rsidRPr="0054671B">
        <w:rPr>
          <w:rFonts w:asciiTheme="minorHAnsi" w:eastAsiaTheme="minorEastAsia" w:hAnsiTheme="minorHAnsi" w:cstheme="minorBidi"/>
          <w:vertAlign w:val="superscript"/>
        </w:rPr>
        <w:footnoteRef/>
      </w:r>
      <w:r w:rsidRPr="0054671B">
        <w:rPr>
          <w:rFonts w:asciiTheme="minorHAnsi" w:eastAsiaTheme="minorEastAsia" w:hAnsiTheme="minorHAnsi" w:cstheme="minorBidi"/>
        </w:rPr>
        <w:t xml:space="preserve">  </w:t>
      </w:r>
      <w:r w:rsidR="00C90D65" w:rsidRPr="0054671B">
        <w:rPr>
          <w:rFonts w:asciiTheme="minorHAnsi" w:eastAsiaTheme="minorEastAsia" w:hAnsiTheme="minorHAnsi" w:cstheme="minorBidi"/>
        </w:rPr>
        <w:t>In the context of the neo-classical framework, multiple steady-state equilibria could arise from the variation in factor endowments.</w:t>
      </w:r>
      <w:r w:rsidR="007D23AC" w:rsidRPr="0054671B">
        <w:rPr>
          <w:rFonts w:asciiTheme="minorHAnsi" w:eastAsiaTheme="minorEastAsia" w:hAnsiTheme="minorHAnsi" w:cstheme="minorBidi" w:hint="eastAsia"/>
        </w:rPr>
        <w:t xml:space="preserve"> </w:t>
      </w:r>
      <w:r w:rsidR="007D23AC" w:rsidRPr="0054671B">
        <w:rPr>
          <w:rFonts w:asciiTheme="minorHAnsi" w:eastAsiaTheme="minorEastAsia" w:hAnsiTheme="minorHAnsi" w:cstheme="minorBidi"/>
        </w:rPr>
        <w:t xml:space="preserve">In a particular case, </w:t>
      </w:r>
      <w:r w:rsidR="00AD4A1E" w:rsidRPr="0054671B">
        <w:rPr>
          <w:rFonts w:asciiTheme="minorHAnsi" w:eastAsiaTheme="minorEastAsia" w:hAnsiTheme="minorHAnsi" w:cstheme="minorBidi"/>
        </w:rPr>
        <w:t xml:space="preserve">the initial level of capital–labor ratio </w:t>
      </w:r>
      <w:r w:rsidR="00652382" w:rsidRPr="0054671B">
        <w:rPr>
          <w:rFonts w:asciiTheme="minorHAnsi" w:eastAsiaTheme="minorEastAsia" w:hAnsiTheme="minorHAnsi" w:cstheme="minorBidi"/>
        </w:rPr>
        <w:t xml:space="preserve">can be used </w:t>
      </w:r>
      <w:r w:rsidR="00AD4A1E" w:rsidRPr="0054671B">
        <w:rPr>
          <w:rFonts w:asciiTheme="minorHAnsi" w:eastAsiaTheme="minorEastAsia" w:hAnsiTheme="minorHAnsi" w:cstheme="minorBidi"/>
        </w:rPr>
        <w:t xml:space="preserve">as a proxy of factor endowments </w:t>
      </w:r>
      <w:r w:rsidR="00652382" w:rsidRPr="0054671B">
        <w:rPr>
          <w:rFonts w:asciiTheme="minorHAnsi" w:eastAsiaTheme="minorEastAsia" w:hAnsiTheme="minorHAnsi" w:cstheme="minorBidi"/>
        </w:rPr>
        <w:t xml:space="preserve">that determine the </w:t>
      </w:r>
      <w:r w:rsidR="007D23AC" w:rsidRPr="0054671B">
        <w:rPr>
          <w:rFonts w:asciiTheme="minorHAnsi" w:eastAsiaTheme="minorEastAsia" w:hAnsiTheme="minorHAnsi" w:cstheme="minorBidi"/>
        </w:rPr>
        <w:t xml:space="preserve">shape </w:t>
      </w:r>
      <w:r w:rsidR="00652382" w:rsidRPr="0054671B">
        <w:rPr>
          <w:rFonts w:asciiTheme="minorHAnsi" w:eastAsiaTheme="minorEastAsia" w:hAnsiTheme="minorHAnsi" w:cstheme="minorBidi"/>
        </w:rPr>
        <w:t>of</w:t>
      </w:r>
      <w:r w:rsidR="007D23AC" w:rsidRPr="0054671B">
        <w:rPr>
          <w:rFonts w:asciiTheme="minorHAnsi" w:eastAsiaTheme="minorEastAsia" w:hAnsiTheme="minorHAnsi" w:cstheme="minorBidi"/>
        </w:rPr>
        <w:t xml:space="preserve"> </w:t>
      </w:r>
      <w:r w:rsidR="0063720A" w:rsidRPr="0054671B">
        <w:rPr>
          <w:rFonts w:asciiTheme="minorHAnsi" w:eastAsiaTheme="minorEastAsia" w:hAnsiTheme="minorHAnsi" w:cstheme="minorBidi"/>
        </w:rPr>
        <w:t xml:space="preserve">the </w:t>
      </w:r>
      <w:r w:rsidR="00AD4A1E" w:rsidRPr="0054671B">
        <w:rPr>
          <w:rFonts w:asciiTheme="minorHAnsi" w:eastAsiaTheme="minorEastAsia" w:hAnsiTheme="minorHAnsi" w:cstheme="minorBidi"/>
        </w:rPr>
        <w:t>steady</w:t>
      </w:r>
      <w:r w:rsidR="0063720A" w:rsidRPr="0054671B">
        <w:rPr>
          <w:rFonts w:asciiTheme="minorHAnsi" w:eastAsiaTheme="minorEastAsia" w:hAnsiTheme="minorHAnsi" w:cstheme="minorBidi"/>
        </w:rPr>
        <w:t>-</w:t>
      </w:r>
      <w:r w:rsidR="00AD4A1E" w:rsidRPr="0054671B">
        <w:rPr>
          <w:rFonts w:asciiTheme="minorHAnsi" w:eastAsiaTheme="minorEastAsia" w:hAnsiTheme="minorHAnsi" w:cstheme="minorBidi"/>
        </w:rPr>
        <w:t>state</w:t>
      </w:r>
      <w:r w:rsidR="007D23AC" w:rsidRPr="0054671B">
        <w:rPr>
          <w:rFonts w:asciiTheme="minorHAnsi" w:eastAsiaTheme="minorEastAsia" w:hAnsiTheme="minorHAnsi" w:cstheme="minorBidi"/>
        </w:rPr>
        <w:t xml:space="preserve"> path of</w:t>
      </w:r>
      <w:r w:rsidR="00AD4A1E" w:rsidRPr="0054671B">
        <w:rPr>
          <w:rFonts w:asciiTheme="minorHAnsi" w:eastAsiaTheme="minorEastAsia" w:hAnsiTheme="minorHAnsi" w:cstheme="minorBidi"/>
        </w:rPr>
        <w:t xml:space="preserve"> an economy</w:t>
      </w:r>
      <w:r w:rsidR="007D23AC" w:rsidRPr="0054671B">
        <w:rPr>
          <w:rFonts w:asciiTheme="minorHAnsi" w:eastAsiaTheme="minorEastAsia" w:hAnsiTheme="minorHAnsi" w:cstheme="minorBidi"/>
        </w:rPr>
        <w:t>.</w:t>
      </w:r>
      <w:r w:rsidR="00AD4A1E" w:rsidRPr="0054671B">
        <w:rPr>
          <w:rFonts w:asciiTheme="minorHAnsi" w:eastAsiaTheme="minorEastAsia" w:hAnsiTheme="minorHAnsi" w:cstheme="minorBidi"/>
        </w:rPr>
        <w:t xml:space="preserve"> </w:t>
      </w:r>
      <w:r w:rsidR="00EF305F" w:rsidRPr="0054671B">
        <w:rPr>
          <w:rFonts w:asciiTheme="minorHAnsi" w:eastAsiaTheme="minorEastAsia" w:hAnsiTheme="minorHAnsi" w:cstheme="minorBidi"/>
        </w:rPr>
        <w:t xml:space="preserve">On the other hand, economies </w:t>
      </w:r>
      <w:r w:rsidR="00AD4A1E" w:rsidRPr="0054671B">
        <w:rPr>
          <w:rFonts w:asciiTheme="minorHAnsi" w:eastAsiaTheme="minorEastAsia" w:hAnsiTheme="minorHAnsi" w:cstheme="minorBidi"/>
        </w:rPr>
        <w:t xml:space="preserve">that use similar production technology </w:t>
      </w:r>
      <w:r w:rsidR="00EF305F" w:rsidRPr="0054671B">
        <w:rPr>
          <w:rFonts w:asciiTheme="minorHAnsi" w:eastAsiaTheme="minorEastAsia" w:hAnsiTheme="minorHAnsi" w:cstheme="minorBidi"/>
        </w:rPr>
        <w:t>tend to evolve toward a common steady state</w:t>
      </w:r>
      <w:r w:rsidR="00652382" w:rsidRPr="0054671B">
        <w:rPr>
          <w:rFonts w:asciiTheme="minorHAnsi" w:eastAsiaTheme="minorEastAsia" w:hAnsiTheme="minorHAnsi" w:cstheme="minorBidi"/>
        </w:rPr>
        <w:t xml:space="preserve">.  See </w:t>
      </w:r>
      <w:r w:rsidR="00652382" w:rsidRPr="0054671B">
        <w:rPr>
          <w:rFonts w:asciiTheme="minorHAnsi" w:eastAsiaTheme="minorEastAsia" w:hAnsiTheme="minorHAnsi" w:cstheme="minorBidi"/>
        </w:rPr>
        <w:fldChar w:fldCharType="begin"/>
      </w:r>
      <w:r w:rsidR="0020617F">
        <w:rPr>
          <w:rFonts w:asciiTheme="minorHAnsi" w:eastAsiaTheme="minorEastAsia" w:hAnsiTheme="minorHAnsi" w:cstheme="minorBidi"/>
        </w:rPr>
        <w:instrText xml:space="preserve"> ADDIN ZOTERO_ITEM CSL_CITATION {"citationID":"8hDdwwz1","properties":{"formattedCitation":"(Galor, 1996)","plainCitation":"(Galor, 1996)","dontUpdate":true,"noteIndex":7},"citationItems":[{"id":82,"uris":["http://zotero.org/users/local/9Bu69DCL/items/RSE97NIJ"],"uri":["http://zotero.org/users/local/9Bu69DCL/items/RSE97NIJ"],"itemData":{"id":82,"type":"article-journal","abstract":"[This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652382" w:rsidRPr="0054671B">
        <w:rPr>
          <w:rFonts w:asciiTheme="minorHAnsi" w:eastAsiaTheme="minorEastAsia" w:hAnsiTheme="minorHAnsi" w:cstheme="minorBidi"/>
        </w:rPr>
        <w:fldChar w:fldCharType="separate"/>
      </w:r>
      <w:r w:rsidR="00652382" w:rsidRPr="0054671B">
        <w:rPr>
          <w:rFonts w:ascii="Calibri" w:hAnsi="Calibri" w:cs="Calibri"/>
        </w:rPr>
        <w:t>Galor (1996)</w:t>
      </w:r>
      <w:r w:rsidR="00652382" w:rsidRPr="0054671B">
        <w:rPr>
          <w:rFonts w:asciiTheme="minorHAnsi" w:eastAsiaTheme="minorEastAsia" w:hAnsiTheme="minorHAnsi" w:cstheme="minorBidi"/>
        </w:rPr>
        <w:fldChar w:fldCharType="end"/>
      </w:r>
      <w:r w:rsidR="00652382" w:rsidRPr="0054671B">
        <w:rPr>
          <w:rFonts w:asciiTheme="minorHAnsi" w:eastAsiaTheme="minorEastAsia" w:hAnsiTheme="minorHAnsi" w:cstheme="minorBidi"/>
        </w:rPr>
        <w:t xml:space="preserve"> for a more in-depth look at the theoretical models behind convergence clubs.</w:t>
      </w:r>
      <w:r w:rsidR="00652382">
        <w:rPr>
          <w:rFonts w:asciiTheme="minorHAnsi" w:eastAsiaTheme="minorEastAsia" w:hAnsiTheme="minorHAnsi" w:cstheme="minorBidi"/>
        </w:rPr>
        <w:t xml:space="preserve"> </w:t>
      </w:r>
    </w:p>
  </w:footnote>
  <w:footnote w:id="8">
    <w:p w14:paraId="7B142E59" w14:textId="26756395" w:rsidR="00DF669A" w:rsidRDefault="00DF669A">
      <w:pPr>
        <w:pStyle w:val="FootnoteText"/>
        <w:ind w:left="200" w:hanging="200"/>
      </w:pPr>
      <w:r w:rsidRPr="00DF669A">
        <w:rPr>
          <w:rStyle w:val="FootnoteReference"/>
          <w:rFonts w:asciiTheme="majorHAnsi" w:hAnsiTheme="majorHAnsi" w:cstheme="majorHAnsi"/>
        </w:rPr>
        <w:footnoteRef/>
      </w:r>
      <w:r w:rsidRPr="00DF669A">
        <w:rPr>
          <w:rFonts w:asciiTheme="majorHAnsi" w:hAnsiTheme="majorHAnsi" w:cstheme="majorHAnsi"/>
        </w:rPr>
        <w:t xml:space="preserve"> </w:t>
      </w:r>
      <w:r w:rsidRPr="00CA0CB2">
        <w:rPr>
          <w:rFonts w:asciiTheme="minorHAnsi" w:eastAsiaTheme="minorEastAsia" w:hAnsiTheme="minorHAnsi" w:cstheme="minorBidi"/>
        </w:rPr>
        <w:t xml:space="preserve">See </w:t>
      </w:r>
      <w:r w:rsidRPr="00CA0CB2">
        <w:rPr>
          <w:rFonts w:asciiTheme="minorHAnsi" w:eastAsiaTheme="minorEastAsia" w:hAnsiTheme="minorHAnsi" w:cstheme="minorBidi"/>
        </w:rPr>
        <w:fldChar w:fldCharType="begin"/>
      </w:r>
      <w:r w:rsidR="0020617F">
        <w:rPr>
          <w:rFonts w:asciiTheme="minorHAnsi" w:eastAsiaTheme="minorEastAsia" w:hAnsiTheme="minorHAnsi" w:cstheme="minorBidi"/>
        </w:rPr>
        <w:instrText xml:space="preserve"> ADDIN ZOTERO_ITEM CSL_CITATION {"citationID":"1vQ1WHDA","properties":{"formattedCitation":"(Long &amp; Long, 1997)","plainCitation":"(Long &amp; Long, 1997)","dontUpdate":true,"noteIndex":8},"citationItems":[{"id":304,"uris":["http://zotero.org/users/local/9Bu69DCL/items/PD656YJ3"],"uri":["http://zotero.org/users/local/9Bu69DCL/items/PD656YJ3"],"itemData":{"id":304,"type":"book","ISBN":"0-8039-7374-8","publisher":"Sage","title":"Regression models for categorical and limited dependent variables","volume":"7","author":[{"family":"Long","given":"J Scott"},{"family":"Long","given":"John Scott"}],"issued":{"date-parts":[["1997"]]}}}],"schema":"https://github.com/citation-style-language/schema/raw/master/csl-citation.json"} </w:instrText>
      </w:r>
      <w:r w:rsidRPr="00CA0CB2">
        <w:rPr>
          <w:rFonts w:asciiTheme="minorHAnsi" w:eastAsiaTheme="minorEastAsia" w:hAnsiTheme="minorHAnsi" w:cstheme="minorBidi"/>
        </w:rPr>
        <w:fldChar w:fldCharType="separate"/>
      </w:r>
      <w:r w:rsidRPr="00CA0CB2">
        <w:rPr>
          <w:rFonts w:asciiTheme="minorHAnsi" w:eastAsiaTheme="minorEastAsia" w:hAnsiTheme="minorHAnsi" w:cstheme="minorBidi"/>
        </w:rPr>
        <w:t xml:space="preserve">Long &amp; Long </w:t>
      </w:r>
      <w:r w:rsidR="00CA0CB2" w:rsidRPr="00CA0CB2">
        <w:rPr>
          <w:rFonts w:asciiTheme="minorHAnsi" w:eastAsiaTheme="minorEastAsia" w:hAnsiTheme="minorHAnsi" w:cstheme="minorBidi"/>
        </w:rPr>
        <w:t>(</w:t>
      </w:r>
      <w:r w:rsidRPr="00CA0CB2">
        <w:rPr>
          <w:rFonts w:asciiTheme="minorHAnsi" w:eastAsiaTheme="minorEastAsia" w:hAnsiTheme="minorHAnsi" w:cstheme="minorBidi"/>
        </w:rPr>
        <w:t>1997)</w:t>
      </w:r>
      <w:r w:rsidRPr="00CA0CB2">
        <w:rPr>
          <w:rFonts w:asciiTheme="minorHAnsi" w:eastAsiaTheme="minorEastAsia" w:hAnsiTheme="minorHAnsi" w:cstheme="minorBidi"/>
        </w:rPr>
        <w:fldChar w:fldCharType="end"/>
      </w:r>
      <w:r w:rsidRPr="00CA0CB2">
        <w:rPr>
          <w:rFonts w:asciiTheme="minorHAnsi" w:eastAsiaTheme="minorEastAsia" w:hAnsiTheme="minorHAnsi" w:cstheme="minorBidi"/>
        </w:rPr>
        <w:t xml:space="preserve"> for a discussion on </w:t>
      </w:r>
      <w:r w:rsidR="00245CBE">
        <w:rPr>
          <w:rFonts w:asciiTheme="minorHAnsi" w:eastAsiaTheme="minorEastAsia" w:hAnsiTheme="minorHAnsi" w:cstheme="minorBidi"/>
        </w:rPr>
        <w:t xml:space="preserve">interpreting the results of </w:t>
      </w:r>
      <w:r w:rsidRPr="00CA0CB2">
        <w:rPr>
          <w:rFonts w:asciiTheme="minorHAnsi" w:eastAsiaTheme="minorEastAsia" w:hAnsiTheme="minorHAnsi" w:cstheme="minorBidi"/>
        </w:rPr>
        <w:t>ordered logit models.</w:t>
      </w:r>
    </w:p>
  </w:footnote>
  <w:footnote w:id="9">
    <w:p w14:paraId="68D8164B" w14:textId="6859010A" w:rsidR="008D2C37" w:rsidRDefault="008D2C37">
      <w:pPr>
        <w:pStyle w:val="FootnoteText"/>
        <w:ind w:left="200" w:hanging="200"/>
      </w:pPr>
      <w:r w:rsidRPr="008D2C37">
        <w:rPr>
          <w:rFonts w:asciiTheme="minorHAnsi" w:eastAsiaTheme="minorEastAsia" w:hAnsiTheme="minorHAnsi" w:cstheme="minorBidi"/>
          <w:vertAlign w:val="superscript"/>
        </w:rPr>
        <w:footnoteRef/>
      </w:r>
      <w:r w:rsidRPr="008D2C37">
        <w:rPr>
          <w:rFonts w:asciiTheme="minorHAnsi" w:eastAsiaTheme="minorEastAsia" w:hAnsiTheme="minorHAnsi" w:cstheme="minorBidi"/>
        </w:rPr>
        <w:t xml:space="preserve"> </w:t>
      </w:r>
      <w:r w:rsidRPr="008D2C37">
        <w:rPr>
          <w:rFonts w:asciiTheme="minorHAnsi" w:eastAsiaTheme="minorEastAsia" w:hAnsiTheme="minorHAnsi" w:cstheme="minorBidi"/>
        </w:rPr>
        <w:fldChar w:fldCharType="begin"/>
      </w:r>
      <w:r w:rsidR="0020617F">
        <w:rPr>
          <w:rFonts w:asciiTheme="minorHAnsi" w:eastAsiaTheme="minorEastAsia" w:hAnsiTheme="minorHAnsi" w:cstheme="minorBidi"/>
        </w:rPr>
        <w:instrText xml:space="preserve"> ADDIN ZOTERO_ITEM CSL_CITATION {"citationID":"jqmEhLBS","properties":{"formattedCitation":"(Aginta, 2021; Bartkowska &amp; Riedl, 2012)","plainCitation":"(Aginta, 2021; Bartkowska &amp; Riedl, 2012)","dontUpdate":true,"noteIndex":9},"citationItems":[{"id":291,"uris":["http://zotero.org/users/local/9Bu69DCL/items/V3IXBCJE"],"uri":["http://zotero.org/users/local/9Bu69DCL/items/V3IXBCJE"],"itemData":{"id":291,"type":"article-journal","abstract":"This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8D2C37">
        <w:rPr>
          <w:rFonts w:asciiTheme="minorHAnsi" w:eastAsiaTheme="minorEastAsia" w:hAnsiTheme="minorHAnsi" w:cstheme="minorBidi"/>
        </w:rPr>
        <w:fldChar w:fldCharType="separate"/>
      </w:r>
      <w:r w:rsidRPr="008D2C37">
        <w:rPr>
          <w:rFonts w:asciiTheme="minorHAnsi" w:eastAsiaTheme="minorEastAsia" w:hAnsiTheme="minorHAnsi" w:cstheme="minorBidi"/>
        </w:rPr>
        <w:t>Aginta (2021) and Bartkowska &amp; Riedl (2012)</w:t>
      </w:r>
      <w:r w:rsidRPr="008D2C37">
        <w:rPr>
          <w:rFonts w:asciiTheme="minorHAnsi" w:eastAsiaTheme="minorEastAsia" w:hAnsiTheme="minorHAnsi" w:cstheme="minorBidi"/>
        </w:rPr>
        <w:fldChar w:fldCharType="end"/>
      </w:r>
      <w:r w:rsidRPr="008D2C37">
        <w:rPr>
          <w:rFonts w:asciiTheme="minorHAnsi" w:eastAsiaTheme="minorEastAsia" w:hAnsiTheme="minorHAnsi" w:cstheme="minorBidi"/>
        </w:rPr>
        <w:t xml:space="preserve"> also </w:t>
      </w:r>
      <w:r>
        <w:rPr>
          <w:rFonts w:asciiTheme="minorHAnsi" w:eastAsiaTheme="minorEastAsia" w:hAnsiTheme="minorHAnsi" w:cstheme="minorBidi"/>
        </w:rPr>
        <w:t>encounter</w:t>
      </w:r>
      <w:r w:rsidRPr="008D2C37">
        <w:rPr>
          <w:rFonts w:asciiTheme="minorHAnsi" w:eastAsiaTheme="minorEastAsia" w:hAnsiTheme="minorHAnsi" w:cstheme="minorBidi"/>
        </w:rPr>
        <w:t xml:space="preserve"> </w:t>
      </w:r>
      <w:r w:rsidR="00AE682F">
        <w:rPr>
          <w:rFonts w:asciiTheme="minorHAnsi" w:eastAsiaTheme="minorEastAsia" w:hAnsiTheme="minorHAnsi" w:cstheme="minorBidi"/>
        </w:rPr>
        <w:t xml:space="preserve">a </w:t>
      </w:r>
      <w:r w:rsidRPr="008D2C37">
        <w:rPr>
          <w:rFonts w:asciiTheme="minorHAnsi" w:eastAsiaTheme="minorEastAsia" w:hAnsiTheme="minorHAnsi" w:cstheme="minorBidi"/>
        </w:rPr>
        <w:t>similar problem in their respective studies.</w:t>
      </w:r>
    </w:p>
  </w:footnote>
  <w:footnote w:id="10">
    <w:p w14:paraId="0C762CCE" w14:textId="42092AF9" w:rsidR="000E57BA" w:rsidRDefault="000E57BA" w:rsidP="00D87966">
      <w:pPr>
        <w:pStyle w:val="FootnoteText"/>
        <w:ind w:left="200" w:hanging="200"/>
        <w:jc w:val="both"/>
      </w:pPr>
      <w:r w:rsidRPr="0016511A">
        <w:rPr>
          <w:rFonts w:asciiTheme="minorHAnsi" w:eastAsiaTheme="minorEastAsia" w:hAnsiTheme="minorHAnsi" w:cstheme="minorBidi"/>
          <w:vertAlign w:val="superscript"/>
        </w:rPr>
        <w:footnoteRef/>
      </w:r>
      <w:r w:rsidRPr="0016511A">
        <w:rPr>
          <w:rFonts w:asciiTheme="minorHAnsi" w:eastAsiaTheme="minorEastAsia" w:hAnsiTheme="minorHAnsi" w:cstheme="minorBidi"/>
        </w:rPr>
        <w:t xml:space="preserve"> </w:t>
      </w:r>
      <w:r w:rsidRPr="0016511A">
        <w:rPr>
          <w:rFonts w:asciiTheme="minorHAnsi" w:eastAsiaTheme="minorEastAsia" w:hAnsiTheme="minorHAnsi" w:cstheme="minorBidi"/>
        </w:rPr>
        <w:fldChar w:fldCharType="begin"/>
      </w:r>
      <w:r w:rsidR="0020617F">
        <w:rPr>
          <w:rFonts w:asciiTheme="minorHAnsi" w:eastAsiaTheme="minorEastAsia" w:hAnsiTheme="minorHAnsi" w:cstheme="minorBidi"/>
        </w:rPr>
        <w:instrText xml:space="preserve"> ADDIN ZOTERO_ITEM CSL_CITATION {"citationID":"DPr1UsHL","properties":{"formattedCitation":"(Cutrini, 2019)","plainCitation":"(Cutrini, 2019)","dontUpdate":true,"noteIndex":10},"citationItems":[{"id":361,"uris":["http://zotero.org/users/local/9Bu69DCL/items/6VCJHL6Y"],"uri":["http://zotero.org/users/local/9Bu69DCL/items/6VCJHL6Y"],"itemData":{"id":361,"type":"article-journal","container-title":"Structural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Union","volume":"50","author":[{"family":"Cutrini","given":"Eleonora"}],"issued":{"date-parts":[["2019"]]}}}],"schema":"https://github.com/citation-style-language/schema/raw/master/csl-citation.json"} </w:instrText>
      </w:r>
      <w:r w:rsidRPr="0016511A">
        <w:rPr>
          <w:rFonts w:asciiTheme="minorHAnsi" w:eastAsiaTheme="minorEastAsia" w:hAnsiTheme="minorHAnsi" w:cstheme="minorBidi"/>
        </w:rPr>
        <w:fldChar w:fldCharType="separate"/>
      </w:r>
      <w:r w:rsidRPr="0016511A">
        <w:rPr>
          <w:rFonts w:asciiTheme="minorHAnsi" w:eastAsiaTheme="minorEastAsia" w:hAnsiTheme="minorHAnsi" w:cstheme="minorBidi"/>
        </w:rPr>
        <w:t>Cutrini (2019)</w:t>
      </w:r>
      <w:r w:rsidRPr="0016511A">
        <w:rPr>
          <w:rFonts w:asciiTheme="minorHAnsi" w:eastAsiaTheme="minorEastAsia" w:hAnsiTheme="minorHAnsi" w:cstheme="minorBidi"/>
        </w:rPr>
        <w:fldChar w:fldCharType="end"/>
      </w:r>
      <w:r w:rsidRPr="0016511A">
        <w:rPr>
          <w:rFonts w:asciiTheme="minorHAnsi" w:eastAsiaTheme="minorEastAsia" w:hAnsiTheme="minorHAnsi" w:cstheme="minorBidi"/>
        </w:rPr>
        <w:t xml:space="preserve"> </w:t>
      </w:r>
      <w:r w:rsidR="00D83E94">
        <w:rPr>
          <w:rFonts w:asciiTheme="minorHAnsi" w:eastAsiaTheme="minorEastAsia" w:hAnsiTheme="minorHAnsi" w:cstheme="minorBidi"/>
        </w:rPr>
        <w:t xml:space="preserve">empirically </w:t>
      </w:r>
      <w:r w:rsidR="00396E9D" w:rsidRPr="0016511A">
        <w:rPr>
          <w:rFonts w:asciiTheme="minorHAnsi" w:eastAsiaTheme="minorEastAsia" w:hAnsiTheme="minorHAnsi" w:cstheme="minorBidi"/>
        </w:rPr>
        <w:t xml:space="preserve">finds comparable results on the relative importance of structural variables than </w:t>
      </w:r>
      <w:r w:rsidR="005348B7">
        <w:rPr>
          <w:rFonts w:asciiTheme="minorHAnsi" w:eastAsiaTheme="minorEastAsia" w:hAnsiTheme="minorHAnsi" w:cstheme="minorBidi"/>
        </w:rPr>
        <w:t xml:space="preserve">the </w:t>
      </w:r>
      <w:r w:rsidR="00CA0C34">
        <w:rPr>
          <w:rFonts w:asciiTheme="minorHAnsi" w:eastAsiaTheme="minorEastAsia" w:hAnsiTheme="minorHAnsi" w:cstheme="minorBidi"/>
        </w:rPr>
        <w:t xml:space="preserve">initial level of </w:t>
      </w:r>
      <w:r w:rsidR="00396E9D" w:rsidRPr="0016511A">
        <w:rPr>
          <w:rFonts w:asciiTheme="minorHAnsi" w:eastAsiaTheme="minorEastAsia" w:hAnsiTheme="minorHAnsi" w:cstheme="minorBidi"/>
        </w:rPr>
        <w:t>income per capita</w:t>
      </w:r>
      <w:r w:rsidRPr="0016511A">
        <w:rPr>
          <w:rFonts w:asciiTheme="minorHAnsi" w:eastAsiaTheme="minorEastAsia" w:hAnsiTheme="minorHAnsi" w:cstheme="minorBidi"/>
        </w:rPr>
        <w:t xml:space="preserve"> </w:t>
      </w:r>
      <w:r w:rsidR="00396E9D" w:rsidRPr="0016511A">
        <w:rPr>
          <w:rFonts w:asciiTheme="minorHAnsi" w:eastAsiaTheme="minorEastAsia" w:hAnsiTheme="minorHAnsi" w:cstheme="minorBidi"/>
        </w:rPr>
        <w:t xml:space="preserve">in influencing club membership across </w:t>
      </w:r>
      <w:r w:rsidR="0016511A" w:rsidRPr="0016511A">
        <w:rPr>
          <w:rFonts w:asciiTheme="minorHAnsi" w:eastAsiaTheme="minorEastAsia" w:hAnsiTheme="minorHAnsi" w:cstheme="minorBidi"/>
        </w:rPr>
        <w:t>274 European regions on a NUTS-2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0B51"/>
    <w:rsid w:val="000016B1"/>
    <w:rsid w:val="000052C1"/>
    <w:rsid w:val="0000776D"/>
    <w:rsid w:val="0001623E"/>
    <w:rsid w:val="0002227F"/>
    <w:rsid w:val="00024776"/>
    <w:rsid w:val="00025BA9"/>
    <w:rsid w:val="00030698"/>
    <w:rsid w:val="000315C1"/>
    <w:rsid w:val="0004223E"/>
    <w:rsid w:val="00042B96"/>
    <w:rsid w:val="00043DEB"/>
    <w:rsid w:val="00044A06"/>
    <w:rsid w:val="00044CCE"/>
    <w:rsid w:val="000469BE"/>
    <w:rsid w:val="00055CAB"/>
    <w:rsid w:val="00056B51"/>
    <w:rsid w:val="00060F45"/>
    <w:rsid w:val="00061029"/>
    <w:rsid w:val="00064B1F"/>
    <w:rsid w:val="00070643"/>
    <w:rsid w:val="00070BD1"/>
    <w:rsid w:val="0007361F"/>
    <w:rsid w:val="000805A8"/>
    <w:rsid w:val="00080BCB"/>
    <w:rsid w:val="00081C19"/>
    <w:rsid w:val="00082691"/>
    <w:rsid w:val="00082916"/>
    <w:rsid w:val="00084A84"/>
    <w:rsid w:val="0008556B"/>
    <w:rsid w:val="00085BF8"/>
    <w:rsid w:val="00086888"/>
    <w:rsid w:val="0009244F"/>
    <w:rsid w:val="000924A7"/>
    <w:rsid w:val="00093F26"/>
    <w:rsid w:val="0009463A"/>
    <w:rsid w:val="00096528"/>
    <w:rsid w:val="000A089D"/>
    <w:rsid w:val="000A1900"/>
    <w:rsid w:val="000A1BA8"/>
    <w:rsid w:val="000A2022"/>
    <w:rsid w:val="000A2612"/>
    <w:rsid w:val="000A3382"/>
    <w:rsid w:val="000B09F3"/>
    <w:rsid w:val="000B1907"/>
    <w:rsid w:val="000B2C99"/>
    <w:rsid w:val="000B4DE0"/>
    <w:rsid w:val="000C1634"/>
    <w:rsid w:val="000D0857"/>
    <w:rsid w:val="000D30DB"/>
    <w:rsid w:val="000D3C2B"/>
    <w:rsid w:val="000D3C49"/>
    <w:rsid w:val="000D4F2D"/>
    <w:rsid w:val="000D4FC5"/>
    <w:rsid w:val="000D5878"/>
    <w:rsid w:val="000D75FC"/>
    <w:rsid w:val="000E058A"/>
    <w:rsid w:val="000E57BA"/>
    <w:rsid w:val="000F1991"/>
    <w:rsid w:val="000F24D5"/>
    <w:rsid w:val="000F4E8C"/>
    <w:rsid w:val="000F5CF1"/>
    <w:rsid w:val="000F7029"/>
    <w:rsid w:val="00102B6A"/>
    <w:rsid w:val="0010523A"/>
    <w:rsid w:val="00106418"/>
    <w:rsid w:val="00106440"/>
    <w:rsid w:val="001074B1"/>
    <w:rsid w:val="00110B38"/>
    <w:rsid w:val="00111ECB"/>
    <w:rsid w:val="0011388F"/>
    <w:rsid w:val="001243E5"/>
    <w:rsid w:val="00124485"/>
    <w:rsid w:val="00127D05"/>
    <w:rsid w:val="00131B0B"/>
    <w:rsid w:val="00146EB7"/>
    <w:rsid w:val="001512FF"/>
    <w:rsid w:val="0015233E"/>
    <w:rsid w:val="00153300"/>
    <w:rsid w:val="00153953"/>
    <w:rsid w:val="0015555B"/>
    <w:rsid w:val="00157F1E"/>
    <w:rsid w:val="001619E2"/>
    <w:rsid w:val="0016290A"/>
    <w:rsid w:val="00162FE8"/>
    <w:rsid w:val="00164EDC"/>
    <w:rsid w:val="0016511A"/>
    <w:rsid w:val="00165B69"/>
    <w:rsid w:val="0017145C"/>
    <w:rsid w:val="00171BCA"/>
    <w:rsid w:val="00175703"/>
    <w:rsid w:val="00183C8A"/>
    <w:rsid w:val="00183DD0"/>
    <w:rsid w:val="00186716"/>
    <w:rsid w:val="00186FF2"/>
    <w:rsid w:val="00187892"/>
    <w:rsid w:val="00193660"/>
    <w:rsid w:val="00194A85"/>
    <w:rsid w:val="00194B87"/>
    <w:rsid w:val="001A101B"/>
    <w:rsid w:val="001A5B7C"/>
    <w:rsid w:val="001A6AF5"/>
    <w:rsid w:val="001B4288"/>
    <w:rsid w:val="001B7AA4"/>
    <w:rsid w:val="001C0B5F"/>
    <w:rsid w:val="001C0B78"/>
    <w:rsid w:val="001C0FCC"/>
    <w:rsid w:val="001C1872"/>
    <w:rsid w:val="001D281F"/>
    <w:rsid w:val="001D49AD"/>
    <w:rsid w:val="001D5F7F"/>
    <w:rsid w:val="001E31BB"/>
    <w:rsid w:val="001E3A01"/>
    <w:rsid w:val="001E7ACE"/>
    <w:rsid w:val="001F021A"/>
    <w:rsid w:val="001F188B"/>
    <w:rsid w:val="001F3940"/>
    <w:rsid w:val="001F3E38"/>
    <w:rsid w:val="001F51A4"/>
    <w:rsid w:val="001F7977"/>
    <w:rsid w:val="0020617F"/>
    <w:rsid w:val="00210576"/>
    <w:rsid w:val="00213D4A"/>
    <w:rsid w:val="00216075"/>
    <w:rsid w:val="0021739F"/>
    <w:rsid w:val="0022195C"/>
    <w:rsid w:val="00222370"/>
    <w:rsid w:val="00224483"/>
    <w:rsid w:val="00225CD8"/>
    <w:rsid w:val="002271E1"/>
    <w:rsid w:val="002308D6"/>
    <w:rsid w:val="00234719"/>
    <w:rsid w:val="0023744E"/>
    <w:rsid w:val="002444CA"/>
    <w:rsid w:val="00244C9B"/>
    <w:rsid w:val="00244E0E"/>
    <w:rsid w:val="00244EB1"/>
    <w:rsid w:val="0024581A"/>
    <w:rsid w:val="00245CBE"/>
    <w:rsid w:val="00246346"/>
    <w:rsid w:val="002500AB"/>
    <w:rsid w:val="0025266A"/>
    <w:rsid w:val="00252738"/>
    <w:rsid w:val="00254038"/>
    <w:rsid w:val="0025533D"/>
    <w:rsid w:val="0025643B"/>
    <w:rsid w:val="00257616"/>
    <w:rsid w:val="0026432A"/>
    <w:rsid w:val="002700D2"/>
    <w:rsid w:val="00270FF5"/>
    <w:rsid w:val="0027107B"/>
    <w:rsid w:val="0027131A"/>
    <w:rsid w:val="00275950"/>
    <w:rsid w:val="00276B47"/>
    <w:rsid w:val="002833DE"/>
    <w:rsid w:val="00283D88"/>
    <w:rsid w:val="002854EA"/>
    <w:rsid w:val="00287942"/>
    <w:rsid w:val="002A3BE4"/>
    <w:rsid w:val="002A47FD"/>
    <w:rsid w:val="002A519B"/>
    <w:rsid w:val="002A60F9"/>
    <w:rsid w:val="002A63BD"/>
    <w:rsid w:val="002A70A3"/>
    <w:rsid w:val="002A72FE"/>
    <w:rsid w:val="002B2B9E"/>
    <w:rsid w:val="002B3A59"/>
    <w:rsid w:val="002B4CB0"/>
    <w:rsid w:val="002B4F50"/>
    <w:rsid w:val="002C0150"/>
    <w:rsid w:val="002C0E74"/>
    <w:rsid w:val="002C2C3B"/>
    <w:rsid w:val="002C2D66"/>
    <w:rsid w:val="002C6229"/>
    <w:rsid w:val="002D06D6"/>
    <w:rsid w:val="002D38FF"/>
    <w:rsid w:val="002D3C2D"/>
    <w:rsid w:val="002D4358"/>
    <w:rsid w:val="002D5704"/>
    <w:rsid w:val="002E1B25"/>
    <w:rsid w:val="002E305F"/>
    <w:rsid w:val="002F30D7"/>
    <w:rsid w:val="00300811"/>
    <w:rsid w:val="0030204C"/>
    <w:rsid w:val="00305D18"/>
    <w:rsid w:val="00307B86"/>
    <w:rsid w:val="003116E1"/>
    <w:rsid w:val="00311D34"/>
    <w:rsid w:val="00316F6D"/>
    <w:rsid w:val="003203DD"/>
    <w:rsid w:val="00320CE4"/>
    <w:rsid w:val="003212E0"/>
    <w:rsid w:val="00323478"/>
    <w:rsid w:val="003235F8"/>
    <w:rsid w:val="00324AC5"/>
    <w:rsid w:val="003315B4"/>
    <w:rsid w:val="00331ED4"/>
    <w:rsid w:val="00335413"/>
    <w:rsid w:val="00335832"/>
    <w:rsid w:val="00337781"/>
    <w:rsid w:val="003402F7"/>
    <w:rsid w:val="00340552"/>
    <w:rsid w:val="00344CBC"/>
    <w:rsid w:val="003515FC"/>
    <w:rsid w:val="0035161C"/>
    <w:rsid w:val="00351A42"/>
    <w:rsid w:val="00354321"/>
    <w:rsid w:val="00355FDE"/>
    <w:rsid w:val="00360A05"/>
    <w:rsid w:val="0036179B"/>
    <w:rsid w:val="00366CDA"/>
    <w:rsid w:val="00367849"/>
    <w:rsid w:val="0037089E"/>
    <w:rsid w:val="00370CE8"/>
    <w:rsid w:val="00373A81"/>
    <w:rsid w:val="003752E0"/>
    <w:rsid w:val="0037555B"/>
    <w:rsid w:val="00380389"/>
    <w:rsid w:val="00381EA8"/>
    <w:rsid w:val="00386672"/>
    <w:rsid w:val="0038698D"/>
    <w:rsid w:val="00386DCB"/>
    <w:rsid w:val="00387163"/>
    <w:rsid w:val="00391570"/>
    <w:rsid w:val="00391B3B"/>
    <w:rsid w:val="00393F16"/>
    <w:rsid w:val="00394BCF"/>
    <w:rsid w:val="003959E2"/>
    <w:rsid w:val="00395A72"/>
    <w:rsid w:val="00395DE2"/>
    <w:rsid w:val="00395F1C"/>
    <w:rsid w:val="0039608D"/>
    <w:rsid w:val="00396E9D"/>
    <w:rsid w:val="003A1BFD"/>
    <w:rsid w:val="003A30B6"/>
    <w:rsid w:val="003A77DE"/>
    <w:rsid w:val="003B05A6"/>
    <w:rsid w:val="003B1D68"/>
    <w:rsid w:val="003B3495"/>
    <w:rsid w:val="003B44B0"/>
    <w:rsid w:val="003B6B07"/>
    <w:rsid w:val="003C1987"/>
    <w:rsid w:val="003C298B"/>
    <w:rsid w:val="003C4CE2"/>
    <w:rsid w:val="003C5630"/>
    <w:rsid w:val="003C63A1"/>
    <w:rsid w:val="003C7556"/>
    <w:rsid w:val="003D0BA2"/>
    <w:rsid w:val="003D1E6E"/>
    <w:rsid w:val="003D21CC"/>
    <w:rsid w:val="003D3A20"/>
    <w:rsid w:val="003D4949"/>
    <w:rsid w:val="003D6DD0"/>
    <w:rsid w:val="003D728F"/>
    <w:rsid w:val="003E1CC8"/>
    <w:rsid w:val="003E214C"/>
    <w:rsid w:val="003E4FDC"/>
    <w:rsid w:val="003E7009"/>
    <w:rsid w:val="003F076F"/>
    <w:rsid w:val="003F72E9"/>
    <w:rsid w:val="0040038C"/>
    <w:rsid w:val="00401993"/>
    <w:rsid w:val="00404FD6"/>
    <w:rsid w:val="004053BF"/>
    <w:rsid w:val="0040790A"/>
    <w:rsid w:val="004135E1"/>
    <w:rsid w:val="00416E13"/>
    <w:rsid w:val="00417306"/>
    <w:rsid w:val="00422BF6"/>
    <w:rsid w:val="00423971"/>
    <w:rsid w:val="0042503C"/>
    <w:rsid w:val="004260C9"/>
    <w:rsid w:val="00430011"/>
    <w:rsid w:val="00431293"/>
    <w:rsid w:val="00431777"/>
    <w:rsid w:val="00433D95"/>
    <w:rsid w:val="0044023B"/>
    <w:rsid w:val="00443488"/>
    <w:rsid w:val="00444427"/>
    <w:rsid w:val="004465C3"/>
    <w:rsid w:val="00451D8E"/>
    <w:rsid w:val="0045252E"/>
    <w:rsid w:val="00452E0D"/>
    <w:rsid w:val="004578A8"/>
    <w:rsid w:val="00457CB0"/>
    <w:rsid w:val="00462907"/>
    <w:rsid w:val="00463143"/>
    <w:rsid w:val="004659A8"/>
    <w:rsid w:val="00475305"/>
    <w:rsid w:val="00476523"/>
    <w:rsid w:val="00477084"/>
    <w:rsid w:val="004777B9"/>
    <w:rsid w:val="00480AE2"/>
    <w:rsid w:val="00481E07"/>
    <w:rsid w:val="004828F6"/>
    <w:rsid w:val="00485526"/>
    <w:rsid w:val="00486773"/>
    <w:rsid w:val="004873EA"/>
    <w:rsid w:val="00487638"/>
    <w:rsid w:val="004938C0"/>
    <w:rsid w:val="00493EE6"/>
    <w:rsid w:val="00495E33"/>
    <w:rsid w:val="00497A6F"/>
    <w:rsid w:val="004A0087"/>
    <w:rsid w:val="004A0AE8"/>
    <w:rsid w:val="004A0F09"/>
    <w:rsid w:val="004A130F"/>
    <w:rsid w:val="004A16B6"/>
    <w:rsid w:val="004A2E2F"/>
    <w:rsid w:val="004A2F70"/>
    <w:rsid w:val="004A49A0"/>
    <w:rsid w:val="004A5761"/>
    <w:rsid w:val="004B32AD"/>
    <w:rsid w:val="004B5CA9"/>
    <w:rsid w:val="004B6315"/>
    <w:rsid w:val="004B6541"/>
    <w:rsid w:val="004B6CC3"/>
    <w:rsid w:val="004C1489"/>
    <w:rsid w:val="004C1B62"/>
    <w:rsid w:val="004C286B"/>
    <w:rsid w:val="004C2FDB"/>
    <w:rsid w:val="004C42BA"/>
    <w:rsid w:val="004C5458"/>
    <w:rsid w:val="004C5DD3"/>
    <w:rsid w:val="004D3730"/>
    <w:rsid w:val="004D555C"/>
    <w:rsid w:val="004D5906"/>
    <w:rsid w:val="004D5DDD"/>
    <w:rsid w:val="004D7D6D"/>
    <w:rsid w:val="004E287E"/>
    <w:rsid w:val="004E7221"/>
    <w:rsid w:val="004F2556"/>
    <w:rsid w:val="004F3C39"/>
    <w:rsid w:val="004F4BB8"/>
    <w:rsid w:val="004F514F"/>
    <w:rsid w:val="004F538E"/>
    <w:rsid w:val="004F5D91"/>
    <w:rsid w:val="00502EAA"/>
    <w:rsid w:val="00504073"/>
    <w:rsid w:val="00511618"/>
    <w:rsid w:val="005128F5"/>
    <w:rsid w:val="00513EE2"/>
    <w:rsid w:val="00514693"/>
    <w:rsid w:val="00514B55"/>
    <w:rsid w:val="00520C24"/>
    <w:rsid w:val="00520FF3"/>
    <w:rsid w:val="00521081"/>
    <w:rsid w:val="005219E1"/>
    <w:rsid w:val="00521E41"/>
    <w:rsid w:val="00523120"/>
    <w:rsid w:val="00526FEB"/>
    <w:rsid w:val="00531227"/>
    <w:rsid w:val="00531992"/>
    <w:rsid w:val="005348B7"/>
    <w:rsid w:val="00537001"/>
    <w:rsid w:val="00541C7F"/>
    <w:rsid w:val="00543016"/>
    <w:rsid w:val="0054671B"/>
    <w:rsid w:val="00546936"/>
    <w:rsid w:val="00551542"/>
    <w:rsid w:val="005534C5"/>
    <w:rsid w:val="005538B3"/>
    <w:rsid w:val="00554CE2"/>
    <w:rsid w:val="00554F50"/>
    <w:rsid w:val="00555852"/>
    <w:rsid w:val="0055597E"/>
    <w:rsid w:val="00560F39"/>
    <w:rsid w:val="005615FF"/>
    <w:rsid w:val="00562171"/>
    <w:rsid w:val="00566878"/>
    <w:rsid w:val="0056769B"/>
    <w:rsid w:val="005704F2"/>
    <w:rsid w:val="00571DB9"/>
    <w:rsid w:val="005720CD"/>
    <w:rsid w:val="0057212D"/>
    <w:rsid w:val="00572CE5"/>
    <w:rsid w:val="005750FD"/>
    <w:rsid w:val="00575A0B"/>
    <w:rsid w:val="00576796"/>
    <w:rsid w:val="005776F8"/>
    <w:rsid w:val="00582DBB"/>
    <w:rsid w:val="00583897"/>
    <w:rsid w:val="00583A3B"/>
    <w:rsid w:val="0058421E"/>
    <w:rsid w:val="00584454"/>
    <w:rsid w:val="00587EAC"/>
    <w:rsid w:val="00590F3E"/>
    <w:rsid w:val="0059177C"/>
    <w:rsid w:val="0059240A"/>
    <w:rsid w:val="0059302F"/>
    <w:rsid w:val="00594B7D"/>
    <w:rsid w:val="00597168"/>
    <w:rsid w:val="00597509"/>
    <w:rsid w:val="005A0EE7"/>
    <w:rsid w:val="005A15AD"/>
    <w:rsid w:val="005B3728"/>
    <w:rsid w:val="005B3A23"/>
    <w:rsid w:val="005B5F59"/>
    <w:rsid w:val="005C5EAF"/>
    <w:rsid w:val="005C61A7"/>
    <w:rsid w:val="005D58D5"/>
    <w:rsid w:val="005D6970"/>
    <w:rsid w:val="005D7BB1"/>
    <w:rsid w:val="005E2F90"/>
    <w:rsid w:val="005E3D8C"/>
    <w:rsid w:val="005E4DAC"/>
    <w:rsid w:val="005E5122"/>
    <w:rsid w:val="005E5DB1"/>
    <w:rsid w:val="005E6069"/>
    <w:rsid w:val="005E65C8"/>
    <w:rsid w:val="005F0FFE"/>
    <w:rsid w:val="005F2212"/>
    <w:rsid w:val="005F389A"/>
    <w:rsid w:val="005F5ACD"/>
    <w:rsid w:val="005F747D"/>
    <w:rsid w:val="00601C3C"/>
    <w:rsid w:val="006067F5"/>
    <w:rsid w:val="006111ED"/>
    <w:rsid w:val="0061168D"/>
    <w:rsid w:val="00614B20"/>
    <w:rsid w:val="00617AE2"/>
    <w:rsid w:val="00621329"/>
    <w:rsid w:val="00622D67"/>
    <w:rsid w:val="00624123"/>
    <w:rsid w:val="00627752"/>
    <w:rsid w:val="006305CE"/>
    <w:rsid w:val="00633D61"/>
    <w:rsid w:val="0063574E"/>
    <w:rsid w:val="00635964"/>
    <w:rsid w:val="0063720A"/>
    <w:rsid w:val="00637CFD"/>
    <w:rsid w:val="00637F92"/>
    <w:rsid w:val="006417ED"/>
    <w:rsid w:val="00641E4B"/>
    <w:rsid w:val="006454A6"/>
    <w:rsid w:val="006455B6"/>
    <w:rsid w:val="00647B73"/>
    <w:rsid w:val="0065174F"/>
    <w:rsid w:val="00652382"/>
    <w:rsid w:val="006529F7"/>
    <w:rsid w:val="00655BBA"/>
    <w:rsid w:val="00655F0A"/>
    <w:rsid w:val="006575AF"/>
    <w:rsid w:val="0066101F"/>
    <w:rsid w:val="00664196"/>
    <w:rsid w:val="006701A7"/>
    <w:rsid w:val="006701C7"/>
    <w:rsid w:val="00670425"/>
    <w:rsid w:val="00675BBB"/>
    <w:rsid w:val="00677F07"/>
    <w:rsid w:val="00683546"/>
    <w:rsid w:val="0068516E"/>
    <w:rsid w:val="00687DA4"/>
    <w:rsid w:val="00687E6C"/>
    <w:rsid w:val="00691D85"/>
    <w:rsid w:val="006934EF"/>
    <w:rsid w:val="00693581"/>
    <w:rsid w:val="00693651"/>
    <w:rsid w:val="00693B84"/>
    <w:rsid w:val="006A30E9"/>
    <w:rsid w:val="006A4B47"/>
    <w:rsid w:val="006A5D9E"/>
    <w:rsid w:val="006B0190"/>
    <w:rsid w:val="006B0285"/>
    <w:rsid w:val="006B26A0"/>
    <w:rsid w:val="006B39D6"/>
    <w:rsid w:val="006B5A72"/>
    <w:rsid w:val="006B6DC9"/>
    <w:rsid w:val="006C414A"/>
    <w:rsid w:val="006C4923"/>
    <w:rsid w:val="006C7984"/>
    <w:rsid w:val="006D1A9E"/>
    <w:rsid w:val="006D276B"/>
    <w:rsid w:val="006D2FB2"/>
    <w:rsid w:val="006D3D74"/>
    <w:rsid w:val="006D7417"/>
    <w:rsid w:val="006E2229"/>
    <w:rsid w:val="006E36B5"/>
    <w:rsid w:val="006E6856"/>
    <w:rsid w:val="006E6CC7"/>
    <w:rsid w:val="006E73C3"/>
    <w:rsid w:val="006E79B9"/>
    <w:rsid w:val="006F0C36"/>
    <w:rsid w:val="006F12C0"/>
    <w:rsid w:val="006F275D"/>
    <w:rsid w:val="006F27D7"/>
    <w:rsid w:val="006F401A"/>
    <w:rsid w:val="006F4545"/>
    <w:rsid w:val="006F459F"/>
    <w:rsid w:val="006F5837"/>
    <w:rsid w:val="006F66A7"/>
    <w:rsid w:val="0070096C"/>
    <w:rsid w:val="0070130D"/>
    <w:rsid w:val="007016B9"/>
    <w:rsid w:val="00702FA8"/>
    <w:rsid w:val="007030C3"/>
    <w:rsid w:val="00703B6B"/>
    <w:rsid w:val="00703ECC"/>
    <w:rsid w:val="007056F9"/>
    <w:rsid w:val="00705C75"/>
    <w:rsid w:val="00707D59"/>
    <w:rsid w:val="0071065A"/>
    <w:rsid w:val="00711D84"/>
    <w:rsid w:val="00712558"/>
    <w:rsid w:val="00712840"/>
    <w:rsid w:val="00716FD9"/>
    <w:rsid w:val="00720152"/>
    <w:rsid w:val="00721E62"/>
    <w:rsid w:val="00724573"/>
    <w:rsid w:val="00731BE2"/>
    <w:rsid w:val="00733EAF"/>
    <w:rsid w:val="00741F8B"/>
    <w:rsid w:val="00742888"/>
    <w:rsid w:val="00746EEF"/>
    <w:rsid w:val="0075497E"/>
    <w:rsid w:val="00755462"/>
    <w:rsid w:val="00755FCE"/>
    <w:rsid w:val="007603E9"/>
    <w:rsid w:val="00760941"/>
    <w:rsid w:val="00761A56"/>
    <w:rsid w:val="007630F5"/>
    <w:rsid w:val="00765A12"/>
    <w:rsid w:val="00766E89"/>
    <w:rsid w:val="00766F05"/>
    <w:rsid w:val="007672B9"/>
    <w:rsid w:val="00770BE6"/>
    <w:rsid w:val="00771AAD"/>
    <w:rsid w:val="00775108"/>
    <w:rsid w:val="00777B97"/>
    <w:rsid w:val="00783463"/>
    <w:rsid w:val="00787501"/>
    <w:rsid w:val="00795B0D"/>
    <w:rsid w:val="007974F3"/>
    <w:rsid w:val="007978FF"/>
    <w:rsid w:val="007A501E"/>
    <w:rsid w:val="007B1F71"/>
    <w:rsid w:val="007B3BC4"/>
    <w:rsid w:val="007B5CC7"/>
    <w:rsid w:val="007C0C49"/>
    <w:rsid w:val="007C1B8B"/>
    <w:rsid w:val="007C36C1"/>
    <w:rsid w:val="007C387E"/>
    <w:rsid w:val="007C6CF6"/>
    <w:rsid w:val="007C7403"/>
    <w:rsid w:val="007D23AC"/>
    <w:rsid w:val="007D774B"/>
    <w:rsid w:val="007E043C"/>
    <w:rsid w:val="007E0B26"/>
    <w:rsid w:val="007E0E78"/>
    <w:rsid w:val="007E3015"/>
    <w:rsid w:val="007E45E3"/>
    <w:rsid w:val="007F1689"/>
    <w:rsid w:val="007F1991"/>
    <w:rsid w:val="007F2DDA"/>
    <w:rsid w:val="007F5AED"/>
    <w:rsid w:val="007F5CDE"/>
    <w:rsid w:val="00801D5E"/>
    <w:rsid w:val="008036CE"/>
    <w:rsid w:val="00804971"/>
    <w:rsid w:val="008076BC"/>
    <w:rsid w:val="00807EB5"/>
    <w:rsid w:val="00820C97"/>
    <w:rsid w:val="008233B0"/>
    <w:rsid w:val="0082421E"/>
    <w:rsid w:val="0083209C"/>
    <w:rsid w:val="00832872"/>
    <w:rsid w:val="0084075B"/>
    <w:rsid w:val="008416DB"/>
    <w:rsid w:val="00842C3E"/>
    <w:rsid w:val="008517C6"/>
    <w:rsid w:val="00853726"/>
    <w:rsid w:val="0085438A"/>
    <w:rsid w:val="00857081"/>
    <w:rsid w:val="00861F56"/>
    <w:rsid w:val="00865B3A"/>
    <w:rsid w:val="008711ED"/>
    <w:rsid w:val="008712D7"/>
    <w:rsid w:val="008715B4"/>
    <w:rsid w:val="00880F2C"/>
    <w:rsid w:val="008813C3"/>
    <w:rsid w:val="00882DA0"/>
    <w:rsid w:val="00885ECF"/>
    <w:rsid w:val="00886EAE"/>
    <w:rsid w:val="00890984"/>
    <w:rsid w:val="00895A5D"/>
    <w:rsid w:val="00897937"/>
    <w:rsid w:val="008A45CA"/>
    <w:rsid w:val="008A49A5"/>
    <w:rsid w:val="008A760F"/>
    <w:rsid w:val="008B35B9"/>
    <w:rsid w:val="008B4CB7"/>
    <w:rsid w:val="008B5764"/>
    <w:rsid w:val="008B6240"/>
    <w:rsid w:val="008C1A17"/>
    <w:rsid w:val="008D2C37"/>
    <w:rsid w:val="008D2E5B"/>
    <w:rsid w:val="008D3FE5"/>
    <w:rsid w:val="008D44FF"/>
    <w:rsid w:val="008E02D5"/>
    <w:rsid w:val="008E252A"/>
    <w:rsid w:val="008E5516"/>
    <w:rsid w:val="008E6657"/>
    <w:rsid w:val="008E7302"/>
    <w:rsid w:val="008F1F68"/>
    <w:rsid w:val="008F2D53"/>
    <w:rsid w:val="008F32F5"/>
    <w:rsid w:val="008F5B04"/>
    <w:rsid w:val="008F63D1"/>
    <w:rsid w:val="008F7386"/>
    <w:rsid w:val="009012E9"/>
    <w:rsid w:val="00904C72"/>
    <w:rsid w:val="0090644F"/>
    <w:rsid w:val="00906765"/>
    <w:rsid w:val="00910021"/>
    <w:rsid w:val="00910C9D"/>
    <w:rsid w:val="00911CCC"/>
    <w:rsid w:val="00913A5F"/>
    <w:rsid w:val="00914219"/>
    <w:rsid w:val="00914EA1"/>
    <w:rsid w:val="00915CA4"/>
    <w:rsid w:val="009232A3"/>
    <w:rsid w:val="009241A2"/>
    <w:rsid w:val="00925ACE"/>
    <w:rsid w:val="00927A40"/>
    <w:rsid w:val="00935213"/>
    <w:rsid w:val="00936A6A"/>
    <w:rsid w:val="00937A18"/>
    <w:rsid w:val="00941FC7"/>
    <w:rsid w:val="009466FA"/>
    <w:rsid w:val="00946C9D"/>
    <w:rsid w:val="00947042"/>
    <w:rsid w:val="00947CE5"/>
    <w:rsid w:val="0095037C"/>
    <w:rsid w:val="00951BFF"/>
    <w:rsid w:val="009559E9"/>
    <w:rsid w:val="0096046D"/>
    <w:rsid w:val="009617F8"/>
    <w:rsid w:val="00962349"/>
    <w:rsid w:val="00965BFF"/>
    <w:rsid w:val="00971021"/>
    <w:rsid w:val="009711FF"/>
    <w:rsid w:val="009714CB"/>
    <w:rsid w:val="00971B36"/>
    <w:rsid w:val="009721C1"/>
    <w:rsid w:val="00972A9C"/>
    <w:rsid w:val="00976CE2"/>
    <w:rsid w:val="009803E1"/>
    <w:rsid w:val="009810C4"/>
    <w:rsid w:val="00981660"/>
    <w:rsid w:val="00983E3C"/>
    <w:rsid w:val="009841E7"/>
    <w:rsid w:val="009851FF"/>
    <w:rsid w:val="00991524"/>
    <w:rsid w:val="009A0F6D"/>
    <w:rsid w:val="009A37AB"/>
    <w:rsid w:val="009B0895"/>
    <w:rsid w:val="009B10A8"/>
    <w:rsid w:val="009B1E97"/>
    <w:rsid w:val="009B380D"/>
    <w:rsid w:val="009B3F47"/>
    <w:rsid w:val="009B4476"/>
    <w:rsid w:val="009B4AB8"/>
    <w:rsid w:val="009B67B0"/>
    <w:rsid w:val="009C0D5B"/>
    <w:rsid w:val="009C3294"/>
    <w:rsid w:val="009C3CA6"/>
    <w:rsid w:val="009C405D"/>
    <w:rsid w:val="009C408C"/>
    <w:rsid w:val="009C69B3"/>
    <w:rsid w:val="009C6E3C"/>
    <w:rsid w:val="009C70AE"/>
    <w:rsid w:val="009D1933"/>
    <w:rsid w:val="009D2164"/>
    <w:rsid w:val="009D2530"/>
    <w:rsid w:val="009D3506"/>
    <w:rsid w:val="009D4E97"/>
    <w:rsid w:val="009E0162"/>
    <w:rsid w:val="009E11F2"/>
    <w:rsid w:val="009E5165"/>
    <w:rsid w:val="009E7FB3"/>
    <w:rsid w:val="009F059C"/>
    <w:rsid w:val="009F258A"/>
    <w:rsid w:val="009F54B5"/>
    <w:rsid w:val="009F66CE"/>
    <w:rsid w:val="00A00EE1"/>
    <w:rsid w:val="00A03A31"/>
    <w:rsid w:val="00A04D07"/>
    <w:rsid w:val="00A10EF0"/>
    <w:rsid w:val="00A120D9"/>
    <w:rsid w:val="00A121C1"/>
    <w:rsid w:val="00A158F9"/>
    <w:rsid w:val="00A15AEF"/>
    <w:rsid w:val="00A2006D"/>
    <w:rsid w:val="00A20F8B"/>
    <w:rsid w:val="00A23712"/>
    <w:rsid w:val="00A25EF0"/>
    <w:rsid w:val="00A27B4C"/>
    <w:rsid w:val="00A31DBE"/>
    <w:rsid w:val="00A320AB"/>
    <w:rsid w:val="00A32EE0"/>
    <w:rsid w:val="00A34472"/>
    <w:rsid w:val="00A3631D"/>
    <w:rsid w:val="00A410CD"/>
    <w:rsid w:val="00A46FB8"/>
    <w:rsid w:val="00A47BDF"/>
    <w:rsid w:val="00A548CB"/>
    <w:rsid w:val="00A57A08"/>
    <w:rsid w:val="00A642D6"/>
    <w:rsid w:val="00A66F03"/>
    <w:rsid w:val="00A67214"/>
    <w:rsid w:val="00A67EBE"/>
    <w:rsid w:val="00A705D6"/>
    <w:rsid w:val="00A724A7"/>
    <w:rsid w:val="00A73A8C"/>
    <w:rsid w:val="00A77023"/>
    <w:rsid w:val="00A77BCB"/>
    <w:rsid w:val="00A80617"/>
    <w:rsid w:val="00A80EE2"/>
    <w:rsid w:val="00A8572D"/>
    <w:rsid w:val="00A8671F"/>
    <w:rsid w:val="00A900C2"/>
    <w:rsid w:val="00A909DF"/>
    <w:rsid w:val="00A90C0C"/>
    <w:rsid w:val="00A92EB0"/>
    <w:rsid w:val="00A93D81"/>
    <w:rsid w:val="00A95D09"/>
    <w:rsid w:val="00AA048F"/>
    <w:rsid w:val="00AA57FC"/>
    <w:rsid w:val="00AA6F48"/>
    <w:rsid w:val="00AB38F6"/>
    <w:rsid w:val="00AB39F9"/>
    <w:rsid w:val="00AB3F91"/>
    <w:rsid w:val="00AB54EE"/>
    <w:rsid w:val="00AB6A95"/>
    <w:rsid w:val="00AD2E18"/>
    <w:rsid w:val="00AD3CAB"/>
    <w:rsid w:val="00AD4A1E"/>
    <w:rsid w:val="00AE04E2"/>
    <w:rsid w:val="00AE0B24"/>
    <w:rsid w:val="00AE39B7"/>
    <w:rsid w:val="00AE46CC"/>
    <w:rsid w:val="00AE682F"/>
    <w:rsid w:val="00AF01D2"/>
    <w:rsid w:val="00AF0DBE"/>
    <w:rsid w:val="00AF201A"/>
    <w:rsid w:val="00AF4C45"/>
    <w:rsid w:val="00AF6510"/>
    <w:rsid w:val="00B01601"/>
    <w:rsid w:val="00B026AB"/>
    <w:rsid w:val="00B043D7"/>
    <w:rsid w:val="00B04A04"/>
    <w:rsid w:val="00B04DDF"/>
    <w:rsid w:val="00B05930"/>
    <w:rsid w:val="00B05C33"/>
    <w:rsid w:val="00B064C6"/>
    <w:rsid w:val="00B06D08"/>
    <w:rsid w:val="00B1529D"/>
    <w:rsid w:val="00B16087"/>
    <w:rsid w:val="00B17503"/>
    <w:rsid w:val="00B2106A"/>
    <w:rsid w:val="00B22D1E"/>
    <w:rsid w:val="00B25C2E"/>
    <w:rsid w:val="00B30271"/>
    <w:rsid w:val="00B31CB2"/>
    <w:rsid w:val="00B321D9"/>
    <w:rsid w:val="00B3241A"/>
    <w:rsid w:val="00B329E0"/>
    <w:rsid w:val="00B34EF4"/>
    <w:rsid w:val="00B34F0C"/>
    <w:rsid w:val="00B401AE"/>
    <w:rsid w:val="00B40487"/>
    <w:rsid w:val="00B40673"/>
    <w:rsid w:val="00B41963"/>
    <w:rsid w:val="00B420A1"/>
    <w:rsid w:val="00B51CB2"/>
    <w:rsid w:val="00B53C74"/>
    <w:rsid w:val="00B575BE"/>
    <w:rsid w:val="00B57C18"/>
    <w:rsid w:val="00B62DAC"/>
    <w:rsid w:val="00B67CA5"/>
    <w:rsid w:val="00B71C86"/>
    <w:rsid w:val="00B73AC5"/>
    <w:rsid w:val="00B77073"/>
    <w:rsid w:val="00B90F62"/>
    <w:rsid w:val="00B91087"/>
    <w:rsid w:val="00B91CDA"/>
    <w:rsid w:val="00B92DC6"/>
    <w:rsid w:val="00B94EE5"/>
    <w:rsid w:val="00B97059"/>
    <w:rsid w:val="00BA49C5"/>
    <w:rsid w:val="00BA6A90"/>
    <w:rsid w:val="00BA7897"/>
    <w:rsid w:val="00BB01CE"/>
    <w:rsid w:val="00BB4D91"/>
    <w:rsid w:val="00BB53C0"/>
    <w:rsid w:val="00BB61A2"/>
    <w:rsid w:val="00BC02DE"/>
    <w:rsid w:val="00BC31D9"/>
    <w:rsid w:val="00BC6C6F"/>
    <w:rsid w:val="00BD123E"/>
    <w:rsid w:val="00BD1AEE"/>
    <w:rsid w:val="00BD28FC"/>
    <w:rsid w:val="00BD316C"/>
    <w:rsid w:val="00BD52CD"/>
    <w:rsid w:val="00BE42A6"/>
    <w:rsid w:val="00BE53AF"/>
    <w:rsid w:val="00BE60FF"/>
    <w:rsid w:val="00BE7E89"/>
    <w:rsid w:val="00BF48A6"/>
    <w:rsid w:val="00BF6189"/>
    <w:rsid w:val="00C000C0"/>
    <w:rsid w:val="00C00DA0"/>
    <w:rsid w:val="00C04296"/>
    <w:rsid w:val="00C04696"/>
    <w:rsid w:val="00C05620"/>
    <w:rsid w:val="00C05F37"/>
    <w:rsid w:val="00C0673F"/>
    <w:rsid w:val="00C06F6B"/>
    <w:rsid w:val="00C07D53"/>
    <w:rsid w:val="00C136C0"/>
    <w:rsid w:val="00C14939"/>
    <w:rsid w:val="00C162B8"/>
    <w:rsid w:val="00C20435"/>
    <w:rsid w:val="00C204D0"/>
    <w:rsid w:val="00C22D9F"/>
    <w:rsid w:val="00C23461"/>
    <w:rsid w:val="00C2683A"/>
    <w:rsid w:val="00C27D5D"/>
    <w:rsid w:val="00C30155"/>
    <w:rsid w:val="00C316BD"/>
    <w:rsid w:val="00C34648"/>
    <w:rsid w:val="00C42591"/>
    <w:rsid w:val="00C458CC"/>
    <w:rsid w:val="00C50620"/>
    <w:rsid w:val="00C512D3"/>
    <w:rsid w:val="00C52026"/>
    <w:rsid w:val="00C52833"/>
    <w:rsid w:val="00C53FD9"/>
    <w:rsid w:val="00C576A2"/>
    <w:rsid w:val="00C65449"/>
    <w:rsid w:val="00C67280"/>
    <w:rsid w:val="00C678B6"/>
    <w:rsid w:val="00C716AF"/>
    <w:rsid w:val="00C73418"/>
    <w:rsid w:val="00C73499"/>
    <w:rsid w:val="00C7507E"/>
    <w:rsid w:val="00C75A01"/>
    <w:rsid w:val="00C81CDE"/>
    <w:rsid w:val="00C85850"/>
    <w:rsid w:val="00C90D65"/>
    <w:rsid w:val="00C91042"/>
    <w:rsid w:val="00C9290A"/>
    <w:rsid w:val="00C96DA5"/>
    <w:rsid w:val="00C97AAC"/>
    <w:rsid w:val="00CA0C34"/>
    <w:rsid w:val="00CA0CB2"/>
    <w:rsid w:val="00CA0D00"/>
    <w:rsid w:val="00CA4A4A"/>
    <w:rsid w:val="00CA5D76"/>
    <w:rsid w:val="00CA7CEC"/>
    <w:rsid w:val="00CA7E8E"/>
    <w:rsid w:val="00CB2C2F"/>
    <w:rsid w:val="00CB44B4"/>
    <w:rsid w:val="00CB4F11"/>
    <w:rsid w:val="00CB52DE"/>
    <w:rsid w:val="00CC0532"/>
    <w:rsid w:val="00CC1AB7"/>
    <w:rsid w:val="00CC582F"/>
    <w:rsid w:val="00CC5CFB"/>
    <w:rsid w:val="00CC68A3"/>
    <w:rsid w:val="00CD23B8"/>
    <w:rsid w:val="00CD253C"/>
    <w:rsid w:val="00CD3BA0"/>
    <w:rsid w:val="00CD7A61"/>
    <w:rsid w:val="00CE065A"/>
    <w:rsid w:val="00CE2789"/>
    <w:rsid w:val="00CE417D"/>
    <w:rsid w:val="00CE4A9D"/>
    <w:rsid w:val="00CE4C2C"/>
    <w:rsid w:val="00CF35FC"/>
    <w:rsid w:val="00CF6554"/>
    <w:rsid w:val="00D01D59"/>
    <w:rsid w:val="00D06856"/>
    <w:rsid w:val="00D07D66"/>
    <w:rsid w:val="00D1353E"/>
    <w:rsid w:val="00D15320"/>
    <w:rsid w:val="00D20F47"/>
    <w:rsid w:val="00D217D3"/>
    <w:rsid w:val="00D22D84"/>
    <w:rsid w:val="00D24642"/>
    <w:rsid w:val="00D32A99"/>
    <w:rsid w:val="00D33FFB"/>
    <w:rsid w:val="00D3468E"/>
    <w:rsid w:val="00D352A6"/>
    <w:rsid w:val="00D3687A"/>
    <w:rsid w:val="00D4256D"/>
    <w:rsid w:val="00D42CF6"/>
    <w:rsid w:val="00D44B87"/>
    <w:rsid w:val="00D52B51"/>
    <w:rsid w:val="00D54778"/>
    <w:rsid w:val="00D5639B"/>
    <w:rsid w:val="00D613A8"/>
    <w:rsid w:val="00D62AAD"/>
    <w:rsid w:val="00D707B5"/>
    <w:rsid w:val="00D72BA4"/>
    <w:rsid w:val="00D73783"/>
    <w:rsid w:val="00D73BD1"/>
    <w:rsid w:val="00D80261"/>
    <w:rsid w:val="00D818F5"/>
    <w:rsid w:val="00D828EB"/>
    <w:rsid w:val="00D83E94"/>
    <w:rsid w:val="00D84FDE"/>
    <w:rsid w:val="00D85A56"/>
    <w:rsid w:val="00D87966"/>
    <w:rsid w:val="00D90DC8"/>
    <w:rsid w:val="00D912D7"/>
    <w:rsid w:val="00D9152E"/>
    <w:rsid w:val="00D91B00"/>
    <w:rsid w:val="00D91B23"/>
    <w:rsid w:val="00D96E18"/>
    <w:rsid w:val="00D978E9"/>
    <w:rsid w:val="00DA103A"/>
    <w:rsid w:val="00DA1B7F"/>
    <w:rsid w:val="00DA2603"/>
    <w:rsid w:val="00DA2F2F"/>
    <w:rsid w:val="00DA586F"/>
    <w:rsid w:val="00DA7F9C"/>
    <w:rsid w:val="00DB007D"/>
    <w:rsid w:val="00DB0A85"/>
    <w:rsid w:val="00DB0CF3"/>
    <w:rsid w:val="00DB2081"/>
    <w:rsid w:val="00DB2905"/>
    <w:rsid w:val="00DB6017"/>
    <w:rsid w:val="00DB6940"/>
    <w:rsid w:val="00DC621B"/>
    <w:rsid w:val="00DC7519"/>
    <w:rsid w:val="00DD26D2"/>
    <w:rsid w:val="00DD3890"/>
    <w:rsid w:val="00DD45F9"/>
    <w:rsid w:val="00DE0ABE"/>
    <w:rsid w:val="00DE1903"/>
    <w:rsid w:val="00DE248D"/>
    <w:rsid w:val="00DF1E8A"/>
    <w:rsid w:val="00DF2F15"/>
    <w:rsid w:val="00DF3595"/>
    <w:rsid w:val="00DF4271"/>
    <w:rsid w:val="00DF4C7F"/>
    <w:rsid w:val="00DF4EA3"/>
    <w:rsid w:val="00DF5B58"/>
    <w:rsid w:val="00DF669A"/>
    <w:rsid w:val="00E00B0F"/>
    <w:rsid w:val="00E025EF"/>
    <w:rsid w:val="00E04E67"/>
    <w:rsid w:val="00E05033"/>
    <w:rsid w:val="00E05BA2"/>
    <w:rsid w:val="00E05E65"/>
    <w:rsid w:val="00E1186E"/>
    <w:rsid w:val="00E11B9C"/>
    <w:rsid w:val="00E14DB3"/>
    <w:rsid w:val="00E14FB5"/>
    <w:rsid w:val="00E169DD"/>
    <w:rsid w:val="00E16E17"/>
    <w:rsid w:val="00E172D2"/>
    <w:rsid w:val="00E17D71"/>
    <w:rsid w:val="00E17FAB"/>
    <w:rsid w:val="00E209C1"/>
    <w:rsid w:val="00E21695"/>
    <w:rsid w:val="00E21B5A"/>
    <w:rsid w:val="00E222CD"/>
    <w:rsid w:val="00E22384"/>
    <w:rsid w:val="00E22D7F"/>
    <w:rsid w:val="00E24392"/>
    <w:rsid w:val="00E24C27"/>
    <w:rsid w:val="00E26B2A"/>
    <w:rsid w:val="00E27B2F"/>
    <w:rsid w:val="00E31921"/>
    <w:rsid w:val="00E31D2F"/>
    <w:rsid w:val="00E325EF"/>
    <w:rsid w:val="00E405DB"/>
    <w:rsid w:val="00E40C42"/>
    <w:rsid w:val="00E42BFF"/>
    <w:rsid w:val="00E45066"/>
    <w:rsid w:val="00E45402"/>
    <w:rsid w:val="00E47339"/>
    <w:rsid w:val="00E507D5"/>
    <w:rsid w:val="00E516A5"/>
    <w:rsid w:val="00E5474C"/>
    <w:rsid w:val="00E54DDC"/>
    <w:rsid w:val="00E57F00"/>
    <w:rsid w:val="00E701A1"/>
    <w:rsid w:val="00E730A3"/>
    <w:rsid w:val="00E742D7"/>
    <w:rsid w:val="00E77782"/>
    <w:rsid w:val="00E815DF"/>
    <w:rsid w:val="00E823FF"/>
    <w:rsid w:val="00E859D4"/>
    <w:rsid w:val="00E906E5"/>
    <w:rsid w:val="00E90B6F"/>
    <w:rsid w:val="00E90CA3"/>
    <w:rsid w:val="00E93C15"/>
    <w:rsid w:val="00E96243"/>
    <w:rsid w:val="00E965AF"/>
    <w:rsid w:val="00EA155C"/>
    <w:rsid w:val="00EA27F2"/>
    <w:rsid w:val="00EA6E86"/>
    <w:rsid w:val="00EB0AC1"/>
    <w:rsid w:val="00EB0B4F"/>
    <w:rsid w:val="00EB13DE"/>
    <w:rsid w:val="00EB1EF6"/>
    <w:rsid w:val="00EB4A59"/>
    <w:rsid w:val="00EB4D34"/>
    <w:rsid w:val="00EB601B"/>
    <w:rsid w:val="00EB6E93"/>
    <w:rsid w:val="00EC0311"/>
    <w:rsid w:val="00EC18D5"/>
    <w:rsid w:val="00EC1ED7"/>
    <w:rsid w:val="00EC1F06"/>
    <w:rsid w:val="00EC24E8"/>
    <w:rsid w:val="00EC2A20"/>
    <w:rsid w:val="00EC6319"/>
    <w:rsid w:val="00EC785E"/>
    <w:rsid w:val="00ED17C7"/>
    <w:rsid w:val="00ED3D31"/>
    <w:rsid w:val="00EE0849"/>
    <w:rsid w:val="00EE36FD"/>
    <w:rsid w:val="00EE40CF"/>
    <w:rsid w:val="00EE4B09"/>
    <w:rsid w:val="00EE4D37"/>
    <w:rsid w:val="00EE56C1"/>
    <w:rsid w:val="00EE5C2F"/>
    <w:rsid w:val="00EE600D"/>
    <w:rsid w:val="00EE7702"/>
    <w:rsid w:val="00EE788F"/>
    <w:rsid w:val="00EF08A9"/>
    <w:rsid w:val="00EF305F"/>
    <w:rsid w:val="00EF3305"/>
    <w:rsid w:val="00EF47BD"/>
    <w:rsid w:val="00EF4F90"/>
    <w:rsid w:val="00EF7E72"/>
    <w:rsid w:val="00F01D39"/>
    <w:rsid w:val="00F04063"/>
    <w:rsid w:val="00F06AAD"/>
    <w:rsid w:val="00F114CB"/>
    <w:rsid w:val="00F130B6"/>
    <w:rsid w:val="00F131C4"/>
    <w:rsid w:val="00F13372"/>
    <w:rsid w:val="00F15C0D"/>
    <w:rsid w:val="00F202E6"/>
    <w:rsid w:val="00F22D6D"/>
    <w:rsid w:val="00F232B1"/>
    <w:rsid w:val="00F23585"/>
    <w:rsid w:val="00F24610"/>
    <w:rsid w:val="00F307C6"/>
    <w:rsid w:val="00F3216C"/>
    <w:rsid w:val="00F32915"/>
    <w:rsid w:val="00F33A19"/>
    <w:rsid w:val="00F36827"/>
    <w:rsid w:val="00F44D2F"/>
    <w:rsid w:val="00F53207"/>
    <w:rsid w:val="00F5391B"/>
    <w:rsid w:val="00F57455"/>
    <w:rsid w:val="00F60C11"/>
    <w:rsid w:val="00F61277"/>
    <w:rsid w:val="00F64101"/>
    <w:rsid w:val="00F6413A"/>
    <w:rsid w:val="00F6532C"/>
    <w:rsid w:val="00F66412"/>
    <w:rsid w:val="00F677AA"/>
    <w:rsid w:val="00F744AF"/>
    <w:rsid w:val="00F74677"/>
    <w:rsid w:val="00F74EE1"/>
    <w:rsid w:val="00F81296"/>
    <w:rsid w:val="00F8326F"/>
    <w:rsid w:val="00F85833"/>
    <w:rsid w:val="00F85949"/>
    <w:rsid w:val="00F92BB7"/>
    <w:rsid w:val="00FA1A4C"/>
    <w:rsid w:val="00FA2F6B"/>
    <w:rsid w:val="00FA438A"/>
    <w:rsid w:val="00FA4C17"/>
    <w:rsid w:val="00FA4FBB"/>
    <w:rsid w:val="00FA50C9"/>
    <w:rsid w:val="00FA6ED2"/>
    <w:rsid w:val="00FB3133"/>
    <w:rsid w:val="00FB5375"/>
    <w:rsid w:val="00FC3916"/>
    <w:rsid w:val="00FC3945"/>
    <w:rsid w:val="00FC77C3"/>
    <w:rsid w:val="00FD24B1"/>
    <w:rsid w:val="00FD3D3F"/>
    <w:rsid w:val="00FD4D6D"/>
    <w:rsid w:val="00FD508A"/>
    <w:rsid w:val="00FD509B"/>
    <w:rsid w:val="00FE2876"/>
    <w:rsid w:val="00FE45C2"/>
    <w:rsid w:val="00FE5DD4"/>
    <w:rsid w:val="00FF2146"/>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 w:type="character" w:styleId="Hyperlink">
    <w:name w:val="Hyperlink"/>
    <w:basedOn w:val="DefaultParagraphFont"/>
    <w:uiPriority w:val="99"/>
    <w:unhideWhenUsed/>
    <w:rsid w:val="00582DBB"/>
    <w:rPr>
      <w:color w:val="0563C1" w:themeColor="hyperlink"/>
      <w:u w:val="single"/>
    </w:rPr>
  </w:style>
  <w:style w:type="character" w:styleId="UnresolvedMention">
    <w:name w:val="Unresolved Mention"/>
    <w:basedOn w:val="DefaultParagraphFont"/>
    <w:uiPriority w:val="99"/>
    <w:semiHidden/>
    <w:unhideWhenUsed/>
    <w:rsid w:val="0058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247">
      <w:bodyDiv w:val="1"/>
      <w:marLeft w:val="0"/>
      <w:marRight w:val="0"/>
      <w:marTop w:val="0"/>
      <w:marBottom w:val="0"/>
      <w:divBdr>
        <w:top w:val="none" w:sz="0" w:space="0" w:color="auto"/>
        <w:left w:val="none" w:sz="0" w:space="0" w:color="auto"/>
        <w:bottom w:val="none" w:sz="0" w:space="0" w:color="auto"/>
        <w:right w:val="none" w:sz="0" w:space="0" w:color="auto"/>
      </w:divBdr>
    </w:div>
    <w:div w:id="41903303">
      <w:bodyDiv w:val="1"/>
      <w:marLeft w:val="0"/>
      <w:marRight w:val="0"/>
      <w:marTop w:val="0"/>
      <w:marBottom w:val="0"/>
      <w:divBdr>
        <w:top w:val="none" w:sz="0" w:space="0" w:color="auto"/>
        <w:left w:val="none" w:sz="0" w:space="0" w:color="auto"/>
        <w:bottom w:val="none" w:sz="0" w:space="0" w:color="auto"/>
        <w:right w:val="none" w:sz="0" w:space="0" w:color="auto"/>
      </w:divBdr>
    </w:div>
    <w:div w:id="86847478">
      <w:bodyDiv w:val="1"/>
      <w:marLeft w:val="0"/>
      <w:marRight w:val="0"/>
      <w:marTop w:val="0"/>
      <w:marBottom w:val="0"/>
      <w:divBdr>
        <w:top w:val="none" w:sz="0" w:space="0" w:color="auto"/>
        <w:left w:val="none" w:sz="0" w:space="0" w:color="auto"/>
        <w:bottom w:val="none" w:sz="0" w:space="0" w:color="auto"/>
        <w:right w:val="none" w:sz="0" w:space="0" w:color="auto"/>
      </w:divBdr>
    </w:div>
    <w:div w:id="126778496">
      <w:bodyDiv w:val="1"/>
      <w:marLeft w:val="0"/>
      <w:marRight w:val="0"/>
      <w:marTop w:val="0"/>
      <w:marBottom w:val="0"/>
      <w:divBdr>
        <w:top w:val="none" w:sz="0" w:space="0" w:color="auto"/>
        <w:left w:val="none" w:sz="0" w:space="0" w:color="auto"/>
        <w:bottom w:val="none" w:sz="0" w:space="0" w:color="auto"/>
        <w:right w:val="none" w:sz="0" w:space="0" w:color="auto"/>
      </w:divBdr>
    </w:div>
    <w:div w:id="290668645">
      <w:bodyDiv w:val="1"/>
      <w:marLeft w:val="0"/>
      <w:marRight w:val="0"/>
      <w:marTop w:val="0"/>
      <w:marBottom w:val="0"/>
      <w:divBdr>
        <w:top w:val="none" w:sz="0" w:space="0" w:color="auto"/>
        <w:left w:val="none" w:sz="0" w:space="0" w:color="auto"/>
        <w:bottom w:val="none" w:sz="0" w:space="0" w:color="auto"/>
        <w:right w:val="none" w:sz="0" w:space="0" w:color="auto"/>
      </w:divBdr>
    </w:div>
    <w:div w:id="295259895">
      <w:bodyDiv w:val="1"/>
      <w:marLeft w:val="0"/>
      <w:marRight w:val="0"/>
      <w:marTop w:val="0"/>
      <w:marBottom w:val="0"/>
      <w:divBdr>
        <w:top w:val="none" w:sz="0" w:space="0" w:color="auto"/>
        <w:left w:val="none" w:sz="0" w:space="0" w:color="auto"/>
        <w:bottom w:val="none" w:sz="0" w:space="0" w:color="auto"/>
        <w:right w:val="none" w:sz="0" w:space="0" w:color="auto"/>
      </w:divBdr>
    </w:div>
    <w:div w:id="300842159">
      <w:bodyDiv w:val="1"/>
      <w:marLeft w:val="0"/>
      <w:marRight w:val="0"/>
      <w:marTop w:val="0"/>
      <w:marBottom w:val="0"/>
      <w:divBdr>
        <w:top w:val="none" w:sz="0" w:space="0" w:color="auto"/>
        <w:left w:val="none" w:sz="0" w:space="0" w:color="auto"/>
        <w:bottom w:val="none" w:sz="0" w:space="0" w:color="auto"/>
        <w:right w:val="none" w:sz="0" w:space="0" w:color="auto"/>
      </w:divBdr>
    </w:div>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363944935">
      <w:bodyDiv w:val="1"/>
      <w:marLeft w:val="0"/>
      <w:marRight w:val="0"/>
      <w:marTop w:val="0"/>
      <w:marBottom w:val="0"/>
      <w:divBdr>
        <w:top w:val="none" w:sz="0" w:space="0" w:color="auto"/>
        <w:left w:val="none" w:sz="0" w:space="0" w:color="auto"/>
        <w:bottom w:val="none" w:sz="0" w:space="0" w:color="auto"/>
        <w:right w:val="none" w:sz="0" w:space="0" w:color="auto"/>
      </w:divBdr>
      <w:divsChild>
        <w:div w:id="1898777197">
          <w:marLeft w:val="0"/>
          <w:marRight w:val="0"/>
          <w:marTop w:val="0"/>
          <w:marBottom w:val="0"/>
          <w:divBdr>
            <w:top w:val="none" w:sz="0" w:space="0" w:color="auto"/>
            <w:left w:val="none" w:sz="0" w:space="0" w:color="auto"/>
            <w:bottom w:val="none" w:sz="0" w:space="0" w:color="auto"/>
            <w:right w:val="none" w:sz="0" w:space="0" w:color="auto"/>
          </w:divBdr>
        </w:div>
        <w:div w:id="2083093674">
          <w:marLeft w:val="0"/>
          <w:marRight w:val="0"/>
          <w:marTop w:val="0"/>
          <w:marBottom w:val="0"/>
          <w:divBdr>
            <w:top w:val="none" w:sz="0" w:space="0" w:color="auto"/>
            <w:left w:val="none" w:sz="0" w:space="0" w:color="auto"/>
            <w:bottom w:val="none" w:sz="0" w:space="0" w:color="auto"/>
            <w:right w:val="none" w:sz="0" w:space="0" w:color="auto"/>
          </w:divBdr>
        </w:div>
        <w:div w:id="535002131">
          <w:marLeft w:val="0"/>
          <w:marRight w:val="0"/>
          <w:marTop w:val="0"/>
          <w:marBottom w:val="0"/>
          <w:divBdr>
            <w:top w:val="none" w:sz="0" w:space="0" w:color="auto"/>
            <w:left w:val="none" w:sz="0" w:space="0" w:color="auto"/>
            <w:bottom w:val="none" w:sz="0" w:space="0" w:color="auto"/>
            <w:right w:val="none" w:sz="0" w:space="0" w:color="auto"/>
          </w:divBdr>
        </w:div>
        <w:div w:id="191042295">
          <w:marLeft w:val="0"/>
          <w:marRight w:val="0"/>
          <w:marTop w:val="0"/>
          <w:marBottom w:val="0"/>
          <w:divBdr>
            <w:top w:val="none" w:sz="0" w:space="0" w:color="auto"/>
            <w:left w:val="none" w:sz="0" w:space="0" w:color="auto"/>
            <w:bottom w:val="none" w:sz="0" w:space="0" w:color="auto"/>
            <w:right w:val="none" w:sz="0" w:space="0" w:color="auto"/>
          </w:divBdr>
        </w:div>
        <w:div w:id="476806535">
          <w:marLeft w:val="0"/>
          <w:marRight w:val="0"/>
          <w:marTop w:val="0"/>
          <w:marBottom w:val="0"/>
          <w:divBdr>
            <w:top w:val="none" w:sz="0" w:space="0" w:color="auto"/>
            <w:left w:val="none" w:sz="0" w:space="0" w:color="auto"/>
            <w:bottom w:val="none" w:sz="0" w:space="0" w:color="auto"/>
            <w:right w:val="none" w:sz="0" w:space="0" w:color="auto"/>
          </w:divBdr>
        </w:div>
        <w:div w:id="1355304145">
          <w:marLeft w:val="0"/>
          <w:marRight w:val="0"/>
          <w:marTop w:val="0"/>
          <w:marBottom w:val="0"/>
          <w:divBdr>
            <w:top w:val="none" w:sz="0" w:space="0" w:color="auto"/>
            <w:left w:val="none" w:sz="0" w:space="0" w:color="auto"/>
            <w:bottom w:val="none" w:sz="0" w:space="0" w:color="auto"/>
            <w:right w:val="none" w:sz="0" w:space="0" w:color="auto"/>
          </w:divBdr>
        </w:div>
      </w:divsChild>
    </w:div>
    <w:div w:id="447504669">
      <w:bodyDiv w:val="1"/>
      <w:marLeft w:val="0"/>
      <w:marRight w:val="0"/>
      <w:marTop w:val="0"/>
      <w:marBottom w:val="0"/>
      <w:divBdr>
        <w:top w:val="none" w:sz="0" w:space="0" w:color="auto"/>
        <w:left w:val="none" w:sz="0" w:space="0" w:color="auto"/>
        <w:bottom w:val="none" w:sz="0" w:space="0" w:color="auto"/>
        <w:right w:val="none" w:sz="0" w:space="0" w:color="auto"/>
      </w:divBdr>
    </w:div>
    <w:div w:id="541132890">
      <w:bodyDiv w:val="1"/>
      <w:marLeft w:val="0"/>
      <w:marRight w:val="0"/>
      <w:marTop w:val="0"/>
      <w:marBottom w:val="0"/>
      <w:divBdr>
        <w:top w:val="none" w:sz="0" w:space="0" w:color="auto"/>
        <w:left w:val="none" w:sz="0" w:space="0" w:color="auto"/>
        <w:bottom w:val="none" w:sz="0" w:space="0" w:color="auto"/>
        <w:right w:val="none" w:sz="0" w:space="0" w:color="auto"/>
      </w:divBdr>
    </w:div>
    <w:div w:id="576785920">
      <w:bodyDiv w:val="1"/>
      <w:marLeft w:val="0"/>
      <w:marRight w:val="0"/>
      <w:marTop w:val="0"/>
      <w:marBottom w:val="0"/>
      <w:divBdr>
        <w:top w:val="none" w:sz="0" w:space="0" w:color="auto"/>
        <w:left w:val="none" w:sz="0" w:space="0" w:color="auto"/>
        <w:bottom w:val="none" w:sz="0" w:space="0" w:color="auto"/>
        <w:right w:val="none" w:sz="0" w:space="0" w:color="auto"/>
      </w:divBdr>
    </w:div>
    <w:div w:id="606154414">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674264198">
      <w:bodyDiv w:val="1"/>
      <w:marLeft w:val="0"/>
      <w:marRight w:val="0"/>
      <w:marTop w:val="0"/>
      <w:marBottom w:val="0"/>
      <w:divBdr>
        <w:top w:val="none" w:sz="0" w:space="0" w:color="auto"/>
        <w:left w:val="none" w:sz="0" w:space="0" w:color="auto"/>
        <w:bottom w:val="none" w:sz="0" w:space="0" w:color="auto"/>
        <w:right w:val="none" w:sz="0" w:space="0" w:color="auto"/>
      </w:divBdr>
    </w:div>
    <w:div w:id="687411897">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759260218">
      <w:bodyDiv w:val="1"/>
      <w:marLeft w:val="0"/>
      <w:marRight w:val="0"/>
      <w:marTop w:val="0"/>
      <w:marBottom w:val="0"/>
      <w:divBdr>
        <w:top w:val="none" w:sz="0" w:space="0" w:color="auto"/>
        <w:left w:val="none" w:sz="0" w:space="0" w:color="auto"/>
        <w:bottom w:val="none" w:sz="0" w:space="0" w:color="auto"/>
        <w:right w:val="none" w:sz="0" w:space="0" w:color="auto"/>
      </w:divBdr>
    </w:div>
    <w:div w:id="769475829">
      <w:bodyDiv w:val="1"/>
      <w:marLeft w:val="0"/>
      <w:marRight w:val="0"/>
      <w:marTop w:val="0"/>
      <w:marBottom w:val="0"/>
      <w:divBdr>
        <w:top w:val="none" w:sz="0" w:space="0" w:color="auto"/>
        <w:left w:val="none" w:sz="0" w:space="0" w:color="auto"/>
        <w:bottom w:val="none" w:sz="0" w:space="0" w:color="auto"/>
        <w:right w:val="none" w:sz="0" w:space="0" w:color="auto"/>
      </w:divBdr>
    </w:div>
    <w:div w:id="831022787">
      <w:bodyDiv w:val="1"/>
      <w:marLeft w:val="0"/>
      <w:marRight w:val="0"/>
      <w:marTop w:val="0"/>
      <w:marBottom w:val="0"/>
      <w:divBdr>
        <w:top w:val="none" w:sz="0" w:space="0" w:color="auto"/>
        <w:left w:val="none" w:sz="0" w:space="0" w:color="auto"/>
        <w:bottom w:val="none" w:sz="0" w:space="0" w:color="auto"/>
        <w:right w:val="none" w:sz="0" w:space="0" w:color="auto"/>
      </w:divBdr>
    </w:div>
    <w:div w:id="879707736">
      <w:bodyDiv w:val="1"/>
      <w:marLeft w:val="0"/>
      <w:marRight w:val="0"/>
      <w:marTop w:val="0"/>
      <w:marBottom w:val="0"/>
      <w:divBdr>
        <w:top w:val="none" w:sz="0" w:space="0" w:color="auto"/>
        <w:left w:val="none" w:sz="0" w:space="0" w:color="auto"/>
        <w:bottom w:val="none" w:sz="0" w:space="0" w:color="auto"/>
        <w:right w:val="none" w:sz="0" w:space="0" w:color="auto"/>
      </w:divBdr>
    </w:div>
    <w:div w:id="885917646">
      <w:bodyDiv w:val="1"/>
      <w:marLeft w:val="0"/>
      <w:marRight w:val="0"/>
      <w:marTop w:val="0"/>
      <w:marBottom w:val="0"/>
      <w:divBdr>
        <w:top w:val="none" w:sz="0" w:space="0" w:color="auto"/>
        <w:left w:val="none" w:sz="0" w:space="0" w:color="auto"/>
        <w:bottom w:val="none" w:sz="0" w:space="0" w:color="auto"/>
        <w:right w:val="none" w:sz="0" w:space="0" w:color="auto"/>
      </w:divBdr>
    </w:div>
    <w:div w:id="904871282">
      <w:bodyDiv w:val="1"/>
      <w:marLeft w:val="0"/>
      <w:marRight w:val="0"/>
      <w:marTop w:val="0"/>
      <w:marBottom w:val="0"/>
      <w:divBdr>
        <w:top w:val="none" w:sz="0" w:space="0" w:color="auto"/>
        <w:left w:val="none" w:sz="0" w:space="0" w:color="auto"/>
        <w:bottom w:val="none" w:sz="0" w:space="0" w:color="auto"/>
        <w:right w:val="none" w:sz="0" w:space="0" w:color="auto"/>
      </w:divBdr>
    </w:div>
    <w:div w:id="1030909111">
      <w:bodyDiv w:val="1"/>
      <w:marLeft w:val="0"/>
      <w:marRight w:val="0"/>
      <w:marTop w:val="0"/>
      <w:marBottom w:val="0"/>
      <w:divBdr>
        <w:top w:val="none" w:sz="0" w:space="0" w:color="auto"/>
        <w:left w:val="none" w:sz="0" w:space="0" w:color="auto"/>
        <w:bottom w:val="none" w:sz="0" w:space="0" w:color="auto"/>
        <w:right w:val="none" w:sz="0" w:space="0" w:color="auto"/>
      </w:divBdr>
    </w:div>
    <w:div w:id="1038163354">
      <w:bodyDiv w:val="1"/>
      <w:marLeft w:val="0"/>
      <w:marRight w:val="0"/>
      <w:marTop w:val="0"/>
      <w:marBottom w:val="0"/>
      <w:divBdr>
        <w:top w:val="none" w:sz="0" w:space="0" w:color="auto"/>
        <w:left w:val="none" w:sz="0" w:space="0" w:color="auto"/>
        <w:bottom w:val="none" w:sz="0" w:space="0" w:color="auto"/>
        <w:right w:val="none" w:sz="0" w:space="0" w:color="auto"/>
      </w:divBdr>
    </w:div>
    <w:div w:id="1041633512">
      <w:bodyDiv w:val="1"/>
      <w:marLeft w:val="0"/>
      <w:marRight w:val="0"/>
      <w:marTop w:val="0"/>
      <w:marBottom w:val="0"/>
      <w:divBdr>
        <w:top w:val="none" w:sz="0" w:space="0" w:color="auto"/>
        <w:left w:val="none" w:sz="0" w:space="0" w:color="auto"/>
        <w:bottom w:val="none" w:sz="0" w:space="0" w:color="auto"/>
        <w:right w:val="none" w:sz="0" w:space="0" w:color="auto"/>
      </w:divBdr>
    </w:div>
    <w:div w:id="1075203332">
      <w:bodyDiv w:val="1"/>
      <w:marLeft w:val="0"/>
      <w:marRight w:val="0"/>
      <w:marTop w:val="0"/>
      <w:marBottom w:val="0"/>
      <w:divBdr>
        <w:top w:val="none" w:sz="0" w:space="0" w:color="auto"/>
        <w:left w:val="none" w:sz="0" w:space="0" w:color="auto"/>
        <w:bottom w:val="none" w:sz="0" w:space="0" w:color="auto"/>
        <w:right w:val="none" w:sz="0" w:space="0" w:color="auto"/>
      </w:divBdr>
    </w:div>
    <w:div w:id="1107191063">
      <w:bodyDiv w:val="1"/>
      <w:marLeft w:val="0"/>
      <w:marRight w:val="0"/>
      <w:marTop w:val="0"/>
      <w:marBottom w:val="0"/>
      <w:divBdr>
        <w:top w:val="none" w:sz="0" w:space="0" w:color="auto"/>
        <w:left w:val="none" w:sz="0" w:space="0" w:color="auto"/>
        <w:bottom w:val="none" w:sz="0" w:space="0" w:color="auto"/>
        <w:right w:val="none" w:sz="0" w:space="0" w:color="auto"/>
      </w:divBdr>
    </w:div>
    <w:div w:id="1112944170">
      <w:bodyDiv w:val="1"/>
      <w:marLeft w:val="0"/>
      <w:marRight w:val="0"/>
      <w:marTop w:val="0"/>
      <w:marBottom w:val="0"/>
      <w:divBdr>
        <w:top w:val="none" w:sz="0" w:space="0" w:color="auto"/>
        <w:left w:val="none" w:sz="0" w:space="0" w:color="auto"/>
        <w:bottom w:val="none" w:sz="0" w:space="0" w:color="auto"/>
        <w:right w:val="none" w:sz="0" w:space="0" w:color="auto"/>
      </w:divBdr>
    </w:div>
    <w:div w:id="1114329000">
      <w:bodyDiv w:val="1"/>
      <w:marLeft w:val="0"/>
      <w:marRight w:val="0"/>
      <w:marTop w:val="0"/>
      <w:marBottom w:val="0"/>
      <w:divBdr>
        <w:top w:val="none" w:sz="0" w:space="0" w:color="auto"/>
        <w:left w:val="none" w:sz="0" w:space="0" w:color="auto"/>
        <w:bottom w:val="none" w:sz="0" w:space="0" w:color="auto"/>
        <w:right w:val="none" w:sz="0" w:space="0" w:color="auto"/>
      </w:divBdr>
    </w:div>
    <w:div w:id="1131435896">
      <w:bodyDiv w:val="1"/>
      <w:marLeft w:val="0"/>
      <w:marRight w:val="0"/>
      <w:marTop w:val="0"/>
      <w:marBottom w:val="0"/>
      <w:divBdr>
        <w:top w:val="none" w:sz="0" w:space="0" w:color="auto"/>
        <w:left w:val="none" w:sz="0" w:space="0" w:color="auto"/>
        <w:bottom w:val="none" w:sz="0" w:space="0" w:color="auto"/>
        <w:right w:val="none" w:sz="0" w:space="0" w:color="auto"/>
      </w:divBdr>
    </w:div>
    <w:div w:id="1137260867">
      <w:bodyDiv w:val="1"/>
      <w:marLeft w:val="0"/>
      <w:marRight w:val="0"/>
      <w:marTop w:val="0"/>
      <w:marBottom w:val="0"/>
      <w:divBdr>
        <w:top w:val="none" w:sz="0" w:space="0" w:color="auto"/>
        <w:left w:val="none" w:sz="0" w:space="0" w:color="auto"/>
        <w:bottom w:val="none" w:sz="0" w:space="0" w:color="auto"/>
        <w:right w:val="none" w:sz="0" w:space="0" w:color="auto"/>
      </w:divBdr>
    </w:div>
    <w:div w:id="1184051830">
      <w:bodyDiv w:val="1"/>
      <w:marLeft w:val="0"/>
      <w:marRight w:val="0"/>
      <w:marTop w:val="0"/>
      <w:marBottom w:val="0"/>
      <w:divBdr>
        <w:top w:val="none" w:sz="0" w:space="0" w:color="auto"/>
        <w:left w:val="none" w:sz="0" w:space="0" w:color="auto"/>
        <w:bottom w:val="none" w:sz="0" w:space="0" w:color="auto"/>
        <w:right w:val="none" w:sz="0" w:space="0" w:color="auto"/>
      </w:divBdr>
    </w:div>
    <w:div w:id="1192767078">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377392738">
      <w:bodyDiv w:val="1"/>
      <w:marLeft w:val="0"/>
      <w:marRight w:val="0"/>
      <w:marTop w:val="0"/>
      <w:marBottom w:val="0"/>
      <w:divBdr>
        <w:top w:val="none" w:sz="0" w:space="0" w:color="auto"/>
        <w:left w:val="none" w:sz="0" w:space="0" w:color="auto"/>
        <w:bottom w:val="none" w:sz="0" w:space="0" w:color="auto"/>
        <w:right w:val="none" w:sz="0" w:space="0" w:color="auto"/>
      </w:divBdr>
      <w:divsChild>
        <w:div w:id="1509714618">
          <w:marLeft w:val="0"/>
          <w:marRight w:val="0"/>
          <w:marTop w:val="0"/>
          <w:marBottom w:val="0"/>
          <w:divBdr>
            <w:top w:val="none" w:sz="0" w:space="0" w:color="auto"/>
            <w:left w:val="none" w:sz="0" w:space="0" w:color="auto"/>
            <w:bottom w:val="none" w:sz="0" w:space="0" w:color="auto"/>
            <w:right w:val="none" w:sz="0" w:space="0" w:color="auto"/>
          </w:divBdr>
        </w:div>
        <w:div w:id="426115480">
          <w:marLeft w:val="0"/>
          <w:marRight w:val="0"/>
          <w:marTop w:val="0"/>
          <w:marBottom w:val="0"/>
          <w:divBdr>
            <w:top w:val="none" w:sz="0" w:space="0" w:color="auto"/>
            <w:left w:val="none" w:sz="0" w:space="0" w:color="auto"/>
            <w:bottom w:val="none" w:sz="0" w:space="0" w:color="auto"/>
            <w:right w:val="none" w:sz="0" w:space="0" w:color="auto"/>
          </w:divBdr>
        </w:div>
        <w:div w:id="947855312">
          <w:marLeft w:val="0"/>
          <w:marRight w:val="0"/>
          <w:marTop w:val="0"/>
          <w:marBottom w:val="0"/>
          <w:divBdr>
            <w:top w:val="none" w:sz="0" w:space="0" w:color="auto"/>
            <w:left w:val="none" w:sz="0" w:space="0" w:color="auto"/>
            <w:bottom w:val="none" w:sz="0" w:space="0" w:color="auto"/>
            <w:right w:val="none" w:sz="0" w:space="0" w:color="auto"/>
          </w:divBdr>
        </w:div>
        <w:div w:id="2045447353">
          <w:marLeft w:val="0"/>
          <w:marRight w:val="0"/>
          <w:marTop w:val="0"/>
          <w:marBottom w:val="0"/>
          <w:divBdr>
            <w:top w:val="none" w:sz="0" w:space="0" w:color="auto"/>
            <w:left w:val="none" w:sz="0" w:space="0" w:color="auto"/>
            <w:bottom w:val="none" w:sz="0" w:space="0" w:color="auto"/>
            <w:right w:val="none" w:sz="0" w:space="0" w:color="auto"/>
          </w:divBdr>
        </w:div>
        <w:div w:id="757596357">
          <w:marLeft w:val="0"/>
          <w:marRight w:val="0"/>
          <w:marTop w:val="0"/>
          <w:marBottom w:val="0"/>
          <w:divBdr>
            <w:top w:val="none" w:sz="0" w:space="0" w:color="auto"/>
            <w:left w:val="none" w:sz="0" w:space="0" w:color="auto"/>
            <w:bottom w:val="none" w:sz="0" w:space="0" w:color="auto"/>
            <w:right w:val="none" w:sz="0" w:space="0" w:color="auto"/>
          </w:divBdr>
        </w:div>
        <w:div w:id="170681762">
          <w:marLeft w:val="0"/>
          <w:marRight w:val="0"/>
          <w:marTop w:val="0"/>
          <w:marBottom w:val="0"/>
          <w:divBdr>
            <w:top w:val="none" w:sz="0" w:space="0" w:color="auto"/>
            <w:left w:val="none" w:sz="0" w:space="0" w:color="auto"/>
            <w:bottom w:val="none" w:sz="0" w:space="0" w:color="auto"/>
            <w:right w:val="none" w:sz="0" w:space="0" w:color="auto"/>
          </w:divBdr>
        </w:div>
        <w:div w:id="436295733">
          <w:marLeft w:val="0"/>
          <w:marRight w:val="0"/>
          <w:marTop w:val="0"/>
          <w:marBottom w:val="0"/>
          <w:divBdr>
            <w:top w:val="none" w:sz="0" w:space="0" w:color="auto"/>
            <w:left w:val="none" w:sz="0" w:space="0" w:color="auto"/>
            <w:bottom w:val="none" w:sz="0" w:space="0" w:color="auto"/>
            <w:right w:val="none" w:sz="0" w:space="0" w:color="auto"/>
          </w:divBdr>
        </w:div>
        <w:div w:id="14769171">
          <w:marLeft w:val="0"/>
          <w:marRight w:val="0"/>
          <w:marTop w:val="0"/>
          <w:marBottom w:val="0"/>
          <w:divBdr>
            <w:top w:val="none" w:sz="0" w:space="0" w:color="auto"/>
            <w:left w:val="none" w:sz="0" w:space="0" w:color="auto"/>
            <w:bottom w:val="none" w:sz="0" w:space="0" w:color="auto"/>
            <w:right w:val="none" w:sz="0" w:space="0" w:color="auto"/>
          </w:divBdr>
        </w:div>
        <w:div w:id="2023581603">
          <w:marLeft w:val="0"/>
          <w:marRight w:val="0"/>
          <w:marTop w:val="0"/>
          <w:marBottom w:val="0"/>
          <w:divBdr>
            <w:top w:val="none" w:sz="0" w:space="0" w:color="auto"/>
            <w:left w:val="none" w:sz="0" w:space="0" w:color="auto"/>
            <w:bottom w:val="none" w:sz="0" w:space="0" w:color="auto"/>
            <w:right w:val="none" w:sz="0" w:space="0" w:color="auto"/>
          </w:divBdr>
        </w:div>
        <w:div w:id="1869365736">
          <w:marLeft w:val="0"/>
          <w:marRight w:val="0"/>
          <w:marTop w:val="0"/>
          <w:marBottom w:val="0"/>
          <w:divBdr>
            <w:top w:val="none" w:sz="0" w:space="0" w:color="auto"/>
            <w:left w:val="none" w:sz="0" w:space="0" w:color="auto"/>
            <w:bottom w:val="none" w:sz="0" w:space="0" w:color="auto"/>
            <w:right w:val="none" w:sz="0" w:space="0" w:color="auto"/>
          </w:divBdr>
        </w:div>
        <w:div w:id="1985893445">
          <w:marLeft w:val="0"/>
          <w:marRight w:val="0"/>
          <w:marTop w:val="0"/>
          <w:marBottom w:val="0"/>
          <w:divBdr>
            <w:top w:val="none" w:sz="0" w:space="0" w:color="auto"/>
            <w:left w:val="none" w:sz="0" w:space="0" w:color="auto"/>
            <w:bottom w:val="none" w:sz="0" w:space="0" w:color="auto"/>
            <w:right w:val="none" w:sz="0" w:space="0" w:color="auto"/>
          </w:divBdr>
        </w:div>
        <w:div w:id="2046127627">
          <w:marLeft w:val="0"/>
          <w:marRight w:val="0"/>
          <w:marTop w:val="0"/>
          <w:marBottom w:val="0"/>
          <w:divBdr>
            <w:top w:val="none" w:sz="0" w:space="0" w:color="auto"/>
            <w:left w:val="none" w:sz="0" w:space="0" w:color="auto"/>
            <w:bottom w:val="none" w:sz="0" w:space="0" w:color="auto"/>
            <w:right w:val="none" w:sz="0" w:space="0" w:color="auto"/>
          </w:divBdr>
        </w:div>
      </w:divsChild>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442065984">
      <w:bodyDiv w:val="1"/>
      <w:marLeft w:val="0"/>
      <w:marRight w:val="0"/>
      <w:marTop w:val="0"/>
      <w:marBottom w:val="0"/>
      <w:divBdr>
        <w:top w:val="none" w:sz="0" w:space="0" w:color="auto"/>
        <w:left w:val="none" w:sz="0" w:space="0" w:color="auto"/>
        <w:bottom w:val="none" w:sz="0" w:space="0" w:color="auto"/>
        <w:right w:val="none" w:sz="0" w:space="0" w:color="auto"/>
      </w:divBdr>
    </w:div>
    <w:div w:id="1452556384">
      <w:bodyDiv w:val="1"/>
      <w:marLeft w:val="0"/>
      <w:marRight w:val="0"/>
      <w:marTop w:val="0"/>
      <w:marBottom w:val="0"/>
      <w:divBdr>
        <w:top w:val="none" w:sz="0" w:space="0" w:color="auto"/>
        <w:left w:val="none" w:sz="0" w:space="0" w:color="auto"/>
        <w:bottom w:val="none" w:sz="0" w:space="0" w:color="auto"/>
        <w:right w:val="none" w:sz="0" w:space="0" w:color="auto"/>
      </w:divBdr>
    </w:div>
    <w:div w:id="1478958155">
      <w:bodyDiv w:val="1"/>
      <w:marLeft w:val="0"/>
      <w:marRight w:val="0"/>
      <w:marTop w:val="0"/>
      <w:marBottom w:val="0"/>
      <w:divBdr>
        <w:top w:val="none" w:sz="0" w:space="0" w:color="auto"/>
        <w:left w:val="none" w:sz="0" w:space="0" w:color="auto"/>
        <w:bottom w:val="none" w:sz="0" w:space="0" w:color="auto"/>
        <w:right w:val="none" w:sz="0" w:space="0" w:color="auto"/>
      </w:divBdr>
    </w:div>
    <w:div w:id="1516579168">
      <w:bodyDiv w:val="1"/>
      <w:marLeft w:val="0"/>
      <w:marRight w:val="0"/>
      <w:marTop w:val="0"/>
      <w:marBottom w:val="0"/>
      <w:divBdr>
        <w:top w:val="none" w:sz="0" w:space="0" w:color="auto"/>
        <w:left w:val="none" w:sz="0" w:space="0" w:color="auto"/>
        <w:bottom w:val="none" w:sz="0" w:space="0" w:color="auto"/>
        <w:right w:val="none" w:sz="0" w:space="0" w:color="auto"/>
      </w:divBdr>
    </w:div>
    <w:div w:id="1569262914">
      <w:bodyDiv w:val="1"/>
      <w:marLeft w:val="0"/>
      <w:marRight w:val="0"/>
      <w:marTop w:val="0"/>
      <w:marBottom w:val="0"/>
      <w:divBdr>
        <w:top w:val="none" w:sz="0" w:space="0" w:color="auto"/>
        <w:left w:val="none" w:sz="0" w:space="0" w:color="auto"/>
        <w:bottom w:val="none" w:sz="0" w:space="0" w:color="auto"/>
        <w:right w:val="none" w:sz="0" w:space="0" w:color="auto"/>
      </w:divBdr>
    </w:div>
    <w:div w:id="1580018487">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1611663280">
      <w:bodyDiv w:val="1"/>
      <w:marLeft w:val="0"/>
      <w:marRight w:val="0"/>
      <w:marTop w:val="0"/>
      <w:marBottom w:val="0"/>
      <w:divBdr>
        <w:top w:val="none" w:sz="0" w:space="0" w:color="auto"/>
        <w:left w:val="none" w:sz="0" w:space="0" w:color="auto"/>
        <w:bottom w:val="none" w:sz="0" w:space="0" w:color="auto"/>
        <w:right w:val="none" w:sz="0" w:space="0" w:color="auto"/>
      </w:divBdr>
    </w:div>
    <w:div w:id="1688016704">
      <w:bodyDiv w:val="1"/>
      <w:marLeft w:val="0"/>
      <w:marRight w:val="0"/>
      <w:marTop w:val="0"/>
      <w:marBottom w:val="0"/>
      <w:divBdr>
        <w:top w:val="none" w:sz="0" w:space="0" w:color="auto"/>
        <w:left w:val="none" w:sz="0" w:space="0" w:color="auto"/>
        <w:bottom w:val="none" w:sz="0" w:space="0" w:color="auto"/>
        <w:right w:val="none" w:sz="0" w:space="0" w:color="auto"/>
      </w:divBdr>
    </w:div>
    <w:div w:id="1697268336">
      <w:bodyDiv w:val="1"/>
      <w:marLeft w:val="0"/>
      <w:marRight w:val="0"/>
      <w:marTop w:val="0"/>
      <w:marBottom w:val="0"/>
      <w:divBdr>
        <w:top w:val="none" w:sz="0" w:space="0" w:color="auto"/>
        <w:left w:val="none" w:sz="0" w:space="0" w:color="auto"/>
        <w:bottom w:val="none" w:sz="0" w:space="0" w:color="auto"/>
        <w:right w:val="none" w:sz="0" w:space="0" w:color="auto"/>
      </w:divBdr>
    </w:div>
    <w:div w:id="1797336510">
      <w:bodyDiv w:val="1"/>
      <w:marLeft w:val="0"/>
      <w:marRight w:val="0"/>
      <w:marTop w:val="0"/>
      <w:marBottom w:val="0"/>
      <w:divBdr>
        <w:top w:val="none" w:sz="0" w:space="0" w:color="auto"/>
        <w:left w:val="none" w:sz="0" w:space="0" w:color="auto"/>
        <w:bottom w:val="none" w:sz="0" w:space="0" w:color="auto"/>
        <w:right w:val="none" w:sz="0" w:space="0" w:color="auto"/>
      </w:divBdr>
    </w:div>
    <w:div w:id="1859932147">
      <w:bodyDiv w:val="1"/>
      <w:marLeft w:val="0"/>
      <w:marRight w:val="0"/>
      <w:marTop w:val="0"/>
      <w:marBottom w:val="0"/>
      <w:divBdr>
        <w:top w:val="none" w:sz="0" w:space="0" w:color="auto"/>
        <w:left w:val="none" w:sz="0" w:space="0" w:color="auto"/>
        <w:bottom w:val="none" w:sz="0" w:space="0" w:color="auto"/>
        <w:right w:val="none" w:sz="0" w:space="0" w:color="auto"/>
      </w:divBdr>
    </w:div>
    <w:div w:id="1872572133">
      <w:bodyDiv w:val="1"/>
      <w:marLeft w:val="0"/>
      <w:marRight w:val="0"/>
      <w:marTop w:val="0"/>
      <w:marBottom w:val="0"/>
      <w:divBdr>
        <w:top w:val="none" w:sz="0" w:space="0" w:color="auto"/>
        <w:left w:val="none" w:sz="0" w:space="0" w:color="auto"/>
        <w:bottom w:val="none" w:sz="0" w:space="0" w:color="auto"/>
        <w:right w:val="none" w:sz="0" w:space="0" w:color="auto"/>
      </w:divBdr>
    </w:div>
    <w:div w:id="1916207528">
      <w:bodyDiv w:val="1"/>
      <w:marLeft w:val="0"/>
      <w:marRight w:val="0"/>
      <w:marTop w:val="0"/>
      <w:marBottom w:val="0"/>
      <w:divBdr>
        <w:top w:val="none" w:sz="0" w:space="0" w:color="auto"/>
        <w:left w:val="none" w:sz="0" w:space="0" w:color="auto"/>
        <w:bottom w:val="none" w:sz="0" w:space="0" w:color="auto"/>
        <w:right w:val="none" w:sz="0" w:space="0" w:color="auto"/>
      </w:divBdr>
    </w:div>
    <w:div w:id="1938102299">
      <w:bodyDiv w:val="1"/>
      <w:marLeft w:val="0"/>
      <w:marRight w:val="0"/>
      <w:marTop w:val="0"/>
      <w:marBottom w:val="0"/>
      <w:divBdr>
        <w:top w:val="none" w:sz="0" w:space="0" w:color="auto"/>
        <w:left w:val="none" w:sz="0" w:space="0" w:color="auto"/>
        <w:bottom w:val="none" w:sz="0" w:space="0" w:color="auto"/>
        <w:right w:val="none" w:sz="0" w:space="0" w:color="auto"/>
      </w:divBdr>
    </w:div>
    <w:div w:id="1962684981">
      <w:bodyDiv w:val="1"/>
      <w:marLeft w:val="0"/>
      <w:marRight w:val="0"/>
      <w:marTop w:val="0"/>
      <w:marBottom w:val="0"/>
      <w:divBdr>
        <w:top w:val="none" w:sz="0" w:space="0" w:color="auto"/>
        <w:left w:val="none" w:sz="0" w:space="0" w:color="auto"/>
        <w:bottom w:val="none" w:sz="0" w:space="0" w:color="auto"/>
        <w:right w:val="none" w:sz="0" w:space="0" w:color="auto"/>
      </w:divBdr>
    </w:div>
    <w:div w:id="1995596974">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093116236">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ad_rm@bi.go.id" TargetMode="External"/><Relationship Id="rId13" Type="http://schemas.openxmlformats.org/officeDocument/2006/relationships/chart" Target="charts/chart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ginta.harry@c.mbox.nagoya-u.ac.j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harry_ag@bi,go.id" TargetMode="External"/><Relationship Id="rId14" Type="http://schemas.openxmlformats.org/officeDocument/2006/relationships/image" Target="media/image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181270610404468"/>
          <c:y val="8.1180811808118078E-2"/>
          <c:w val="0.74117874688740826"/>
          <c:h val="0.7284365284597728"/>
        </c:manualLayout>
      </c:layout>
      <c:lineChart>
        <c:grouping val="standard"/>
        <c:varyColors val="0"/>
        <c:ser>
          <c:idx val="0"/>
          <c:order val="0"/>
          <c:tx>
            <c:v>CV, real</c:v>
          </c:tx>
          <c:spPr>
            <a:ln w="19050" cap="rnd">
              <a:solidFill>
                <a:schemeClr val="bg2">
                  <a:lumMod val="50000"/>
                </a:schemeClr>
              </a:solidFill>
              <a:prstDash val="solid"/>
              <a:miter lim="800000"/>
            </a:ln>
            <a:effectLst/>
          </c:spPr>
          <c:marker>
            <c:symbol val="none"/>
          </c:marker>
          <c:cat>
            <c:numRef>
              <c:f>sigma!$C$2:$O$2</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sigma!$C$37:$O$37</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EDF5-480F-8E97-D436A3DEB074}"/>
            </c:ext>
          </c:extLst>
        </c:ser>
        <c:ser>
          <c:idx val="2"/>
          <c:order val="1"/>
          <c:tx>
            <c:v>CV, nominal</c:v>
          </c:tx>
          <c:spPr>
            <a:ln w="19050" cap="rnd">
              <a:solidFill>
                <a:schemeClr val="tx1"/>
              </a:solidFill>
              <a:prstDash val="sysDash"/>
              <a:round/>
            </a:ln>
            <a:effectLst/>
          </c:spPr>
          <c:marker>
            <c:symbol val="none"/>
          </c:marker>
          <c:val>
            <c:numRef>
              <c:f>sigma!$C$112:$O$112</c:f>
              <c:numCache>
                <c:formatCode>General</c:formatCode>
                <c:ptCount val="13"/>
                <c:pt idx="0">
                  <c:v>0.19838735287868789</c:v>
                </c:pt>
                <c:pt idx="1">
                  <c:v>0.2034495894869674</c:v>
                </c:pt>
                <c:pt idx="2">
                  <c:v>0.19588057653051197</c:v>
                </c:pt>
                <c:pt idx="3">
                  <c:v>0.17706017167125065</c:v>
                </c:pt>
                <c:pt idx="4">
                  <c:v>0.17487216814738807</c:v>
                </c:pt>
                <c:pt idx="5">
                  <c:v>0.16736090237428897</c:v>
                </c:pt>
                <c:pt idx="6">
                  <c:v>0.19958815601638383</c:v>
                </c:pt>
                <c:pt idx="7">
                  <c:v>0.20677246664391991</c:v>
                </c:pt>
                <c:pt idx="8">
                  <c:v>0.1881469943542905</c:v>
                </c:pt>
                <c:pt idx="9">
                  <c:v>0.2018488848383958</c:v>
                </c:pt>
                <c:pt idx="10">
                  <c:v>0.22291425509758439</c:v>
                </c:pt>
                <c:pt idx="11">
                  <c:v>0.20929544349177498</c:v>
                </c:pt>
                <c:pt idx="12">
                  <c:v>0.20550759216454648</c:v>
                </c:pt>
              </c:numCache>
            </c:numRef>
          </c:val>
          <c:smooth val="0"/>
          <c:extLst>
            <c:ext xmlns:c16="http://schemas.microsoft.com/office/drawing/2014/chart" uri="{C3380CC4-5D6E-409C-BE32-E72D297353CC}">
              <c16:uniqueId val="{00000001-EDF5-480F-8E97-D436A3DEB074}"/>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in val="0.15000000000000002"/>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CV of real and nominal wage</a:t>
                </a:r>
                <a:endParaRPr lang="id-ID" altLang="ja-JP"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majorUnit val="5.000000000000001E-2"/>
      </c:valAx>
      <c:spPr>
        <a:noFill/>
        <a:ln>
          <a:noFill/>
        </a:ln>
        <a:effectLst/>
      </c:spPr>
    </c:plotArea>
    <c:legend>
      <c:legendPos val="r"/>
      <c:layout>
        <c:manualLayout>
          <c:xMode val="edge"/>
          <c:yMode val="edge"/>
          <c:x val="0.58232384413486771"/>
          <c:y val="3.3861173257401844E-2"/>
          <c:w val="0.36589272494784308"/>
          <c:h val="0.137880117383851"/>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82806188276999"/>
          <c:y val="6.9861111111111124E-2"/>
          <c:w val="0.75194921078969268"/>
          <c:h val="0.74140534714529505"/>
        </c:manualLayout>
      </c:layout>
      <c:lineChart>
        <c:grouping val="standard"/>
        <c:varyColors val="0"/>
        <c:ser>
          <c:idx val="0"/>
          <c:order val="0"/>
          <c:tx>
            <c:v>CV, China</c:v>
          </c:tx>
          <c:spPr>
            <a:ln w="19050" cap="rnd">
              <a:solidFill>
                <a:schemeClr val="tx1"/>
              </a:solidFill>
              <a:prstDash val="sysDot"/>
              <a:round/>
            </a:ln>
            <a:effectLst/>
          </c:spPr>
          <c:marker>
            <c:symbol val="none"/>
          </c:marker>
          <c:cat>
            <c:strRef>
              <c:f>chn_ind!$P$1:$AA$1</c:f>
              <c:strCache>
                <c:ptCount val="12"/>
                <c:pt idx="0">
                  <c:v>2008</c:v>
                </c:pt>
                <c:pt idx="1">
                  <c:v>2009</c:v>
                </c:pt>
                <c:pt idx="2">
                  <c:v>2010</c:v>
                </c:pt>
                <c:pt idx="3">
                  <c:v>2011</c:v>
                </c:pt>
                <c:pt idx="4">
                  <c:v>2012</c:v>
                </c:pt>
                <c:pt idx="5">
                  <c:v>2013</c:v>
                </c:pt>
                <c:pt idx="6">
                  <c:v>2014</c:v>
                </c:pt>
                <c:pt idx="7">
                  <c:v>2015</c:v>
                </c:pt>
                <c:pt idx="8">
                  <c:v>2016</c:v>
                </c:pt>
                <c:pt idx="9">
                  <c:v>2017</c:v>
                </c:pt>
                <c:pt idx="10">
                  <c:v>2018</c:v>
                </c:pt>
                <c:pt idx="11">
                  <c:v>2019</c:v>
                </c:pt>
              </c:strCache>
            </c:strRef>
          </c:cat>
          <c:val>
            <c:numRef>
              <c:f>chn_ind!$P$297:$AA$297</c:f>
              <c:numCache>
                <c:formatCode>General</c:formatCode>
                <c:ptCount val="12"/>
                <c:pt idx="0">
                  <c:v>0.2769531885672411</c:v>
                </c:pt>
                <c:pt idx="1">
                  <c:v>0.2566622150213439</c:v>
                </c:pt>
                <c:pt idx="2">
                  <c:v>0.23775397673151683</c:v>
                </c:pt>
                <c:pt idx="3">
                  <c:v>0.23121770775700889</c:v>
                </c:pt>
                <c:pt idx="4">
                  <c:v>0.21026324708756888</c:v>
                </c:pt>
                <c:pt idx="5">
                  <c:v>0.20718684071877999</c:v>
                </c:pt>
                <c:pt idx="6">
                  <c:v>0.20465072799662651</c:v>
                </c:pt>
                <c:pt idx="7">
                  <c:v>0.19903435011282999</c:v>
                </c:pt>
                <c:pt idx="8">
                  <c:v>0.19897137048879693</c:v>
                </c:pt>
                <c:pt idx="9">
                  <c:v>0.19563665938043109</c:v>
                </c:pt>
                <c:pt idx="10">
                  <c:v>0.1980469056193386</c:v>
                </c:pt>
                <c:pt idx="11">
                  <c:v>0.18575726898503905</c:v>
                </c:pt>
              </c:numCache>
            </c:numRef>
          </c:val>
          <c:smooth val="0"/>
          <c:extLst>
            <c:ext xmlns:c16="http://schemas.microsoft.com/office/drawing/2014/chart" uri="{C3380CC4-5D6E-409C-BE32-E72D297353CC}">
              <c16:uniqueId val="{00000000-44C0-425F-8732-3078FD2B9EE7}"/>
            </c:ext>
          </c:extLst>
        </c:ser>
        <c:ser>
          <c:idx val="1"/>
          <c:order val="1"/>
          <c:tx>
            <c:v>CV, India</c:v>
          </c:tx>
          <c:spPr>
            <a:ln w="19050" cap="rnd">
              <a:solidFill>
                <a:schemeClr val="tx1"/>
              </a:solidFill>
              <a:prstDash val="dashDot"/>
              <a:round/>
            </a:ln>
            <a:effectLst/>
          </c:spPr>
          <c:marker>
            <c:symbol val="none"/>
          </c:marker>
          <c:val>
            <c:numRef>
              <c:f>chn_ind!$P$330:$Z$330</c:f>
              <c:numCache>
                <c:formatCode>General</c:formatCode>
                <c:ptCount val="11"/>
                <c:pt idx="0">
                  <c:v>0.28613643388228316</c:v>
                </c:pt>
                <c:pt idx="1">
                  <c:v>0.34611868092021958</c:v>
                </c:pt>
                <c:pt idx="2">
                  <c:v>0.28194821181415791</c:v>
                </c:pt>
                <c:pt idx="3">
                  <c:v>0.25153361421951953</c:v>
                </c:pt>
                <c:pt idx="4">
                  <c:v>0.20621149538577113</c:v>
                </c:pt>
                <c:pt idx="5">
                  <c:v>0.23198128309719304</c:v>
                </c:pt>
                <c:pt idx="6">
                  <c:v>0.20645057963993677</c:v>
                </c:pt>
                <c:pt idx="7">
                  <c:v>0.20596489533782178</c:v>
                </c:pt>
                <c:pt idx="8">
                  <c:v>0.21450695373660986</c:v>
                </c:pt>
                <c:pt idx="9">
                  <c:v>0.21334144693810153</c:v>
                </c:pt>
                <c:pt idx="10">
                  <c:v>0.21687979694896639</c:v>
                </c:pt>
              </c:numCache>
            </c:numRef>
          </c:val>
          <c:smooth val="0"/>
          <c:extLst>
            <c:ext xmlns:c16="http://schemas.microsoft.com/office/drawing/2014/chart" uri="{C3380CC4-5D6E-409C-BE32-E72D297353CC}">
              <c16:uniqueId val="{00000001-44C0-425F-8732-3078FD2B9EE7}"/>
            </c:ext>
          </c:extLst>
        </c:ser>
        <c:dLbls>
          <c:showLegendKey val="0"/>
          <c:showVal val="0"/>
          <c:showCatName val="0"/>
          <c:showSerName val="0"/>
          <c:showPercent val="0"/>
          <c:showBubbleSize val="0"/>
        </c:dLbls>
        <c:smooth val="0"/>
        <c:axId val="857655200"/>
        <c:axId val="891624496"/>
      </c:lineChart>
      <c:catAx>
        <c:axId val="85765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891624496"/>
        <c:crosses val="autoZero"/>
        <c:auto val="1"/>
        <c:lblAlgn val="ctr"/>
        <c:lblOffset val="100"/>
        <c:noMultiLvlLbl val="0"/>
      </c:catAx>
      <c:valAx>
        <c:axId val="891624496"/>
        <c:scaling>
          <c:orientation val="minMax"/>
          <c:max val="0.35000000000000003"/>
          <c:min val="0.15000000000000002"/>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CV, nominal wage</a:t>
                </a:r>
                <a:endParaRPr lang="id-ID" altLang="ja-JP"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857655200"/>
        <c:crosses val="autoZero"/>
        <c:crossBetween val="between"/>
      </c:valAx>
      <c:spPr>
        <a:noFill/>
        <a:ln>
          <a:noFill/>
        </a:ln>
        <a:effectLst/>
      </c:spPr>
    </c:plotArea>
    <c:legend>
      <c:legendPos val="r"/>
      <c:layout>
        <c:manualLayout>
          <c:xMode val="edge"/>
          <c:yMode val="edge"/>
          <c:x val="0.50775957012342099"/>
          <c:y val="3.2893211484319715E-2"/>
          <c:w val="0.44323039866930214"/>
          <c:h val="0.1557790457837129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0AA0-4840-432F-8E38-6F3A2F33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18952</Words>
  <Characters>108028</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72</cp:revision>
  <cp:lastPrinted>2021-11-06T15:00:00Z</cp:lastPrinted>
  <dcterms:created xsi:type="dcterms:W3CDTF">2021-11-18T10:53:00Z</dcterms:created>
  <dcterms:modified xsi:type="dcterms:W3CDTF">2021-11-26T14:07:00Z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id="lIAdNg34"/&gt;&lt;style id="http://www.zotero.org/styles/apa" locale="en-US" hasBibliography="1" bibliographyStyleHasBeenSet="1"/&gt;&lt;prefs&gt;&lt;pref name="fieldType" value="Field"/&gt;&lt;/prefs&gt;&lt;/data&gt;</vt:lpwstr>
  </property>
</Properties>
</file>