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rFonts w:ascii="Times New Roman" w:hAnsi="Times New Roman" w:eastAsia="Times New Roman"/>
          <w:b/>
          <w:sz w:val="28"/>
        </w:rPr>
        <w:t>ΚΕΦΑΛΑΙΟ 5 – ΕΡΕΥΝΗΤΙΚΟ ΜΕΡΟΣ</w:t>
      </w:r>
    </w:p>
    <w:p>
      <w:pPr>
        <w:pStyle w:val="Heading2"/>
      </w:pPr>
      <w:r>
        <w:rPr>
          <w:rFonts w:ascii="Times New Roman" w:hAnsi="Times New Roman" w:eastAsia="Times New Roman"/>
          <w:b/>
          <w:sz w:val="24"/>
        </w:rPr>
        <w:t>5.1 Σκοπός και Μεθοδολογική Προσέγγιση</w:t>
      </w:r>
    </w:p>
    <w:p>
      <w:pPr>
        <w:spacing w:line="360" w:lineRule="auto" w:after="120"/>
        <w:jc w:val="both"/>
      </w:pPr>
      <w:r>
        <w:rPr>
          <w:rFonts w:ascii="Times New Roman" w:hAnsi="Times New Roman" w:eastAsia="Times New Roman"/>
          <w:b w:val="0"/>
          <w:i w:val="0"/>
          <w:sz w:val="24"/>
        </w:rPr>
        <w:t>Η παρούσα μελέτη σχεδιάστηκε με στόχο την καταγραφή του επιπέδου γνώσεων, της στάσης και της συμμετοχής των κατοίκων του Δήμου Μαραθώνος σε θέματα διαχείρισης απορριμμάτων και κυκλικής οικονομίας. Επιδίωξή της είναι ο εντοπισμός ελλείψεων στην ενημέρωση και ενεργοποίηση των πολιτών, ώστε να βελτιωθεί η αποτελεσματικότητα των δημοτικών περιβαλλοντικών δράσεων.</w:t>
      </w:r>
    </w:p>
    <w:p>
      <w:pPr>
        <w:pStyle w:val="Heading3"/>
      </w:pPr>
      <w:r>
        <w:rPr>
          <w:rFonts w:ascii="Times New Roman" w:hAnsi="Times New Roman" w:eastAsia="Times New Roman"/>
          <w:b/>
          <w:sz w:val="22"/>
        </w:rPr>
        <w:t>5.1.1 Μέθοδος Συλλογής Δεδομένων</w:t>
      </w:r>
    </w:p>
    <w:p>
      <w:pPr>
        <w:spacing w:line="360" w:lineRule="auto" w:after="120"/>
        <w:jc w:val="both"/>
      </w:pPr>
      <w:r>
        <w:rPr>
          <w:rFonts w:ascii="Times New Roman" w:hAnsi="Times New Roman" w:eastAsia="Times New Roman"/>
          <w:b w:val="0"/>
          <w:i w:val="0"/>
          <w:sz w:val="24"/>
        </w:rPr>
        <w:t>Ως μέθοδος συλλογής δεδομένων χρησιμοποιήθηκε δομημένο ερωτηματολόγιο, βασισμένο στο θεωρητικό πλαίσιο της έρευνας. Το ερωτηματολόγιο διανεμήθηκε διαδικτυακά μέσω Google Forms σε κατοίκους του Δήμου και περιλάμβανε 25 ερωτήσεις με συνολικά 59 υπο-ερωτήματα, σχετικές με την περιβαλλοντική ευαισθητοποίηση και τη σωστή διαχείριση στερεών αποβλήτων, σύμφωνα με τις αρχές της κυκλικής οικονομίας.</w:t>
      </w:r>
    </w:p>
    <w:p>
      <w:pPr>
        <w:pStyle w:val="Heading3"/>
      </w:pPr>
      <w:r>
        <w:rPr>
          <w:rFonts w:ascii="Times New Roman" w:hAnsi="Times New Roman" w:eastAsia="Times New Roman"/>
          <w:b/>
          <w:sz w:val="22"/>
        </w:rPr>
        <w:t>5.1.2 Δείγμα Έρευνας</w:t>
      </w:r>
    </w:p>
    <w:p>
      <w:pPr>
        <w:spacing w:line="360" w:lineRule="auto" w:after="120"/>
        <w:jc w:val="both"/>
      </w:pPr>
      <w:r>
        <w:rPr>
          <w:rFonts w:ascii="Times New Roman" w:hAnsi="Times New Roman" w:eastAsia="Times New Roman"/>
          <w:b w:val="0"/>
          <w:i w:val="0"/>
          <w:sz w:val="24"/>
        </w:rPr>
        <w:t xml:space="preserve">Συλλέχθηκαν συνολικά </w:t>
      </w:r>
      <w:r>
        <w:rPr>
          <w:rFonts w:ascii="Times New Roman" w:hAnsi="Times New Roman" w:eastAsia="Times New Roman"/>
          <w:b/>
          <w:i w:val="0"/>
          <w:sz w:val="24"/>
        </w:rPr>
        <w:t>43 έγκυρα ερωτηματολόγια</w:t>
      </w:r>
      <w:r>
        <w:rPr>
          <w:rFonts w:ascii="Times New Roman" w:hAnsi="Times New Roman" w:eastAsia="Times New Roman"/>
          <w:b w:val="0"/>
          <w:i w:val="0"/>
          <w:sz w:val="24"/>
        </w:rPr>
        <w:t xml:space="preserve"> από κατοίκους του Δήμου Μαραθώνα κατά την περίοδο [Χρονική Περίοδος]. Το δείγμα, αν και περιορισμένο σε μέγεθος, παρέχει σημαντικές ενδείξεις για τις στάσεις και τις πρακτικές των πολιτών σχετικά με την ανακύκλωση και την κυκλική οικονομία.</w:t>
      </w:r>
    </w:p>
    <w:p>
      <w:pPr>
        <w:pStyle w:val="Heading3"/>
      </w:pPr>
      <w:r>
        <w:rPr>
          <w:rFonts w:ascii="Times New Roman" w:hAnsi="Times New Roman" w:eastAsia="Times New Roman"/>
          <w:b/>
          <w:sz w:val="22"/>
        </w:rPr>
        <w:t>5.1.3 Δομή Ερωτηματολογίου</w:t>
      </w:r>
    </w:p>
    <w:p>
      <w:pPr>
        <w:spacing w:line="360" w:lineRule="auto" w:after="120"/>
        <w:jc w:val="both"/>
      </w:pPr>
      <w:r>
        <w:rPr>
          <w:rFonts w:ascii="Times New Roman" w:hAnsi="Times New Roman" w:eastAsia="Times New Roman"/>
          <w:b w:val="0"/>
          <w:i w:val="0"/>
          <w:sz w:val="24"/>
        </w:rPr>
        <w:t>Το ερωτηματολόγιο οργανώθηκε σε έξι θεματικές ενότητες:</w:t>
      </w:r>
    </w:p>
    <w:p>
      <w:pPr>
        <w:spacing w:line="360" w:lineRule="auto" w:after="120"/>
        <w:jc w:val="both"/>
      </w:pPr>
      <w:r>
        <w:rPr>
          <w:rFonts w:ascii="Times New Roman" w:hAnsi="Times New Roman" w:eastAsia="Times New Roman"/>
          <w:b w:val="0"/>
          <w:i w:val="0"/>
          <w:sz w:val="24"/>
        </w:rPr>
        <w:t>1. Δημογραφικά χαρακτηριστικά (ηλικία, φύλο, εκπαίδευση)</w:t>
      </w:r>
    </w:p>
    <w:p>
      <w:pPr>
        <w:spacing w:line="360" w:lineRule="auto" w:after="120"/>
        <w:jc w:val="both"/>
      </w:pPr>
      <w:r>
        <w:rPr>
          <w:rFonts w:ascii="Times New Roman" w:hAnsi="Times New Roman" w:eastAsia="Times New Roman"/>
          <w:b w:val="0"/>
          <w:i w:val="0"/>
          <w:sz w:val="24"/>
        </w:rPr>
        <w:t>2. Γνώση και πρακτικές ανακύκλωσης</w:t>
      </w:r>
    </w:p>
    <w:p>
      <w:pPr>
        <w:spacing w:line="360" w:lineRule="auto" w:after="120"/>
        <w:jc w:val="both"/>
      </w:pPr>
      <w:r>
        <w:rPr>
          <w:rFonts w:ascii="Times New Roman" w:hAnsi="Times New Roman" w:eastAsia="Times New Roman"/>
          <w:b w:val="0"/>
          <w:i w:val="0"/>
          <w:sz w:val="24"/>
        </w:rPr>
        <w:t>3. Αξιολόγηση υπηρεσιών Δήμου</w:t>
      </w:r>
    </w:p>
    <w:p>
      <w:pPr>
        <w:spacing w:line="360" w:lineRule="auto" w:after="120"/>
        <w:jc w:val="both"/>
      </w:pPr>
      <w:r>
        <w:rPr>
          <w:rFonts w:ascii="Times New Roman" w:hAnsi="Times New Roman" w:eastAsia="Times New Roman"/>
          <w:b w:val="0"/>
          <w:i w:val="0"/>
          <w:sz w:val="24"/>
        </w:rPr>
        <w:t>4. Γνώση δράσεων Δήμου Μαραθώνα</w:t>
      </w:r>
    </w:p>
    <w:p>
      <w:pPr>
        <w:spacing w:line="360" w:lineRule="auto" w:after="120"/>
        <w:jc w:val="both"/>
      </w:pPr>
      <w:r>
        <w:rPr>
          <w:rFonts w:ascii="Times New Roman" w:hAnsi="Times New Roman" w:eastAsia="Times New Roman"/>
          <w:b w:val="0"/>
          <w:i w:val="0"/>
          <w:sz w:val="24"/>
        </w:rPr>
        <w:t>5. Γνώση εννοιών κυκλικής οικονομίας</w:t>
      </w:r>
    </w:p>
    <w:p>
      <w:pPr>
        <w:spacing w:line="360" w:lineRule="auto" w:after="120"/>
        <w:jc w:val="both"/>
      </w:pPr>
      <w:r>
        <w:rPr>
          <w:rFonts w:ascii="Times New Roman" w:hAnsi="Times New Roman" w:eastAsia="Times New Roman"/>
          <w:b w:val="0"/>
          <w:i w:val="0"/>
          <w:sz w:val="24"/>
        </w:rPr>
        <w:t>6. Πρακτικές πολιτών για την κυκλική οικονομία</w:t>
      </w:r>
    </w:p>
    <w:p>
      <w:pPr>
        <w:pStyle w:val="Heading2"/>
      </w:pPr>
      <w:r>
        <w:rPr>
          <w:rFonts w:ascii="Times New Roman" w:hAnsi="Times New Roman" w:eastAsia="Times New Roman"/>
          <w:b/>
          <w:sz w:val="24"/>
        </w:rPr>
        <w:t>5.2 Δημογραφικά Χαρακτηριστικά Δείγματος</w:t>
      </w:r>
    </w:p>
    <w:p>
      <w:pPr>
        <w:pStyle w:val="Heading3"/>
      </w:pPr>
      <w:r>
        <w:rPr>
          <w:rFonts w:ascii="Times New Roman" w:hAnsi="Times New Roman" w:eastAsia="Times New Roman"/>
          <w:b/>
          <w:sz w:val="22"/>
        </w:rPr>
        <w:t>5.2.1 Ηλικιακή Κατανομή</w:t>
      </w:r>
    </w:p>
    <w:p>
      <w:pPr>
        <w:spacing w:line="360" w:lineRule="auto" w:after="120"/>
        <w:jc w:val="both"/>
      </w:pPr>
      <w:r>
        <w:rPr>
          <w:rFonts w:ascii="Times New Roman" w:hAnsi="Times New Roman" w:eastAsia="Times New Roman"/>
          <w:b w:val="0"/>
          <w:i w:val="0"/>
          <w:sz w:val="24"/>
        </w:rPr>
        <w:t>Η ηλικιακή κατανομή του δείγματος παρουσιάζεται στον Πίνακα 5.1:</w:t>
      </w:r>
    </w:p>
    <w:p>
      <w:pPr>
        <w:spacing w:line="360" w:lineRule="auto" w:after="120"/>
        <w:jc w:val="both"/>
      </w:pPr>
      <w:r>
        <w:rPr>
          <w:rFonts w:ascii="Times New Roman" w:hAnsi="Times New Roman" w:eastAsia="Times New Roman"/>
          <w:b/>
          <w:i w:val="0"/>
          <w:sz w:val="24"/>
        </w:rPr>
        <w:t>Πίνακας 5.1: Κατανομή Ερωτηθέντων κατά Ηλικιακή Ομάδα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Ηλικιακή Ομάδα</w:t>
            </w:r>
          </w:p>
        </w:tc>
        <w:tc>
          <w:tcPr>
            <w:tcW w:type="dxa" w:w="2880"/>
          </w:tcPr>
          <w:p>
            <w:r>
              <w:rPr>
                <w:b/>
                <w:sz w:val="22"/>
              </w:rPr>
              <w:t>Συχνότητα</w:t>
            </w:r>
          </w:p>
        </w:tc>
        <w:tc>
          <w:tcPr>
            <w:tcW w:type="dxa" w:w="2880"/>
          </w:tcPr>
          <w:p>
            <w:r>
              <w:rPr>
                <w:b/>
                <w:sz w:val="22"/>
              </w:rPr>
              <w:t>Ποσοστό (%)</w:t>
            </w:r>
          </w:p>
        </w:tc>
      </w:tr>
      <w:tr>
        <w:tc>
          <w:tcPr>
            <w:tcW w:type="dxa" w:w="2880"/>
          </w:tcPr>
          <w:p>
            <w:r>
              <w:t>16-20</w:t>
            </w:r>
          </w:p>
        </w:tc>
        <w:tc>
          <w:tcPr>
            <w:tcW w:type="dxa" w:w="2880"/>
          </w:tcPr>
          <w:p>
            <w:r>
              <w:t>1</w:t>
            </w:r>
          </w:p>
        </w:tc>
        <w:tc>
          <w:tcPr>
            <w:tcW w:type="dxa" w:w="2880"/>
          </w:tcPr>
          <w:p>
            <w:r>
              <w:t>2.3%</w:t>
            </w:r>
          </w:p>
        </w:tc>
      </w:tr>
      <w:tr>
        <w:tc>
          <w:tcPr>
            <w:tcW w:type="dxa" w:w="2880"/>
          </w:tcPr>
          <w:p>
            <w:r>
              <w:t>21-26</w:t>
            </w:r>
          </w:p>
        </w:tc>
        <w:tc>
          <w:tcPr>
            <w:tcW w:type="dxa" w:w="2880"/>
          </w:tcPr>
          <w:p>
            <w:r>
              <w:t>4</w:t>
            </w:r>
          </w:p>
        </w:tc>
        <w:tc>
          <w:tcPr>
            <w:tcW w:type="dxa" w:w="2880"/>
          </w:tcPr>
          <w:p>
            <w:r>
              <w:t>9.3%</w:t>
            </w:r>
          </w:p>
        </w:tc>
      </w:tr>
      <w:tr>
        <w:tc>
          <w:tcPr>
            <w:tcW w:type="dxa" w:w="2880"/>
          </w:tcPr>
          <w:p>
            <w:r>
              <w:t>35-38</w:t>
            </w:r>
          </w:p>
        </w:tc>
        <w:tc>
          <w:tcPr>
            <w:tcW w:type="dxa" w:w="2880"/>
          </w:tcPr>
          <w:p>
            <w:r>
              <w:t>3</w:t>
            </w:r>
          </w:p>
        </w:tc>
        <w:tc>
          <w:tcPr>
            <w:tcW w:type="dxa" w:w="2880"/>
          </w:tcPr>
          <w:p>
            <w:r>
              <w:t>7.0%</w:t>
            </w:r>
          </w:p>
        </w:tc>
      </w:tr>
      <w:tr>
        <w:tc>
          <w:tcPr>
            <w:tcW w:type="dxa" w:w="2880"/>
          </w:tcPr>
          <w:p>
            <w:r>
              <w:t>39-42</w:t>
            </w:r>
          </w:p>
        </w:tc>
        <w:tc>
          <w:tcPr>
            <w:tcW w:type="dxa" w:w="2880"/>
          </w:tcPr>
          <w:p>
            <w:r>
              <w:t>1</w:t>
            </w:r>
          </w:p>
        </w:tc>
        <w:tc>
          <w:tcPr>
            <w:tcW w:type="dxa" w:w="2880"/>
          </w:tcPr>
          <w:p>
            <w:r>
              <w:t>2.3%</w:t>
            </w:r>
          </w:p>
        </w:tc>
      </w:tr>
      <w:tr>
        <w:tc>
          <w:tcPr>
            <w:tcW w:type="dxa" w:w="2880"/>
          </w:tcPr>
          <w:p>
            <w:r>
              <w:t>43-46</w:t>
            </w:r>
          </w:p>
        </w:tc>
        <w:tc>
          <w:tcPr>
            <w:tcW w:type="dxa" w:w="2880"/>
          </w:tcPr>
          <w:p>
            <w:r>
              <w:t>2</w:t>
            </w:r>
          </w:p>
        </w:tc>
        <w:tc>
          <w:tcPr>
            <w:tcW w:type="dxa" w:w="2880"/>
          </w:tcPr>
          <w:p>
            <w:r>
              <w:t>4.7%</w:t>
            </w:r>
          </w:p>
        </w:tc>
      </w:tr>
      <w:tr>
        <w:tc>
          <w:tcPr>
            <w:tcW w:type="dxa" w:w="2880"/>
          </w:tcPr>
          <w:p>
            <w:r>
              <w:t>47-54</w:t>
            </w:r>
          </w:p>
        </w:tc>
        <w:tc>
          <w:tcPr>
            <w:tcW w:type="dxa" w:w="2880"/>
          </w:tcPr>
          <w:p>
            <w:r>
              <w:t>11</w:t>
            </w:r>
          </w:p>
        </w:tc>
        <w:tc>
          <w:tcPr>
            <w:tcW w:type="dxa" w:w="2880"/>
          </w:tcPr>
          <w:p>
            <w:r>
              <w:t>25.6%</w:t>
            </w:r>
          </w:p>
        </w:tc>
      </w:tr>
      <w:tr>
        <w:tc>
          <w:tcPr>
            <w:tcW w:type="dxa" w:w="2880"/>
          </w:tcPr>
          <w:p>
            <w:r>
              <w:t>55-70</w:t>
            </w:r>
          </w:p>
        </w:tc>
        <w:tc>
          <w:tcPr>
            <w:tcW w:type="dxa" w:w="2880"/>
          </w:tcPr>
          <w:p>
            <w:r>
              <w:t>21</w:t>
            </w:r>
          </w:p>
        </w:tc>
        <w:tc>
          <w:tcPr>
            <w:tcW w:type="dxa" w:w="2880"/>
          </w:tcPr>
          <w:p>
            <w:r>
              <w:t>48.8%</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Παρατηρείται ότι η πλειονότητα των συμμετεχόντων (48.8%) ανήκει στην ηλικιακή ομάδα 55-70 ετών, ενώ σημαντικό ποσοστό (25.6%) εντάσσεται στην ομάδα 47-54 ετών. Συνολικά, το 74.4% του δείγματος είναι άνω των 47 ετών, γεγονός που υποδηλώνει μεγαλύτερη ανταπόκριση από ενήλικες και άτομα μεγαλύτερης ηλικίας.</w:t>
      </w:r>
    </w:p>
    <w:p>
      <w:pPr>
        <w:pStyle w:val="Heading3"/>
      </w:pPr>
      <w:r>
        <w:rPr>
          <w:rFonts w:ascii="Times New Roman" w:hAnsi="Times New Roman" w:eastAsia="Times New Roman"/>
          <w:b/>
          <w:sz w:val="22"/>
        </w:rPr>
        <w:t>5.2.2 Κατανομή κατά Φύλο</w:t>
      </w:r>
    </w:p>
    <w:p>
      <w:pPr>
        <w:spacing w:line="360" w:lineRule="auto" w:after="120"/>
        <w:jc w:val="both"/>
      </w:pPr>
      <w:r>
        <w:rPr>
          <w:rFonts w:ascii="Times New Roman" w:hAnsi="Times New Roman" w:eastAsia="Times New Roman"/>
          <w:b/>
          <w:i w:val="0"/>
          <w:sz w:val="24"/>
        </w:rPr>
        <w:t>Πίνακας 5.2: Κατανομή Ερωτηθέντων κατά Φύλο</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Φύλο</w:t>
            </w:r>
          </w:p>
        </w:tc>
        <w:tc>
          <w:tcPr>
            <w:tcW w:type="dxa" w:w="2880"/>
          </w:tcPr>
          <w:p>
            <w:r>
              <w:rPr>
                <w:b/>
                <w:sz w:val="22"/>
              </w:rPr>
              <w:t>Συχνότητα</w:t>
            </w:r>
          </w:p>
        </w:tc>
        <w:tc>
          <w:tcPr>
            <w:tcW w:type="dxa" w:w="2880"/>
          </w:tcPr>
          <w:p>
            <w:r>
              <w:rPr>
                <w:b/>
                <w:sz w:val="22"/>
              </w:rPr>
              <w:t>Ποσοστό (%)</w:t>
            </w:r>
          </w:p>
        </w:tc>
      </w:tr>
      <w:tr>
        <w:tc>
          <w:tcPr>
            <w:tcW w:type="dxa" w:w="2880"/>
          </w:tcPr>
          <w:p>
            <w:r>
              <w:t>Θηλυκό</w:t>
            </w:r>
          </w:p>
        </w:tc>
        <w:tc>
          <w:tcPr>
            <w:tcW w:type="dxa" w:w="2880"/>
          </w:tcPr>
          <w:p>
            <w:r>
              <w:t>31</w:t>
            </w:r>
          </w:p>
        </w:tc>
        <w:tc>
          <w:tcPr>
            <w:tcW w:type="dxa" w:w="2880"/>
          </w:tcPr>
          <w:p>
            <w:r>
              <w:t>72.1%</w:t>
            </w:r>
          </w:p>
        </w:tc>
      </w:tr>
      <w:tr>
        <w:tc>
          <w:tcPr>
            <w:tcW w:type="dxa" w:w="2880"/>
          </w:tcPr>
          <w:p>
            <w:r>
              <w:t>Αρσενικό</w:t>
            </w:r>
          </w:p>
        </w:tc>
        <w:tc>
          <w:tcPr>
            <w:tcW w:type="dxa" w:w="2880"/>
          </w:tcPr>
          <w:p>
            <w:r>
              <w:t>12</w:t>
            </w:r>
          </w:p>
        </w:tc>
        <w:tc>
          <w:tcPr>
            <w:tcW w:type="dxa" w:w="2880"/>
          </w:tcPr>
          <w:p>
            <w:r>
              <w:t>27.9%</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δείγμα χαρακτηρίζεται από σημαντική υπερεκπροσώπηση του γυναικείου φύλου (72.1%), ενώ οι άνδρες αποτελούν το 27.9% των ερωτηθέντων.</w:t>
      </w:r>
    </w:p>
    <w:p>
      <w:pPr>
        <w:pStyle w:val="Heading3"/>
      </w:pPr>
      <w:r>
        <w:rPr>
          <w:rFonts w:ascii="Times New Roman" w:hAnsi="Times New Roman" w:eastAsia="Times New Roman"/>
          <w:b/>
          <w:sz w:val="22"/>
        </w:rPr>
        <w:t>5.2.3 Επίπεδο Εκπαίδευσης</w:t>
      </w:r>
    </w:p>
    <w:p>
      <w:pPr>
        <w:spacing w:line="360" w:lineRule="auto" w:after="120"/>
        <w:jc w:val="both"/>
      </w:pPr>
      <w:r>
        <w:rPr>
          <w:rFonts w:ascii="Times New Roman" w:hAnsi="Times New Roman" w:eastAsia="Times New Roman"/>
          <w:b/>
          <w:i w:val="0"/>
          <w:sz w:val="24"/>
        </w:rPr>
        <w:t>Πίνακας 5.3: Κατανομή Ερωτηθέντων κατά Επίπεδο Εκπαίδευσης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Επίπεδο Εκπαίδευσης</w:t>
            </w:r>
          </w:p>
        </w:tc>
        <w:tc>
          <w:tcPr>
            <w:tcW w:type="dxa" w:w="2880"/>
          </w:tcPr>
          <w:p>
            <w:r>
              <w:rPr>
                <w:b/>
                <w:sz w:val="22"/>
              </w:rPr>
              <w:t>Συχνότητα</w:t>
            </w:r>
          </w:p>
        </w:tc>
        <w:tc>
          <w:tcPr>
            <w:tcW w:type="dxa" w:w="2880"/>
          </w:tcPr>
          <w:p>
            <w:r>
              <w:rPr>
                <w:b/>
                <w:sz w:val="22"/>
              </w:rPr>
              <w:t>Ποσοστό (%)</w:t>
            </w:r>
          </w:p>
        </w:tc>
      </w:tr>
      <w:tr>
        <w:tc>
          <w:tcPr>
            <w:tcW w:type="dxa" w:w="2880"/>
          </w:tcPr>
          <w:p>
            <w:r>
              <w:t>Μεταπτυχιακές Σπουδές</w:t>
            </w:r>
          </w:p>
        </w:tc>
        <w:tc>
          <w:tcPr>
            <w:tcW w:type="dxa" w:w="2880"/>
          </w:tcPr>
          <w:p>
            <w:r>
              <w:t>21</w:t>
            </w:r>
          </w:p>
        </w:tc>
        <w:tc>
          <w:tcPr>
            <w:tcW w:type="dxa" w:w="2880"/>
          </w:tcPr>
          <w:p>
            <w:r>
              <w:t>48.8%</w:t>
            </w:r>
          </w:p>
        </w:tc>
      </w:tr>
      <w:tr>
        <w:tc>
          <w:tcPr>
            <w:tcW w:type="dxa" w:w="2880"/>
          </w:tcPr>
          <w:p>
            <w:r>
              <w:t>Απόφοιτος ΑΕΙ/ΤΕΙ</w:t>
            </w:r>
          </w:p>
        </w:tc>
        <w:tc>
          <w:tcPr>
            <w:tcW w:type="dxa" w:w="2880"/>
          </w:tcPr>
          <w:p>
            <w:r>
              <w:t>16</w:t>
            </w:r>
          </w:p>
        </w:tc>
        <w:tc>
          <w:tcPr>
            <w:tcW w:type="dxa" w:w="2880"/>
          </w:tcPr>
          <w:p>
            <w:r>
              <w:t>37.2%</w:t>
            </w:r>
          </w:p>
        </w:tc>
      </w:tr>
      <w:tr>
        <w:tc>
          <w:tcPr>
            <w:tcW w:type="dxa" w:w="2880"/>
          </w:tcPr>
          <w:p>
            <w:r>
              <w:t>Απόφοιτος Λυκείου</w:t>
            </w:r>
          </w:p>
        </w:tc>
        <w:tc>
          <w:tcPr>
            <w:tcW w:type="dxa" w:w="2880"/>
          </w:tcPr>
          <w:p>
            <w:r>
              <w:t>6</w:t>
            </w:r>
          </w:p>
        </w:tc>
        <w:tc>
          <w:tcPr>
            <w:tcW w:type="dxa" w:w="2880"/>
          </w:tcPr>
          <w:p>
            <w:r>
              <w:t>14.0%</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εκπαιδευτικό επίπεδο του δείγματος είναι ιδιαίτερα υψηλό: το 48.8% των ερωτηθέντων κατέχει μεταπτυχιακό τίτλο σπουδών, ενώ το 37.2% είναι απόφοιτοι ΑΕΙ/ΤΕΙ. Συνολικά, το 86% του δείγματος διαθέτει πανεπιστημιακή εκπαίδευση, γεγονός που ενδέχεται να επηρεάζει θετικά τη γνώση και την ευαισθητοποίηση σε περιβαλλοντικά θέματα.</w:t>
      </w:r>
    </w:p>
    <w:p>
      <w:pPr>
        <w:spacing w:line="360" w:lineRule="auto" w:after="120"/>
        <w:jc w:val="both"/>
      </w:pPr>
      <w:r>
        <w:rPr>
          <w:rFonts w:ascii="Times New Roman" w:hAnsi="Times New Roman" w:eastAsia="Times New Roman"/>
          <w:b w:val="0"/>
          <w:i/>
          <w:sz w:val="24"/>
        </w:rPr>
        <w:t>(Βλ. Διάγραμμα 5.1: Δημογραφικά Χαρακτηριστικά στο Παράρτημα)</w:t>
      </w:r>
    </w:p>
    <w:p>
      <w:pPr>
        <w:pStyle w:val="Heading2"/>
      </w:pPr>
      <w:r>
        <w:rPr>
          <w:rFonts w:ascii="Times New Roman" w:hAnsi="Times New Roman" w:eastAsia="Times New Roman"/>
          <w:b/>
          <w:sz w:val="24"/>
        </w:rPr>
        <w:t>5.3 Αποτελέσματα Έρευνας</w:t>
      </w:r>
    </w:p>
    <w:p>
      <w:pPr>
        <w:pStyle w:val="Heading3"/>
      </w:pPr>
      <w:r>
        <w:rPr>
          <w:rFonts w:ascii="Times New Roman" w:hAnsi="Times New Roman" w:eastAsia="Times New Roman"/>
          <w:b/>
          <w:sz w:val="22"/>
        </w:rPr>
        <w:t>5.3.1 Γνώση και Πρακτικές Ανακύκλωσης</w:t>
      </w:r>
    </w:p>
    <w:p>
      <w:pPr>
        <w:pStyle w:val="Heading4"/>
      </w:pPr>
      <w:r>
        <w:rPr>
          <w:rFonts w:ascii="Times New Roman" w:hAnsi="Times New Roman" w:eastAsia="Times New Roman"/>
          <w:b/>
          <w:sz w:val="22"/>
        </w:rPr>
        <w:t>5.3.1.1 Γνώση για Ανακύκλωση στην Πόλη</w:t>
      </w:r>
    </w:p>
    <w:p>
      <w:pPr>
        <w:spacing w:line="360" w:lineRule="auto" w:after="120"/>
        <w:jc w:val="both"/>
      </w:pPr>
      <w:r>
        <w:rPr>
          <w:rFonts w:ascii="Times New Roman" w:hAnsi="Times New Roman" w:eastAsia="Times New Roman"/>
          <w:b/>
          <w:i w:val="0"/>
          <w:sz w:val="24"/>
        </w:rPr>
        <w:t>Πίνακας 5.4: Γνωρίζετε εάν γίνεται ανακύκλωση στην πόλη σας;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Απάντηση</w:t>
            </w:r>
          </w:p>
        </w:tc>
        <w:tc>
          <w:tcPr>
            <w:tcW w:type="dxa" w:w="2880"/>
          </w:tcPr>
          <w:p>
            <w:r>
              <w:rPr>
                <w:b/>
                <w:sz w:val="22"/>
              </w:rPr>
              <w:t>Συχνότητα</w:t>
            </w:r>
          </w:p>
        </w:tc>
        <w:tc>
          <w:tcPr>
            <w:tcW w:type="dxa" w:w="2880"/>
          </w:tcPr>
          <w:p>
            <w:r>
              <w:rPr>
                <w:b/>
                <w:sz w:val="22"/>
              </w:rPr>
              <w:t>Ποσοστό (%)</w:t>
            </w:r>
          </w:p>
        </w:tc>
      </w:tr>
      <w:tr>
        <w:tc>
          <w:tcPr>
            <w:tcW w:type="dxa" w:w="2880"/>
          </w:tcPr>
          <w:p>
            <w:r>
              <w:t>ΝΑΙ</w:t>
            </w:r>
          </w:p>
        </w:tc>
        <w:tc>
          <w:tcPr>
            <w:tcW w:type="dxa" w:w="2880"/>
          </w:tcPr>
          <w:p>
            <w:r>
              <w:t>39</w:t>
            </w:r>
          </w:p>
        </w:tc>
        <w:tc>
          <w:tcPr>
            <w:tcW w:type="dxa" w:w="2880"/>
          </w:tcPr>
          <w:p>
            <w:r>
              <w:t>90.7%</w:t>
            </w:r>
          </w:p>
        </w:tc>
      </w:tr>
      <w:tr>
        <w:tc>
          <w:tcPr>
            <w:tcW w:type="dxa" w:w="2880"/>
          </w:tcPr>
          <w:p>
            <w:r>
              <w:t>ΟΧΙ</w:t>
            </w:r>
          </w:p>
        </w:tc>
        <w:tc>
          <w:tcPr>
            <w:tcW w:type="dxa" w:w="2880"/>
          </w:tcPr>
          <w:p>
            <w:r>
              <w:t>4</w:t>
            </w:r>
          </w:p>
        </w:tc>
        <w:tc>
          <w:tcPr>
            <w:tcW w:type="dxa" w:w="2880"/>
          </w:tcPr>
          <w:p>
            <w:r>
              <w:t>9.3%</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Το </w:t>
      </w:r>
      <w:r>
        <w:rPr>
          <w:rFonts w:ascii="Times New Roman" w:hAnsi="Times New Roman" w:eastAsia="Times New Roman"/>
          <w:b/>
          <w:i w:val="0"/>
          <w:sz w:val="24"/>
        </w:rPr>
        <w:t>90.7%</w:t>
      </w:r>
      <w:r>
        <w:rPr>
          <w:rFonts w:ascii="Times New Roman" w:hAnsi="Times New Roman" w:eastAsia="Times New Roman"/>
          <w:b w:val="0"/>
          <w:i w:val="0"/>
          <w:sz w:val="24"/>
        </w:rPr>
        <w:t xml:space="preserve"> των ερωτηθέντων δηλώνει ότι γνωρίζει για την ύπαρξη προγραμμάτων ανακύκλωσης στην πόλη τους. Το υψηλό αυτό ποσοστό υποδηλώνει επαρκή βασική ενημέρωση των πολιτών σχετικά με την ανακύκλωση.</w:t>
      </w:r>
    </w:p>
    <w:p>
      <w:pPr>
        <w:pStyle w:val="Heading4"/>
      </w:pPr>
      <w:r>
        <w:rPr>
          <w:rFonts w:ascii="Times New Roman" w:hAnsi="Times New Roman" w:eastAsia="Times New Roman"/>
          <w:b/>
          <w:sz w:val="22"/>
        </w:rPr>
        <w:t>5.3.1.2 Υλικά που Ανακυκλώνονται</w:t>
      </w:r>
    </w:p>
    <w:p>
      <w:pPr>
        <w:spacing w:line="360" w:lineRule="auto" w:after="120"/>
        <w:jc w:val="both"/>
      </w:pPr>
      <w:r>
        <w:rPr>
          <w:rFonts w:ascii="Times New Roman" w:hAnsi="Times New Roman" w:eastAsia="Times New Roman"/>
          <w:b/>
          <w:i w:val="0"/>
          <w:sz w:val="24"/>
        </w:rPr>
        <w:t>Πίνακας 5.5: Τι ανακυκλώνετε περισσότερο; (n=40)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Υλικό</w:t>
            </w:r>
          </w:p>
        </w:tc>
        <w:tc>
          <w:tcPr>
            <w:tcW w:type="dxa" w:w="2880"/>
          </w:tcPr>
          <w:p>
            <w:r>
              <w:rPr>
                <w:b/>
                <w:sz w:val="22"/>
              </w:rPr>
              <w:t>Συχνότητα</w:t>
            </w:r>
          </w:p>
        </w:tc>
        <w:tc>
          <w:tcPr>
            <w:tcW w:type="dxa" w:w="2880"/>
          </w:tcPr>
          <w:p>
            <w:r>
              <w:rPr>
                <w:b/>
                <w:sz w:val="22"/>
              </w:rPr>
              <w:t>Ποσοστό (%)</w:t>
            </w:r>
          </w:p>
        </w:tc>
      </w:tr>
      <w:tr>
        <w:tc>
          <w:tcPr>
            <w:tcW w:type="dxa" w:w="2880"/>
          </w:tcPr>
          <w:p>
            <w:r>
              <w:t>Πλαστικά</w:t>
            </w:r>
          </w:p>
        </w:tc>
        <w:tc>
          <w:tcPr>
            <w:tcW w:type="dxa" w:w="2880"/>
          </w:tcPr>
          <w:p>
            <w:r>
              <w:t>31</w:t>
            </w:r>
          </w:p>
        </w:tc>
        <w:tc>
          <w:tcPr>
            <w:tcW w:type="dxa" w:w="2880"/>
          </w:tcPr>
          <w:p>
            <w:r>
              <w:t>77.5%</w:t>
            </w:r>
          </w:p>
        </w:tc>
      </w:tr>
      <w:tr>
        <w:tc>
          <w:tcPr>
            <w:tcW w:type="dxa" w:w="2880"/>
          </w:tcPr>
          <w:p>
            <w:r>
              <w:t>Αλουμίνια</w:t>
            </w:r>
          </w:p>
        </w:tc>
        <w:tc>
          <w:tcPr>
            <w:tcW w:type="dxa" w:w="2880"/>
          </w:tcPr>
          <w:p>
            <w:r>
              <w:t>3</w:t>
            </w:r>
          </w:p>
        </w:tc>
        <w:tc>
          <w:tcPr>
            <w:tcW w:type="dxa" w:w="2880"/>
          </w:tcPr>
          <w:p>
            <w:r>
              <w:t>7.5%</w:t>
            </w:r>
          </w:p>
        </w:tc>
      </w:tr>
      <w:tr>
        <w:tc>
          <w:tcPr>
            <w:tcW w:type="dxa" w:w="2880"/>
          </w:tcPr>
          <w:p>
            <w:r>
              <w:t>Γυάλινα μπουκάλια</w:t>
            </w:r>
          </w:p>
        </w:tc>
        <w:tc>
          <w:tcPr>
            <w:tcW w:type="dxa" w:w="2880"/>
          </w:tcPr>
          <w:p>
            <w:r>
              <w:t>3</w:t>
            </w:r>
          </w:p>
        </w:tc>
        <w:tc>
          <w:tcPr>
            <w:tcW w:type="dxa" w:w="2880"/>
          </w:tcPr>
          <w:p>
            <w:r>
              <w:t>7.5%</w:t>
            </w:r>
          </w:p>
        </w:tc>
      </w:tr>
      <w:tr>
        <w:tc>
          <w:tcPr>
            <w:tcW w:type="dxa" w:w="2880"/>
          </w:tcPr>
          <w:p>
            <w:r>
              <w:t>Κομποστοποίηση</w:t>
            </w:r>
          </w:p>
        </w:tc>
        <w:tc>
          <w:tcPr>
            <w:tcW w:type="dxa" w:w="2880"/>
          </w:tcPr>
          <w:p>
            <w:r>
              <w:t>1</w:t>
            </w:r>
          </w:p>
        </w:tc>
        <w:tc>
          <w:tcPr>
            <w:tcW w:type="dxa" w:w="2880"/>
          </w:tcPr>
          <w:p>
            <w:r>
              <w:t>2.5%</w:t>
            </w:r>
          </w:p>
        </w:tc>
      </w:tr>
      <w:tr>
        <w:tc>
          <w:tcPr>
            <w:tcW w:type="dxa" w:w="2880"/>
          </w:tcPr>
          <w:p>
            <w:r>
              <w:t>Εφημερίδες</w:t>
            </w:r>
          </w:p>
        </w:tc>
        <w:tc>
          <w:tcPr>
            <w:tcW w:type="dxa" w:w="2880"/>
          </w:tcPr>
          <w:p>
            <w:r>
              <w:t>1</w:t>
            </w:r>
          </w:p>
        </w:tc>
        <w:tc>
          <w:tcPr>
            <w:tcW w:type="dxa" w:w="2880"/>
          </w:tcPr>
          <w:p>
            <w:r>
              <w:t>2.5%</w:t>
            </w:r>
          </w:p>
        </w:tc>
      </w:tr>
      <w:tr>
        <w:tc>
          <w:tcPr>
            <w:tcW w:type="dxa" w:w="2880"/>
          </w:tcPr>
          <w:p>
            <w:r>
              <w:t>Ρουχισμός-Υπόδηση</w:t>
            </w:r>
          </w:p>
        </w:tc>
        <w:tc>
          <w:tcPr>
            <w:tcW w:type="dxa" w:w="2880"/>
          </w:tcPr>
          <w:p>
            <w:r>
              <w:t>1</w:t>
            </w:r>
          </w:p>
        </w:tc>
        <w:tc>
          <w:tcPr>
            <w:tcW w:type="dxa" w:w="2880"/>
          </w:tcPr>
          <w:p>
            <w:r>
              <w:t>2.5%</w:t>
            </w:r>
          </w:p>
        </w:tc>
      </w:tr>
      <w:tr>
        <w:tc>
          <w:tcPr>
            <w:tcW w:type="dxa" w:w="2880"/>
          </w:tcPr>
          <w:p>
            <w:r>
              <w:t>**Σύνολο**</w:t>
            </w:r>
          </w:p>
        </w:tc>
        <w:tc>
          <w:tcPr>
            <w:tcW w:type="dxa" w:w="2880"/>
          </w:tcPr>
          <w:p>
            <w:r>
              <w:t>**40**</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Τα </w:t>
      </w:r>
      <w:r>
        <w:rPr>
          <w:rFonts w:ascii="Times New Roman" w:hAnsi="Times New Roman" w:eastAsia="Times New Roman"/>
          <w:b/>
          <w:i w:val="0"/>
          <w:sz w:val="24"/>
        </w:rPr>
        <w:t>πλαστικά</w:t>
      </w:r>
      <w:r>
        <w:rPr>
          <w:rFonts w:ascii="Times New Roman" w:hAnsi="Times New Roman" w:eastAsia="Times New Roman"/>
          <w:b w:val="0"/>
          <w:i w:val="0"/>
          <w:sz w:val="24"/>
        </w:rPr>
        <w:t xml:space="preserve"> αποτελούν το κυρίαρχο υλικό που ανακυκλώνουν οι πολίτες (77.5%), γεγονός που συνάδει με την ευρεία χρήση πλαστικών συσκευασιών στην καθημερινή ζωή. Άλλα υλικά, όπως αλουμίνια και γυαλί, συγκεντρώνουν πολύ χαμηλότερα ποσοστά.</w:t>
      </w:r>
    </w:p>
    <w:p>
      <w:pPr>
        <w:pStyle w:val="Heading4"/>
      </w:pPr>
      <w:r>
        <w:rPr>
          <w:rFonts w:ascii="Times New Roman" w:hAnsi="Times New Roman" w:eastAsia="Times New Roman"/>
          <w:b/>
          <w:sz w:val="22"/>
        </w:rPr>
        <w:t>5.3.1.3 Εβδομαδιαία Ποσότητα Ανακυκλώσιμων</w:t>
      </w:r>
    </w:p>
    <w:p>
      <w:pPr>
        <w:spacing w:line="360" w:lineRule="auto" w:after="120"/>
        <w:jc w:val="both"/>
      </w:pPr>
      <w:r>
        <w:rPr>
          <w:rFonts w:ascii="Times New Roman" w:hAnsi="Times New Roman" w:eastAsia="Times New Roman"/>
          <w:b/>
          <w:i w:val="0"/>
          <w:sz w:val="24"/>
        </w:rPr>
        <w:t>Πίνακας 5.6: Ποσότητα Ανακυκλώσιμων Απορριμμάτων ανά Εβδομάδα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Ποσότητα</w:t>
            </w:r>
          </w:p>
        </w:tc>
        <w:tc>
          <w:tcPr>
            <w:tcW w:type="dxa" w:w="2880"/>
          </w:tcPr>
          <w:p>
            <w:r>
              <w:rPr>
                <w:b/>
                <w:sz w:val="22"/>
              </w:rPr>
              <w:t>Συχνότητα</w:t>
            </w:r>
          </w:p>
        </w:tc>
        <w:tc>
          <w:tcPr>
            <w:tcW w:type="dxa" w:w="2880"/>
          </w:tcPr>
          <w:p>
            <w:r>
              <w:rPr>
                <w:b/>
                <w:sz w:val="22"/>
              </w:rPr>
              <w:t>Ποσοστό (%)</w:t>
            </w:r>
          </w:p>
        </w:tc>
      </w:tr>
      <w:tr>
        <w:tc>
          <w:tcPr>
            <w:tcW w:type="dxa" w:w="2880"/>
          </w:tcPr>
          <w:p>
            <w:r>
              <w:t>Μία μαύρη σακούλα (50 λίτρων)</w:t>
            </w:r>
          </w:p>
        </w:tc>
        <w:tc>
          <w:tcPr>
            <w:tcW w:type="dxa" w:w="2880"/>
          </w:tcPr>
          <w:p>
            <w:r>
              <w:t>23</w:t>
            </w:r>
          </w:p>
        </w:tc>
        <w:tc>
          <w:tcPr>
            <w:tcW w:type="dxa" w:w="2880"/>
          </w:tcPr>
          <w:p>
            <w:r>
              <w:t>53.5%</w:t>
            </w:r>
          </w:p>
        </w:tc>
      </w:tr>
      <w:tr>
        <w:tc>
          <w:tcPr>
            <w:tcW w:type="dxa" w:w="2880"/>
          </w:tcPr>
          <w:p>
            <w:r>
              <w:t>Λιγότερο από 1 μαύρη σακούλα (50 λίτρων)</w:t>
            </w:r>
          </w:p>
        </w:tc>
        <w:tc>
          <w:tcPr>
            <w:tcW w:type="dxa" w:w="2880"/>
          </w:tcPr>
          <w:p>
            <w:r>
              <w:t>12</w:t>
            </w:r>
          </w:p>
        </w:tc>
        <w:tc>
          <w:tcPr>
            <w:tcW w:type="dxa" w:w="2880"/>
          </w:tcPr>
          <w:p>
            <w:r>
              <w:t>27.9%</w:t>
            </w:r>
          </w:p>
        </w:tc>
      </w:tr>
      <w:tr>
        <w:tc>
          <w:tcPr>
            <w:tcW w:type="dxa" w:w="2880"/>
          </w:tcPr>
          <w:p>
            <w:r>
              <w:t>Πολλές μαύρες σακούλες (50 λίτρων η καθεμία)</w:t>
            </w:r>
          </w:p>
        </w:tc>
        <w:tc>
          <w:tcPr>
            <w:tcW w:type="dxa" w:w="2880"/>
          </w:tcPr>
          <w:p>
            <w:r>
              <w:t>8</w:t>
            </w:r>
          </w:p>
        </w:tc>
        <w:tc>
          <w:tcPr>
            <w:tcW w:type="dxa" w:w="2880"/>
          </w:tcPr>
          <w:p>
            <w:r>
              <w:t>18.6%</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Η πλειονότητα των νοικοκυριών (53.5%) παράγει περίπου μία σακούλα ανακυκλώσιμων υλικών εβδομαδιαίως, ενώ το 18.6% παράγει πολλαπλές σακούλες, υποδηλώνοντας υψηλότερα επίπεδα κατανάλωσης ή/και μεγαλύτερο μέγεθος νοικοκυριού.</w:t>
      </w:r>
    </w:p>
    <w:p>
      <w:pPr>
        <w:spacing w:line="360" w:lineRule="auto" w:after="120"/>
        <w:jc w:val="both"/>
      </w:pPr>
      <w:r>
        <w:rPr>
          <w:rFonts w:ascii="Times New Roman" w:hAnsi="Times New Roman" w:eastAsia="Times New Roman"/>
          <w:b w:val="0"/>
          <w:i/>
          <w:sz w:val="24"/>
        </w:rPr>
        <w:t>(Βλ. Διάγραμμα 5.2: Γνώση και Πρακτικές Ανακύκλωσης στο Παράρτημα)</w:t>
      </w:r>
    </w:p>
    <w:p>
      <w:pPr>
        <w:pStyle w:val="Heading3"/>
      </w:pPr>
      <w:r>
        <w:rPr>
          <w:rFonts w:ascii="Times New Roman" w:hAnsi="Times New Roman" w:eastAsia="Times New Roman"/>
          <w:b/>
          <w:sz w:val="22"/>
        </w:rPr>
        <w:t>5.3.2 Αξιολόγηση Υπηρεσιών Δήμου</w:t>
      </w:r>
    </w:p>
    <w:p>
      <w:pPr>
        <w:pStyle w:val="Heading4"/>
      </w:pPr>
      <w:r>
        <w:rPr>
          <w:rFonts w:ascii="Times New Roman" w:hAnsi="Times New Roman" w:eastAsia="Times New Roman"/>
          <w:b/>
          <w:sz w:val="22"/>
        </w:rPr>
        <w:t>5.3.2.1 Ανάγκη για Περισσότερους Κάδους</w:t>
      </w:r>
    </w:p>
    <w:p>
      <w:pPr>
        <w:spacing w:line="360" w:lineRule="auto" w:after="120"/>
        <w:jc w:val="both"/>
      </w:pPr>
      <w:r>
        <w:rPr>
          <w:rFonts w:ascii="Times New Roman" w:hAnsi="Times New Roman" w:eastAsia="Times New Roman"/>
          <w:b/>
          <w:i w:val="0"/>
          <w:sz w:val="24"/>
        </w:rPr>
        <w:t>Πίνακας 5.7: Πιστεύετε ότι χρειάζονται περισσότεροι κάδοι ανακύκλωσης;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Απάντηση</w:t>
            </w:r>
          </w:p>
        </w:tc>
        <w:tc>
          <w:tcPr>
            <w:tcW w:type="dxa" w:w="2880"/>
          </w:tcPr>
          <w:p>
            <w:r>
              <w:rPr>
                <w:b/>
                <w:sz w:val="22"/>
              </w:rPr>
              <w:t>Συχνότητα</w:t>
            </w:r>
          </w:p>
        </w:tc>
        <w:tc>
          <w:tcPr>
            <w:tcW w:type="dxa" w:w="2880"/>
          </w:tcPr>
          <w:p>
            <w:r>
              <w:rPr>
                <w:b/>
                <w:sz w:val="22"/>
              </w:rPr>
              <w:t>Ποσοστό (%)</w:t>
            </w:r>
          </w:p>
        </w:tc>
      </w:tr>
      <w:tr>
        <w:tc>
          <w:tcPr>
            <w:tcW w:type="dxa" w:w="2880"/>
          </w:tcPr>
          <w:p>
            <w:r>
              <w:t>ΝΑΙ</w:t>
            </w:r>
          </w:p>
        </w:tc>
        <w:tc>
          <w:tcPr>
            <w:tcW w:type="dxa" w:w="2880"/>
          </w:tcPr>
          <w:p>
            <w:r>
              <w:t>39</w:t>
            </w:r>
          </w:p>
        </w:tc>
        <w:tc>
          <w:tcPr>
            <w:tcW w:type="dxa" w:w="2880"/>
          </w:tcPr>
          <w:p>
            <w:r>
              <w:t>90.7%</w:t>
            </w:r>
          </w:p>
        </w:tc>
      </w:tr>
      <w:tr>
        <w:tc>
          <w:tcPr>
            <w:tcW w:type="dxa" w:w="2880"/>
          </w:tcPr>
          <w:p>
            <w:r>
              <w:t>ΟΧΙ</w:t>
            </w:r>
          </w:p>
        </w:tc>
        <w:tc>
          <w:tcPr>
            <w:tcW w:type="dxa" w:w="2880"/>
          </w:tcPr>
          <w:p>
            <w:r>
              <w:t>4</w:t>
            </w:r>
          </w:p>
        </w:tc>
        <w:tc>
          <w:tcPr>
            <w:tcW w:type="dxa" w:w="2880"/>
          </w:tcPr>
          <w:p>
            <w:r>
              <w:t>9.3%</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Η συντριπτική πλειονότητα (90.7%) των πολιτών θεωρεί ότι απαιτούνται </w:t>
      </w:r>
      <w:r>
        <w:rPr>
          <w:rFonts w:ascii="Times New Roman" w:hAnsi="Times New Roman" w:eastAsia="Times New Roman"/>
          <w:b/>
          <w:i w:val="0"/>
          <w:sz w:val="24"/>
        </w:rPr>
        <w:t>περισσότεροι κάδοι ανακύκλωσης</w:t>
      </w:r>
      <w:r>
        <w:rPr>
          <w:rFonts w:ascii="Times New Roman" w:hAnsi="Times New Roman" w:eastAsia="Times New Roman"/>
          <w:b w:val="0"/>
          <w:i w:val="0"/>
          <w:sz w:val="24"/>
        </w:rPr>
        <w:t xml:space="preserve"> στην περιοχή τους. Αυτό υποδηλώνει ανεπάρκεια στην υφιστάμενη υποδομή και δυσκολία πρόσβασης σε σημεία ανακύκλωσης.</w:t>
      </w:r>
    </w:p>
    <w:p>
      <w:pPr>
        <w:pStyle w:val="Heading4"/>
      </w:pPr>
      <w:r>
        <w:rPr>
          <w:rFonts w:ascii="Times New Roman" w:hAnsi="Times New Roman" w:eastAsia="Times New Roman"/>
          <w:b/>
          <w:sz w:val="22"/>
        </w:rPr>
        <w:t>5.3.2.2 Ικανοποίηση από Συχνότητα Αποκομιδής</w:t>
      </w:r>
    </w:p>
    <w:p>
      <w:pPr>
        <w:spacing w:line="360" w:lineRule="auto" w:after="120"/>
        <w:jc w:val="both"/>
      </w:pPr>
      <w:r>
        <w:rPr>
          <w:rFonts w:ascii="Times New Roman" w:hAnsi="Times New Roman" w:eastAsia="Times New Roman"/>
          <w:b/>
          <w:i w:val="0"/>
          <w:sz w:val="24"/>
        </w:rPr>
        <w:t>Πίνακας 5.8: Ικανοποίηση από τη Συχνότητα Διέλευσης Απορριμματοφόρων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Επίπεδο Ικανοποίησης</w:t>
            </w:r>
          </w:p>
        </w:tc>
        <w:tc>
          <w:tcPr>
            <w:tcW w:type="dxa" w:w="2880"/>
          </w:tcPr>
          <w:p>
            <w:r>
              <w:rPr>
                <w:b/>
                <w:sz w:val="22"/>
              </w:rPr>
              <w:t>Συχνότητα</w:t>
            </w:r>
          </w:p>
        </w:tc>
        <w:tc>
          <w:tcPr>
            <w:tcW w:type="dxa" w:w="2880"/>
          </w:tcPr>
          <w:p>
            <w:r>
              <w:rPr>
                <w:b/>
                <w:sz w:val="22"/>
              </w:rPr>
              <w:t>Ποσοστό (%)</w:t>
            </w:r>
          </w:p>
        </w:tc>
      </w:tr>
      <w:tr>
        <w:tc>
          <w:tcPr>
            <w:tcW w:type="dxa" w:w="2880"/>
          </w:tcPr>
          <w:p>
            <w:r>
              <w:t>ΚΑΘΟΛΟΥ</w:t>
            </w:r>
          </w:p>
        </w:tc>
        <w:tc>
          <w:tcPr>
            <w:tcW w:type="dxa" w:w="2880"/>
          </w:tcPr>
          <w:p>
            <w:r>
              <w:t>12</w:t>
            </w:r>
          </w:p>
        </w:tc>
        <w:tc>
          <w:tcPr>
            <w:tcW w:type="dxa" w:w="2880"/>
          </w:tcPr>
          <w:p>
            <w:r>
              <w:t>27.9%</w:t>
            </w:r>
          </w:p>
        </w:tc>
      </w:tr>
      <w:tr>
        <w:tc>
          <w:tcPr>
            <w:tcW w:type="dxa" w:w="2880"/>
          </w:tcPr>
          <w:p>
            <w:r>
              <w:t>ΛΙΓΟ</w:t>
            </w:r>
          </w:p>
        </w:tc>
        <w:tc>
          <w:tcPr>
            <w:tcW w:type="dxa" w:w="2880"/>
          </w:tcPr>
          <w:p>
            <w:r>
              <w:t>15</w:t>
            </w:r>
          </w:p>
        </w:tc>
        <w:tc>
          <w:tcPr>
            <w:tcW w:type="dxa" w:w="2880"/>
          </w:tcPr>
          <w:p>
            <w:r>
              <w:t>34.9%</w:t>
            </w:r>
          </w:p>
        </w:tc>
      </w:tr>
      <w:tr>
        <w:tc>
          <w:tcPr>
            <w:tcW w:type="dxa" w:w="2880"/>
          </w:tcPr>
          <w:p>
            <w:r>
              <w:t>ΑΡΚΕΤΑ</w:t>
            </w:r>
          </w:p>
        </w:tc>
        <w:tc>
          <w:tcPr>
            <w:tcW w:type="dxa" w:w="2880"/>
          </w:tcPr>
          <w:p>
            <w:r>
              <w:t>11</w:t>
            </w:r>
          </w:p>
        </w:tc>
        <w:tc>
          <w:tcPr>
            <w:tcW w:type="dxa" w:w="2880"/>
          </w:tcPr>
          <w:p>
            <w:r>
              <w:t>25.6%</w:t>
            </w:r>
          </w:p>
        </w:tc>
      </w:tr>
      <w:tr>
        <w:tc>
          <w:tcPr>
            <w:tcW w:type="dxa" w:w="2880"/>
          </w:tcPr>
          <w:p>
            <w:r>
              <w:t>ΠΟΛΥ</w:t>
            </w:r>
          </w:p>
        </w:tc>
        <w:tc>
          <w:tcPr>
            <w:tcW w:type="dxa" w:w="2880"/>
          </w:tcPr>
          <w:p>
            <w:r>
              <w:t>4</w:t>
            </w:r>
          </w:p>
        </w:tc>
        <w:tc>
          <w:tcPr>
            <w:tcW w:type="dxa" w:w="2880"/>
          </w:tcPr>
          <w:p>
            <w:r>
              <w:t>9.3%</w:t>
            </w:r>
          </w:p>
        </w:tc>
      </w:tr>
      <w:tr>
        <w:tc>
          <w:tcPr>
            <w:tcW w:type="dxa" w:w="2880"/>
          </w:tcPr>
          <w:p>
            <w:r>
              <w:t>ΠΑΡΑ ΠΟΛΥ</w:t>
            </w:r>
          </w:p>
        </w:tc>
        <w:tc>
          <w:tcPr>
            <w:tcW w:type="dxa" w:w="2880"/>
          </w:tcPr>
          <w:p>
            <w:r>
              <w:t>1</w:t>
            </w:r>
          </w:p>
        </w:tc>
        <w:tc>
          <w:tcPr>
            <w:tcW w:type="dxa" w:w="2880"/>
          </w:tcPr>
          <w:p>
            <w:r>
              <w:t>2.3%</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62.8% των πολιτών (άθροισμα "ΚΑΘΟΛΟΥ" και "ΛΙΓΟ") δηλώνει χαμηλή ικανοποίηση από τη συχνότητα αποκομιδής. Μόλις το 11.6% εκφράζει υψηλή ικανοποίηση ("ΠΟΛΥ" και "ΠΑΡΑ ΠΟΛΥ").</w:t>
      </w:r>
    </w:p>
    <w:p>
      <w:pPr>
        <w:pStyle w:val="Heading4"/>
      </w:pPr>
      <w:r>
        <w:rPr>
          <w:rFonts w:ascii="Times New Roman" w:hAnsi="Times New Roman" w:eastAsia="Times New Roman"/>
          <w:b/>
          <w:sz w:val="22"/>
        </w:rPr>
        <w:t>5.3.2.3 Επάρκεια Υποστήριξης από το Δήμο</w:t>
      </w:r>
    </w:p>
    <w:p>
      <w:pPr>
        <w:spacing w:line="360" w:lineRule="auto" w:after="120"/>
        <w:jc w:val="both"/>
      </w:pPr>
      <w:r>
        <w:rPr>
          <w:rFonts w:ascii="Times New Roman" w:hAnsi="Times New Roman" w:eastAsia="Times New Roman"/>
          <w:b/>
          <w:i w:val="0"/>
          <w:sz w:val="24"/>
        </w:rPr>
        <w:t>Πίνακας 5.9: Θεωρείτε ότι ο Δήμος παρέχει επαρκή υποστήριξη για την ανακύκλωση; (n=40)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Απάντηση</w:t>
            </w:r>
          </w:p>
        </w:tc>
        <w:tc>
          <w:tcPr>
            <w:tcW w:type="dxa" w:w="2880"/>
          </w:tcPr>
          <w:p>
            <w:r>
              <w:rPr>
                <w:b/>
                <w:sz w:val="22"/>
              </w:rPr>
              <w:t>Συχνότητα</w:t>
            </w:r>
          </w:p>
        </w:tc>
        <w:tc>
          <w:tcPr>
            <w:tcW w:type="dxa" w:w="2880"/>
          </w:tcPr>
          <w:p>
            <w:r>
              <w:rPr>
                <w:b/>
                <w:sz w:val="22"/>
              </w:rPr>
              <w:t>Ποσοστό (%)</w:t>
            </w:r>
          </w:p>
        </w:tc>
      </w:tr>
      <w:tr>
        <w:tc>
          <w:tcPr>
            <w:tcW w:type="dxa" w:w="2880"/>
          </w:tcPr>
          <w:p>
            <w:r>
              <w:t>ΟΧΙ</w:t>
            </w:r>
          </w:p>
        </w:tc>
        <w:tc>
          <w:tcPr>
            <w:tcW w:type="dxa" w:w="2880"/>
          </w:tcPr>
          <w:p>
            <w:r>
              <w:t>30</w:t>
            </w:r>
          </w:p>
        </w:tc>
        <w:tc>
          <w:tcPr>
            <w:tcW w:type="dxa" w:w="2880"/>
          </w:tcPr>
          <w:p>
            <w:r>
              <w:t>75.0%</w:t>
            </w:r>
          </w:p>
        </w:tc>
      </w:tr>
      <w:tr>
        <w:tc>
          <w:tcPr>
            <w:tcW w:type="dxa" w:w="2880"/>
          </w:tcPr>
          <w:p>
            <w:r>
              <w:t>ΝΑΙ</w:t>
            </w:r>
          </w:p>
        </w:tc>
        <w:tc>
          <w:tcPr>
            <w:tcW w:type="dxa" w:w="2880"/>
          </w:tcPr>
          <w:p>
            <w:r>
              <w:t>10</w:t>
            </w:r>
          </w:p>
        </w:tc>
        <w:tc>
          <w:tcPr>
            <w:tcW w:type="dxa" w:w="2880"/>
          </w:tcPr>
          <w:p>
            <w:r>
              <w:t>25.0%</w:t>
            </w:r>
          </w:p>
        </w:tc>
      </w:tr>
      <w:tr>
        <w:tc>
          <w:tcPr>
            <w:tcW w:type="dxa" w:w="2880"/>
          </w:tcPr>
          <w:p>
            <w:r>
              <w:t>**Σύνολο**</w:t>
            </w:r>
          </w:p>
        </w:tc>
        <w:tc>
          <w:tcPr>
            <w:tcW w:type="dxa" w:w="2880"/>
          </w:tcPr>
          <w:p>
            <w:r>
              <w:t>**40**</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Το </w:t>
      </w:r>
      <w:r>
        <w:rPr>
          <w:rFonts w:ascii="Times New Roman" w:hAnsi="Times New Roman" w:eastAsia="Times New Roman"/>
          <w:b/>
          <w:i w:val="0"/>
          <w:sz w:val="24"/>
        </w:rPr>
        <w:t>75%</w:t>
      </w:r>
      <w:r>
        <w:rPr>
          <w:rFonts w:ascii="Times New Roman" w:hAnsi="Times New Roman" w:eastAsia="Times New Roman"/>
          <w:b w:val="0"/>
          <w:i w:val="0"/>
          <w:sz w:val="24"/>
        </w:rPr>
        <w:t xml:space="preserve"> των πολιτών θεωρεί ότι η υποστήριξη από το Δήμο δεν είναι επαρκής. Αυτό αποτελεί σημαντικό εύρημα και υποδηλώνει την ανάγκη για ενίσχυση των δημοτικών πολιτικών και δράσεων σχετικά με την ανακύκλωση.</w:t>
      </w:r>
    </w:p>
    <w:p>
      <w:pPr>
        <w:spacing w:line="360" w:lineRule="auto" w:after="120"/>
        <w:jc w:val="both"/>
      </w:pPr>
      <w:r>
        <w:rPr>
          <w:rFonts w:ascii="Times New Roman" w:hAnsi="Times New Roman" w:eastAsia="Times New Roman"/>
          <w:b w:val="0"/>
          <w:i/>
          <w:sz w:val="24"/>
        </w:rPr>
        <w:t>(Βλ. Διάγραμμα 5.3: Αξιολόγηση Υπηρεσιών Δήμου στο Παράρτημα)</w:t>
      </w:r>
    </w:p>
    <w:p>
      <w:pPr>
        <w:pStyle w:val="Heading3"/>
      </w:pPr>
      <w:r>
        <w:rPr>
          <w:rFonts w:ascii="Times New Roman" w:hAnsi="Times New Roman" w:eastAsia="Times New Roman"/>
          <w:b/>
          <w:sz w:val="22"/>
        </w:rPr>
        <w:t>5.3.3 Γνώση Δράσεων Δήμου Μαραθώνα</w:t>
      </w:r>
    </w:p>
    <w:p>
      <w:pPr>
        <w:spacing w:line="360" w:lineRule="auto" w:after="120"/>
        <w:jc w:val="both"/>
      </w:pPr>
      <w:r>
        <w:rPr>
          <w:rFonts w:ascii="Times New Roman" w:hAnsi="Times New Roman" w:eastAsia="Times New Roman"/>
          <w:b w:val="0"/>
          <w:i w:val="0"/>
          <w:sz w:val="24"/>
        </w:rPr>
        <w:t>Η έρευνα διερεύνησε την επίγνωση των πολιτών σχετικά με τις υπάρχουσες δράσεις ανακύκλωσης του Δήμου σε 10 διαφορετικές κατηγορίες υλικών.</w:t>
      </w:r>
    </w:p>
    <w:p>
      <w:pPr>
        <w:spacing w:line="360" w:lineRule="auto" w:after="120"/>
        <w:jc w:val="both"/>
      </w:pPr>
      <w:r>
        <w:rPr>
          <w:rFonts w:ascii="Times New Roman" w:hAnsi="Times New Roman" w:eastAsia="Times New Roman"/>
          <w:b/>
          <w:i w:val="0"/>
          <w:sz w:val="24"/>
        </w:rPr>
        <w:t>Πίνακας 5.10: Γνώση Δράσεων Ανακύκλωσης του Δήμου Μαραθώνα</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2"/>
              </w:rPr>
              <w:t>Δράση Ανακύκλωσης</w:t>
            </w:r>
          </w:p>
        </w:tc>
        <w:tc>
          <w:tcPr>
            <w:tcW w:type="dxa" w:w="1234"/>
          </w:tcPr>
          <w:p>
            <w:r>
              <w:rPr>
                <w:b/>
                <w:sz w:val="22"/>
              </w:rPr>
              <w:t>ΚΑΘΟΛΟΥ</w:t>
            </w:r>
          </w:p>
        </w:tc>
        <w:tc>
          <w:tcPr>
            <w:tcW w:type="dxa" w:w="1234"/>
          </w:tcPr>
          <w:p>
            <w:r>
              <w:rPr>
                <w:b/>
                <w:sz w:val="22"/>
              </w:rPr>
              <w:t>ΛΙΓΟ</w:t>
            </w:r>
          </w:p>
        </w:tc>
        <w:tc>
          <w:tcPr>
            <w:tcW w:type="dxa" w:w="1234"/>
          </w:tcPr>
          <w:p>
            <w:r>
              <w:rPr>
                <w:b/>
                <w:sz w:val="22"/>
              </w:rPr>
              <w:t>ΑΡΚΕΤΑ</w:t>
            </w:r>
          </w:p>
        </w:tc>
        <w:tc>
          <w:tcPr>
            <w:tcW w:type="dxa" w:w="1234"/>
          </w:tcPr>
          <w:p>
            <w:r>
              <w:rPr>
                <w:b/>
                <w:sz w:val="22"/>
              </w:rPr>
              <w:t>ΠΟΛΥ</w:t>
            </w:r>
          </w:p>
        </w:tc>
        <w:tc>
          <w:tcPr>
            <w:tcW w:type="dxa" w:w="1234"/>
          </w:tcPr>
          <w:p>
            <w:r>
              <w:rPr>
                <w:b/>
                <w:sz w:val="22"/>
              </w:rPr>
              <w:t>ΠΑΡΑ ΠΟΛΥ</w:t>
            </w:r>
          </w:p>
        </w:tc>
        <w:tc>
          <w:tcPr>
            <w:tcW w:type="dxa" w:w="1234"/>
          </w:tcPr>
          <w:p>
            <w:r>
              <w:rPr>
                <w:b/>
                <w:sz w:val="22"/>
              </w:rPr>
              <w:t>Γνωρίζουν* (%)</w:t>
            </w:r>
          </w:p>
        </w:tc>
      </w:tr>
      <w:tr>
        <w:tc>
          <w:tcPr>
            <w:tcW w:type="dxa" w:w="1234"/>
          </w:tcPr>
          <w:p>
            <w:r>
              <w:t>Αυτοκινήτων</w:t>
            </w:r>
          </w:p>
        </w:tc>
        <w:tc>
          <w:tcPr>
            <w:tcW w:type="dxa" w:w="1234"/>
          </w:tcPr>
          <w:p>
            <w:r>
              <w:t>46.5%</w:t>
            </w:r>
          </w:p>
        </w:tc>
        <w:tc>
          <w:tcPr>
            <w:tcW w:type="dxa" w:w="1234"/>
          </w:tcPr>
          <w:p>
            <w:r>
              <w:t>23.3%</w:t>
            </w:r>
          </w:p>
        </w:tc>
        <w:tc>
          <w:tcPr>
            <w:tcW w:type="dxa" w:w="1234"/>
          </w:tcPr>
          <w:p>
            <w:r>
              <w:t>23.3%</w:t>
            </w:r>
          </w:p>
        </w:tc>
        <w:tc>
          <w:tcPr>
            <w:tcW w:type="dxa" w:w="1234"/>
          </w:tcPr>
          <w:p>
            <w:r>
              <w:t>4.7%</w:t>
            </w:r>
          </w:p>
        </w:tc>
        <w:tc>
          <w:tcPr>
            <w:tcW w:type="dxa" w:w="1234"/>
          </w:tcPr>
          <w:p>
            <w:r>
              <w:t>2.3%</w:t>
            </w:r>
          </w:p>
        </w:tc>
        <w:tc>
          <w:tcPr>
            <w:tcW w:type="dxa" w:w="1234"/>
          </w:tcPr>
          <w:p>
            <w:r>
              <w:t>53.5%</w:t>
            </w:r>
          </w:p>
        </w:tc>
      </w:tr>
      <w:tr>
        <w:tc>
          <w:tcPr>
            <w:tcW w:type="dxa" w:w="1234"/>
          </w:tcPr>
          <w:p>
            <w:r>
              <w:t>Ελαστικών</w:t>
            </w:r>
          </w:p>
        </w:tc>
        <w:tc>
          <w:tcPr>
            <w:tcW w:type="dxa" w:w="1234"/>
          </w:tcPr>
          <w:p>
            <w:r>
              <w:t>46.5%</w:t>
            </w:r>
          </w:p>
        </w:tc>
        <w:tc>
          <w:tcPr>
            <w:tcW w:type="dxa" w:w="1234"/>
          </w:tcPr>
          <w:p>
            <w:r>
              <w:t>27.9%</w:t>
            </w:r>
          </w:p>
        </w:tc>
        <w:tc>
          <w:tcPr>
            <w:tcW w:type="dxa" w:w="1234"/>
          </w:tcPr>
          <w:p>
            <w:r>
              <w:t>25.6%</w:t>
            </w:r>
          </w:p>
        </w:tc>
        <w:tc>
          <w:tcPr>
            <w:tcW w:type="dxa" w:w="1234"/>
          </w:tcPr>
          <w:p>
            <w:r>
              <w:t>0%</w:t>
            </w:r>
          </w:p>
        </w:tc>
        <w:tc>
          <w:tcPr>
            <w:tcW w:type="dxa" w:w="1234"/>
          </w:tcPr>
          <w:p>
            <w:r>
              <w:t>0%</w:t>
            </w:r>
          </w:p>
        </w:tc>
        <w:tc>
          <w:tcPr>
            <w:tcW w:type="dxa" w:w="1234"/>
          </w:tcPr>
          <w:p>
            <w:r>
              <w:t>53.5%</w:t>
            </w:r>
          </w:p>
        </w:tc>
      </w:tr>
      <w:tr>
        <w:tc>
          <w:tcPr>
            <w:tcW w:type="dxa" w:w="1234"/>
          </w:tcPr>
          <w:p>
            <w:r>
              <w:t>Ορυκτελαίων</w:t>
            </w:r>
          </w:p>
        </w:tc>
        <w:tc>
          <w:tcPr>
            <w:tcW w:type="dxa" w:w="1234"/>
          </w:tcPr>
          <w:p>
            <w:r>
              <w:t>44.2%</w:t>
            </w:r>
          </w:p>
        </w:tc>
        <w:tc>
          <w:tcPr>
            <w:tcW w:type="dxa" w:w="1234"/>
          </w:tcPr>
          <w:p>
            <w:r>
              <w:t>25.6%</w:t>
            </w:r>
          </w:p>
        </w:tc>
        <w:tc>
          <w:tcPr>
            <w:tcW w:type="dxa" w:w="1234"/>
          </w:tcPr>
          <w:p>
            <w:r>
              <w:t>27.9%</w:t>
            </w:r>
          </w:p>
        </w:tc>
        <w:tc>
          <w:tcPr>
            <w:tcW w:type="dxa" w:w="1234"/>
          </w:tcPr>
          <w:p>
            <w:r>
              <w:t>2.3%</w:t>
            </w:r>
          </w:p>
        </w:tc>
        <w:tc>
          <w:tcPr>
            <w:tcW w:type="dxa" w:w="1234"/>
          </w:tcPr>
          <w:p>
            <w:r>
              <w:t>0%</w:t>
            </w:r>
          </w:p>
        </w:tc>
        <w:tc>
          <w:tcPr>
            <w:tcW w:type="dxa" w:w="1234"/>
          </w:tcPr>
          <w:p>
            <w:r>
              <w:t>55.8%</w:t>
            </w:r>
          </w:p>
        </w:tc>
      </w:tr>
      <w:tr>
        <w:tc>
          <w:tcPr>
            <w:tcW w:type="dxa" w:w="1234"/>
          </w:tcPr>
          <w:p>
            <w:r>
              <w:t>Ενδυμάτων-Υποδημάτων</w:t>
            </w:r>
          </w:p>
        </w:tc>
        <w:tc>
          <w:tcPr>
            <w:tcW w:type="dxa" w:w="1234"/>
          </w:tcPr>
          <w:p>
            <w:r>
              <w:t>14.0%</w:t>
            </w:r>
          </w:p>
        </w:tc>
        <w:tc>
          <w:tcPr>
            <w:tcW w:type="dxa" w:w="1234"/>
          </w:tcPr>
          <w:p>
            <w:r>
              <w:t>25.6%</w:t>
            </w:r>
          </w:p>
        </w:tc>
        <w:tc>
          <w:tcPr>
            <w:tcW w:type="dxa" w:w="1234"/>
          </w:tcPr>
          <w:p>
            <w:r>
              <w:t>32.6%</w:t>
            </w:r>
          </w:p>
        </w:tc>
        <w:tc>
          <w:tcPr>
            <w:tcW w:type="dxa" w:w="1234"/>
          </w:tcPr>
          <w:p>
            <w:r>
              <w:t>20.9%</w:t>
            </w:r>
          </w:p>
        </w:tc>
        <w:tc>
          <w:tcPr>
            <w:tcW w:type="dxa" w:w="1234"/>
          </w:tcPr>
          <w:p>
            <w:r>
              <w:t>7.0%</w:t>
            </w:r>
          </w:p>
        </w:tc>
        <w:tc>
          <w:tcPr>
            <w:tcW w:type="dxa" w:w="1234"/>
          </w:tcPr>
          <w:p>
            <w:r>
              <w:t>86.0%</w:t>
            </w:r>
          </w:p>
        </w:tc>
      </w:tr>
      <w:tr>
        <w:tc>
          <w:tcPr>
            <w:tcW w:type="dxa" w:w="1234"/>
          </w:tcPr>
          <w:p>
            <w:r>
              <w:t>Λαμπτήρων</w:t>
            </w:r>
          </w:p>
        </w:tc>
        <w:tc>
          <w:tcPr>
            <w:tcW w:type="dxa" w:w="1234"/>
          </w:tcPr>
          <w:p>
            <w:r>
              <w:t>23.3%</w:t>
            </w:r>
          </w:p>
        </w:tc>
        <w:tc>
          <w:tcPr>
            <w:tcW w:type="dxa" w:w="1234"/>
          </w:tcPr>
          <w:p>
            <w:r>
              <w:t>18.6%</w:t>
            </w:r>
          </w:p>
        </w:tc>
        <w:tc>
          <w:tcPr>
            <w:tcW w:type="dxa" w:w="1234"/>
          </w:tcPr>
          <w:p>
            <w:r>
              <w:t>37.2%</w:t>
            </w:r>
          </w:p>
        </w:tc>
        <w:tc>
          <w:tcPr>
            <w:tcW w:type="dxa" w:w="1234"/>
          </w:tcPr>
          <w:p>
            <w:r>
              <w:t>14.0%</w:t>
            </w:r>
          </w:p>
        </w:tc>
        <w:tc>
          <w:tcPr>
            <w:tcW w:type="dxa" w:w="1234"/>
          </w:tcPr>
          <w:p>
            <w:r>
              <w:t>7.0%</w:t>
            </w:r>
          </w:p>
        </w:tc>
        <w:tc>
          <w:tcPr>
            <w:tcW w:type="dxa" w:w="1234"/>
          </w:tcPr>
          <w:p>
            <w:r>
              <w:t>76.7%</w:t>
            </w:r>
          </w:p>
        </w:tc>
      </w:tr>
      <w:tr>
        <w:tc>
          <w:tcPr>
            <w:tcW w:type="dxa" w:w="1234"/>
          </w:tcPr>
          <w:p>
            <w:r>
              <w:t>Μαγειρικών Ελαίων</w:t>
            </w:r>
          </w:p>
        </w:tc>
        <w:tc>
          <w:tcPr>
            <w:tcW w:type="dxa" w:w="1234"/>
          </w:tcPr>
          <w:p>
            <w:r>
              <w:t>30.2%</w:t>
            </w:r>
          </w:p>
        </w:tc>
        <w:tc>
          <w:tcPr>
            <w:tcW w:type="dxa" w:w="1234"/>
          </w:tcPr>
          <w:p>
            <w:r>
              <w:t>32.6%</w:t>
            </w:r>
          </w:p>
        </w:tc>
        <w:tc>
          <w:tcPr>
            <w:tcW w:type="dxa" w:w="1234"/>
          </w:tcPr>
          <w:p>
            <w:r>
              <w:t>25.6%</w:t>
            </w:r>
          </w:p>
        </w:tc>
        <w:tc>
          <w:tcPr>
            <w:tcW w:type="dxa" w:w="1234"/>
          </w:tcPr>
          <w:p>
            <w:r>
              <w:t>7.0%</w:t>
            </w:r>
          </w:p>
        </w:tc>
        <w:tc>
          <w:tcPr>
            <w:tcW w:type="dxa" w:w="1234"/>
          </w:tcPr>
          <w:p>
            <w:r>
              <w:t>4.7%</w:t>
            </w:r>
          </w:p>
        </w:tc>
        <w:tc>
          <w:tcPr>
            <w:tcW w:type="dxa" w:w="1234"/>
          </w:tcPr>
          <w:p>
            <w:r>
              <w:t>69.8%</w:t>
            </w:r>
          </w:p>
        </w:tc>
      </w:tr>
      <w:tr>
        <w:tc>
          <w:tcPr>
            <w:tcW w:type="dxa" w:w="1234"/>
          </w:tcPr>
          <w:p>
            <w:r>
              <w:t>Μελανοδοχείων</w:t>
            </w:r>
          </w:p>
        </w:tc>
        <w:tc>
          <w:tcPr>
            <w:tcW w:type="dxa" w:w="1234"/>
          </w:tcPr>
          <w:p>
            <w:r>
              <w:t>46.5%</w:t>
            </w:r>
          </w:p>
        </w:tc>
        <w:tc>
          <w:tcPr>
            <w:tcW w:type="dxa" w:w="1234"/>
          </w:tcPr>
          <w:p>
            <w:r>
              <w:t>30.2%</w:t>
            </w:r>
          </w:p>
        </w:tc>
        <w:tc>
          <w:tcPr>
            <w:tcW w:type="dxa" w:w="1234"/>
          </w:tcPr>
          <w:p>
            <w:r>
              <w:t>23.3%</w:t>
            </w:r>
          </w:p>
        </w:tc>
        <w:tc>
          <w:tcPr>
            <w:tcW w:type="dxa" w:w="1234"/>
          </w:tcPr>
          <w:p>
            <w:r>
              <w:t>0%</w:t>
            </w:r>
          </w:p>
        </w:tc>
        <w:tc>
          <w:tcPr>
            <w:tcW w:type="dxa" w:w="1234"/>
          </w:tcPr>
          <w:p>
            <w:r>
              <w:t>0%</w:t>
            </w:r>
          </w:p>
        </w:tc>
        <w:tc>
          <w:tcPr>
            <w:tcW w:type="dxa" w:w="1234"/>
          </w:tcPr>
          <w:p>
            <w:r>
              <w:t>53.5%</w:t>
            </w:r>
          </w:p>
        </w:tc>
      </w:tr>
      <w:tr>
        <w:tc>
          <w:tcPr>
            <w:tcW w:type="dxa" w:w="1234"/>
          </w:tcPr>
          <w:p>
            <w:r>
              <w:t>Μπαταριών</w:t>
            </w:r>
          </w:p>
        </w:tc>
        <w:tc>
          <w:tcPr>
            <w:tcW w:type="dxa" w:w="1234"/>
          </w:tcPr>
          <w:p>
            <w:r>
              <w:t>20.9%</w:t>
            </w:r>
          </w:p>
        </w:tc>
        <w:tc>
          <w:tcPr>
            <w:tcW w:type="dxa" w:w="1234"/>
          </w:tcPr>
          <w:p>
            <w:r>
              <w:t>14.0%</w:t>
            </w:r>
          </w:p>
        </w:tc>
        <w:tc>
          <w:tcPr>
            <w:tcW w:type="dxa" w:w="1234"/>
          </w:tcPr>
          <w:p>
            <w:r>
              <w:t>41.9%</w:t>
            </w:r>
          </w:p>
        </w:tc>
        <w:tc>
          <w:tcPr>
            <w:tcW w:type="dxa" w:w="1234"/>
          </w:tcPr>
          <w:p>
            <w:r>
              <w:t>16.3%</w:t>
            </w:r>
          </w:p>
        </w:tc>
        <w:tc>
          <w:tcPr>
            <w:tcW w:type="dxa" w:w="1234"/>
          </w:tcPr>
          <w:p>
            <w:r>
              <w:t>7.0%</w:t>
            </w:r>
          </w:p>
        </w:tc>
        <w:tc>
          <w:tcPr>
            <w:tcW w:type="dxa" w:w="1234"/>
          </w:tcPr>
          <w:p>
            <w:r>
              <w:t>79.1%</w:t>
            </w:r>
          </w:p>
        </w:tc>
      </w:tr>
      <w:tr>
        <w:tc>
          <w:tcPr>
            <w:tcW w:type="dxa" w:w="1234"/>
          </w:tcPr>
          <w:p>
            <w:r>
              <w:t>Συσκευασιών-Ηλεκτρ.Ειδών</w:t>
            </w:r>
          </w:p>
        </w:tc>
        <w:tc>
          <w:tcPr>
            <w:tcW w:type="dxa" w:w="1234"/>
          </w:tcPr>
          <w:p>
            <w:r>
              <w:t>23.3%</w:t>
            </w:r>
          </w:p>
        </w:tc>
        <w:tc>
          <w:tcPr>
            <w:tcW w:type="dxa" w:w="1234"/>
          </w:tcPr>
          <w:p>
            <w:r>
              <w:t>14.0%</w:t>
            </w:r>
          </w:p>
        </w:tc>
        <w:tc>
          <w:tcPr>
            <w:tcW w:type="dxa" w:w="1234"/>
          </w:tcPr>
          <w:p>
            <w:r>
              <w:t>37.2%</w:t>
            </w:r>
          </w:p>
        </w:tc>
        <w:tc>
          <w:tcPr>
            <w:tcW w:type="dxa" w:w="1234"/>
          </w:tcPr>
          <w:p>
            <w:r>
              <w:t>18.6%</w:t>
            </w:r>
          </w:p>
        </w:tc>
        <w:tc>
          <w:tcPr>
            <w:tcW w:type="dxa" w:w="1234"/>
          </w:tcPr>
          <w:p>
            <w:r>
              <w:t>7.0%</w:t>
            </w:r>
          </w:p>
        </w:tc>
        <w:tc>
          <w:tcPr>
            <w:tcW w:type="dxa" w:w="1234"/>
          </w:tcPr>
          <w:p>
            <w:r>
              <w:t>76.7%</w:t>
            </w:r>
          </w:p>
        </w:tc>
      </w:tr>
      <w:tr>
        <w:tc>
          <w:tcPr>
            <w:tcW w:type="dxa" w:w="1234"/>
          </w:tcPr>
          <w:p>
            <w:r>
              <w:t>Φαρμάκων</w:t>
            </w:r>
          </w:p>
        </w:tc>
        <w:tc>
          <w:tcPr>
            <w:tcW w:type="dxa" w:w="1234"/>
          </w:tcPr>
          <w:p>
            <w:r>
              <w:t>37.2%</w:t>
            </w:r>
          </w:p>
        </w:tc>
        <w:tc>
          <w:tcPr>
            <w:tcW w:type="dxa" w:w="1234"/>
          </w:tcPr>
          <w:p>
            <w:r>
              <w:t>39.5%</w:t>
            </w:r>
          </w:p>
        </w:tc>
        <w:tc>
          <w:tcPr>
            <w:tcW w:type="dxa" w:w="1234"/>
          </w:tcPr>
          <w:p>
            <w:r>
              <w:t>16.3%</w:t>
            </w:r>
          </w:p>
        </w:tc>
        <w:tc>
          <w:tcPr>
            <w:tcW w:type="dxa" w:w="1234"/>
          </w:tcPr>
          <w:p>
            <w:r>
              <w:t>7.0%</w:t>
            </w:r>
          </w:p>
        </w:tc>
        <w:tc>
          <w:tcPr>
            <w:tcW w:type="dxa" w:w="1234"/>
          </w:tcPr>
          <w:p>
            <w:r>
              <w:t>0%</w:t>
            </w:r>
          </w:p>
        </w:tc>
        <w:tc>
          <w:tcPr>
            <w:tcW w:type="dxa" w:w="1234"/>
          </w:tcPr>
          <w:p>
            <w:r>
              <w:t>62.8%</w:t>
            </w:r>
          </w:p>
        </w:tc>
      </w:tr>
    </w:tbl>
    <w:p/>
    <w:p>
      <w:pPr>
        <w:spacing w:line="360" w:lineRule="auto" w:after="120"/>
        <w:jc w:val="both"/>
      </w:pPr>
      <w:r>
        <w:rPr>
          <w:rFonts w:ascii="Times New Roman" w:hAnsi="Times New Roman" w:eastAsia="Times New Roman"/>
          <w:b w:val="0"/>
          <w:i w:val="0"/>
          <w:sz w:val="24"/>
        </w:rPr>
        <w:t>*Ποσοστό πολιτών που δήλωσαν οποιοδήποτε επίπεδο γνώσης εκτός από "ΚΑΘΟΛΟΥ"</w:t>
      </w:r>
    </w:p>
    <w:p>
      <w:pPr>
        <w:spacing w:line="360" w:lineRule="auto" w:after="120"/>
        <w:jc w:val="both"/>
      </w:pPr>
      <w:r>
        <w:rPr>
          <w:rFonts w:ascii="Times New Roman" w:hAnsi="Times New Roman" w:eastAsia="Times New Roman"/>
          <w:b/>
          <w:i w:val="0"/>
          <w:sz w:val="24"/>
        </w:rPr>
        <w:t>Κύρια Ευρήματα:</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Υψηλή γνώση:</w:t>
      </w:r>
      <w:r>
        <w:rPr>
          <w:rFonts w:ascii="Times New Roman" w:hAnsi="Times New Roman" w:eastAsia="Times New Roman"/>
          <w:b w:val="0"/>
          <w:i w:val="0"/>
          <w:sz w:val="24"/>
        </w:rPr>
        <w:t xml:space="preserve"> Ανακύκλωση ενδυμάτων-υποδημάτων (86.0%), μπαταριών (79.1%) και λαμπτήρων (76.7%)</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Χαμηλή γνώση:</w:t>
      </w:r>
      <w:r>
        <w:rPr>
          <w:rFonts w:ascii="Times New Roman" w:hAnsi="Times New Roman" w:eastAsia="Times New Roman"/>
          <w:b w:val="0"/>
          <w:i w:val="0"/>
          <w:sz w:val="24"/>
        </w:rPr>
        <w:t xml:space="preserve"> Ανακύκλωση αυτοκινήτων, ελαστικών και μελανοδοχείων (περίπου 53.5%)</w:t>
      </w:r>
    </w:p>
    <w:p>
      <w:pPr>
        <w:spacing w:line="360" w:lineRule="auto" w:after="120"/>
        <w:jc w:val="both"/>
      </w:pPr>
      <w:r>
        <w:rPr>
          <w:rFonts w:ascii="Times New Roman" w:hAnsi="Times New Roman" w:eastAsia="Times New Roman"/>
          <w:b w:val="0"/>
          <w:i w:val="0"/>
          <w:sz w:val="24"/>
        </w:rPr>
        <w:t xml:space="preserve">3. Η </w:t>
      </w:r>
      <w:r>
        <w:rPr>
          <w:rFonts w:ascii="Times New Roman" w:hAnsi="Times New Roman" w:eastAsia="Times New Roman"/>
          <w:b/>
          <w:i w:val="0"/>
          <w:sz w:val="24"/>
        </w:rPr>
        <w:t>ανακύκλωση φαρμάκων</w:t>
      </w:r>
      <w:r>
        <w:rPr>
          <w:rFonts w:ascii="Times New Roman" w:hAnsi="Times New Roman" w:eastAsia="Times New Roman"/>
          <w:b w:val="0"/>
          <w:i w:val="0"/>
          <w:sz w:val="24"/>
        </w:rPr>
        <w:t xml:space="preserve"> παρουσιάζει ενδιαφέρον εύρημα: το 37.2% δεν γνωρίζει καθόλου για αυτή τη δράση, παρά το γεγονός ότι αποτελεί σημαντική περιβαλλοντική και υγειονομική πρακτική.</w:t>
      </w:r>
    </w:p>
    <w:p>
      <w:pPr>
        <w:spacing w:line="360" w:lineRule="auto" w:after="120"/>
        <w:jc w:val="both"/>
      </w:pPr>
      <w:r>
        <w:rPr>
          <w:rFonts w:ascii="Times New Roman" w:hAnsi="Times New Roman" w:eastAsia="Times New Roman"/>
          <w:b w:val="0"/>
          <w:i/>
          <w:sz w:val="24"/>
        </w:rPr>
        <w:t>(Βλ. Διάγραμμα 5.5: Γνώση Δράσεων Δήμου Μαραθώνα στο Παράρτημα)</w:t>
      </w:r>
    </w:p>
    <w:p>
      <w:pPr>
        <w:pStyle w:val="Heading3"/>
      </w:pPr>
      <w:r>
        <w:rPr>
          <w:rFonts w:ascii="Times New Roman" w:hAnsi="Times New Roman" w:eastAsia="Times New Roman"/>
          <w:b/>
          <w:sz w:val="22"/>
        </w:rPr>
        <w:t>5.3.4 Γνώση Εννοιών Κυκλικής Οικονομίας</w:t>
      </w:r>
    </w:p>
    <w:p>
      <w:pPr>
        <w:spacing w:line="360" w:lineRule="auto" w:after="120"/>
        <w:jc w:val="both"/>
      </w:pPr>
      <w:r>
        <w:rPr>
          <w:rFonts w:ascii="Times New Roman" w:hAnsi="Times New Roman" w:eastAsia="Times New Roman"/>
          <w:b w:val="0"/>
          <w:i w:val="0"/>
          <w:sz w:val="24"/>
        </w:rPr>
        <w:t>Εξετάστηκε το επίπεδο γνώσης των πολιτών σε 8 βασικές έννοιες σχετικές με την κυκλική οικονομία και τη διαχείριση αποβλήτων.</w:t>
      </w:r>
    </w:p>
    <w:p>
      <w:pPr>
        <w:spacing w:line="360" w:lineRule="auto" w:after="120"/>
        <w:jc w:val="both"/>
      </w:pPr>
      <w:r>
        <w:rPr>
          <w:rFonts w:ascii="Times New Roman" w:hAnsi="Times New Roman" w:eastAsia="Times New Roman"/>
          <w:b/>
          <w:i w:val="0"/>
          <w:sz w:val="24"/>
        </w:rPr>
        <w:t>Πίνακας 5.11: Επίπεδο Γνώσης Εννοιών Κυκλικής Οικονομίας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Έννοια</w:t>
            </w:r>
          </w:p>
        </w:tc>
        <w:tc>
          <w:tcPr>
            <w:tcW w:type="dxa" w:w="2880"/>
          </w:tcPr>
          <w:p>
            <w:r>
              <w:rPr>
                <w:b/>
                <w:sz w:val="22"/>
              </w:rPr>
              <w:t>Μέσος Βαθμός Γνώσης (1-5)*</w:t>
            </w:r>
          </w:p>
        </w:tc>
        <w:tc>
          <w:tcPr>
            <w:tcW w:type="dxa" w:w="2880"/>
          </w:tcPr>
          <w:p>
            <w:r>
              <w:rPr>
                <w:b/>
                <w:sz w:val="22"/>
              </w:rPr>
              <w:t>Κατηγοριοποίηση</w:t>
            </w:r>
          </w:p>
        </w:tc>
      </w:tr>
      <w:tr>
        <w:tc>
          <w:tcPr>
            <w:tcW w:type="dxa" w:w="2880"/>
          </w:tcPr>
          <w:p>
            <w:r>
              <w:t>Καύση Απορριμμάτων</w:t>
            </w:r>
          </w:p>
        </w:tc>
        <w:tc>
          <w:tcPr>
            <w:tcW w:type="dxa" w:w="2880"/>
          </w:tcPr>
          <w:p>
            <w:r>
              <w:t>4.48</w:t>
            </w:r>
          </w:p>
        </w:tc>
        <w:tc>
          <w:tcPr>
            <w:tcW w:type="dxa" w:w="2880"/>
          </w:tcPr>
          <w:p>
            <w:r>
              <w:t>Πολύ Υψηλή</w:t>
            </w:r>
          </w:p>
        </w:tc>
      </w:tr>
      <w:tr>
        <w:tc>
          <w:tcPr>
            <w:tcW w:type="dxa" w:w="2880"/>
          </w:tcPr>
          <w:p>
            <w:r>
              <w:t>ΑΠΕ</w:t>
            </w:r>
          </w:p>
        </w:tc>
        <w:tc>
          <w:tcPr>
            <w:tcW w:type="dxa" w:w="2880"/>
          </w:tcPr>
          <w:p>
            <w:r>
              <w:t>3.91</w:t>
            </w:r>
          </w:p>
        </w:tc>
        <w:tc>
          <w:tcPr>
            <w:tcW w:type="dxa" w:w="2880"/>
          </w:tcPr>
          <w:p>
            <w:r>
              <w:t>Υψηλή</w:t>
            </w:r>
          </w:p>
        </w:tc>
      </w:tr>
      <w:tr>
        <w:tc>
          <w:tcPr>
            <w:tcW w:type="dxa" w:w="2880"/>
          </w:tcPr>
          <w:p>
            <w:r>
              <w:t>Βιώσιμη Ανάπτυξη</w:t>
            </w:r>
          </w:p>
        </w:tc>
        <w:tc>
          <w:tcPr>
            <w:tcW w:type="dxa" w:w="2880"/>
          </w:tcPr>
          <w:p>
            <w:r>
              <w:t>3.79</w:t>
            </w:r>
          </w:p>
        </w:tc>
        <w:tc>
          <w:tcPr>
            <w:tcW w:type="dxa" w:w="2880"/>
          </w:tcPr>
          <w:p>
            <w:r>
              <w:t>Υψηλή</w:t>
            </w:r>
          </w:p>
        </w:tc>
      </w:tr>
      <w:tr>
        <w:tc>
          <w:tcPr>
            <w:tcW w:type="dxa" w:w="2880"/>
          </w:tcPr>
          <w:p>
            <w:r>
              <w:t>Κυκλική Οικονομία</w:t>
            </w:r>
          </w:p>
        </w:tc>
        <w:tc>
          <w:tcPr>
            <w:tcW w:type="dxa" w:w="2880"/>
          </w:tcPr>
          <w:p>
            <w:r>
              <w:t>3.72</w:t>
            </w:r>
          </w:p>
        </w:tc>
        <w:tc>
          <w:tcPr>
            <w:tcW w:type="dxa" w:w="2880"/>
          </w:tcPr>
          <w:p>
            <w:r>
              <w:t>Υψηλή</w:t>
            </w:r>
          </w:p>
        </w:tc>
      </w:tr>
      <w:tr>
        <w:tc>
          <w:tcPr>
            <w:tcW w:type="dxa" w:w="2880"/>
          </w:tcPr>
          <w:p>
            <w:r>
              <w:t>ΧΥΤΑ</w:t>
            </w:r>
          </w:p>
        </w:tc>
        <w:tc>
          <w:tcPr>
            <w:tcW w:type="dxa" w:w="2880"/>
          </w:tcPr>
          <w:p>
            <w:r>
              <w:t>3.67</w:t>
            </w:r>
          </w:p>
        </w:tc>
        <w:tc>
          <w:tcPr>
            <w:tcW w:type="dxa" w:w="2880"/>
          </w:tcPr>
          <w:p>
            <w:r>
              <w:t>Μέτρια-Υψηλή</w:t>
            </w:r>
          </w:p>
        </w:tc>
      </w:tr>
      <w:tr>
        <w:tc>
          <w:tcPr>
            <w:tcW w:type="dxa" w:w="2880"/>
          </w:tcPr>
          <w:p>
            <w:r>
              <w:t>Έξυπνη Πόλη</w:t>
            </w:r>
          </w:p>
        </w:tc>
        <w:tc>
          <w:tcPr>
            <w:tcW w:type="dxa" w:w="2880"/>
          </w:tcPr>
          <w:p>
            <w:r>
              <w:t>3.65</w:t>
            </w:r>
          </w:p>
        </w:tc>
        <w:tc>
          <w:tcPr>
            <w:tcW w:type="dxa" w:w="2880"/>
          </w:tcPr>
          <w:p>
            <w:r>
              <w:t>Μέτρια-Υψηλή</w:t>
            </w:r>
          </w:p>
        </w:tc>
      </w:tr>
      <w:tr>
        <w:tc>
          <w:tcPr>
            <w:tcW w:type="dxa" w:w="2880"/>
          </w:tcPr>
          <w:p>
            <w:r>
              <w:t>Πράσινα Σημεία</w:t>
            </w:r>
          </w:p>
        </w:tc>
        <w:tc>
          <w:tcPr>
            <w:tcW w:type="dxa" w:w="2880"/>
          </w:tcPr>
          <w:p>
            <w:r>
              <w:t>3.60</w:t>
            </w:r>
          </w:p>
        </w:tc>
        <w:tc>
          <w:tcPr>
            <w:tcW w:type="dxa" w:w="2880"/>
          </w:tcPr>
          <w:p>
            <w:r>
              <w:t>Μέτρια-Υψηλή</w:t>
            </w:r>
          </w:p>
        </w:tc>
      </w:tr>
      <w:tr>
        <w:tc>
          <w:tcPr>
            <w:tcW w:type="dxa" w:w="2880"/>
          </w:tcPr>
          <w:p>
            <w:r>
              <w:t>ΧΑΔΑ</w:t>
            </w:r>
          </w:p>
        </w:tc>
        <w:tc>
          <w:tcPr>
            <w:tcW w:type="dxa" w:w="2880"/>
          </w:tcPr>
          <w:p>
            <w:r>
              <w:t>3.37</w:t>
            </w:r>
          </w:p>
        </w:tc>
        <w:tc>
          <w:tcPr>
            <w:tcW w:type="dxa" w:w="2880"/>
          </w:tcPr>
          <w:p>
            <w:r>
              <w:t>Μέτρια</w:t>
            </w:r>
          </w:p>
        </w:tc>
      </w:tr>
    </w:tbl>
    <w:p/>
    <w:p>
      <w:pPr>
        <w:spacing w:line="360" w:lineRule="auto" w:after="120"/>
        <w:jc w:val="both"/>
      </w:pPr>
      <w:r>
        <w:rPr>
          <w:rFonts w:ascii="Times New Roman" w:hAnsi="Times New Roman" w:eastAsia="Times New Roman"/>
          <w:b w:val="0"/>
          <w:i w:val="0"/>
          <w:sz w:val="24"/>
        </w:rPr>
        <w:t>*Κλίμακα: 1=Καθόλου, 2=Λίγο, 3=Αρκετα, 4=Πολύ, 5=Πάρα Πολύ</w:t>
      </w:r>
    </w:p>
    <w:p>
      <w:pPr>
        <w:spacing w:line="360" w:lineRule="auto" w:after="120"/>
        <w:jc w:val="both"/>
      </w:pPr>
      <w:r>
        <w:rPr>
          <w:rFonts w:ascii="Times New Roman" w:hAnsi="Times New Roman" w:eastAsia="Times New Roman"/>
          <w:b/>
          <w:i w:val="0"/>
          <w:sz w:val="24"/>
        </w:rPr>
        <w:t>Κύρια Ευρήματα:</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Υψηλότερη γνώση:</w:t>
      </w:r>
      <w:r>
        <w:rPr>
          <w:rFonts w:ascii="Times New Roman" w:hAnsi="Times New Roman" w:eastAsia="Times New Roman"/>
          <w:b w:val="0"/>
          <w:i w:val="0"/>
          <w:sz w:val="24"/>
        </w:rPr>
        <w:t xml:space="preserve"> Η έννοια της "Καύσης Απορριμμάτων" είναι η πιο γνωστή (4.48/5), πιθανώς λόγω της αρνητικής συνδηλώσεως και των περιβαλλοντικών επιπτώσεών της.</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Υψηλή επίγνωση:</w:t>
      </w:r>
      <w:r>
        <w:rPr>
          <w:rFonts w:ascii="Times New Roman" w:hAnsi="Times New Roman" w:eastAsia="Times New Roman"/>
          <w:b w:val="0"/>
          <w:i w:val="0"/>
          <w:sz w:val="24"/>
        </w:rPr>
        <w:t xml:space="preserve"> Οι έννοιες "ΑΠΕ" (3.91), "Βιώσιμη Ανάπτυξη" (3.79) και "Κυκλική Οικονομία" (3.72) είναι ευρέως γνωστές, γεγονός που αντανακλά την αυξημένη προβολή τους στα ΜΜΕ και την εκπαίδευση.</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Χαμηλότερη γνώση:</w:t>
      </w:r>
      <w:r>
        <w:rPr>
          <w:rFonts w:ascii="Times New Roman" w:hAnsi="Times New Roman" w:eastAsia="Times New Roman"/>
          <w:b w:val="0"/>
          <w:i w:val="0"/>
          <w:sz w:val="24"/>
        </w:rPr>
        <w:t xml:space="preserve"> Η έννοια "ΧΑΔΑ" (Χωματερές Ανεξέλεγκτης Διάθεσης Αποβλήτων) παρουσιάζει τη χαμηλότερη γνώση (3.37), παρά την ιστορική της σημασία στην ελληνική πραγματικότητα.</w:t>
      </w:r>
    </w:p>
    <w:p>
      <w:pPr>
        <w:spacing w:line="360" w:lineRule="auto" w:after="120"/>
        <w:jc w:val="both"/>
      </w:pPr>
      <w:r>
        <w:rPr>
          <w:rFonts w:ascii="Times New Roman" w:hAnsi="Times New Roman" w:eastAsia="Times New Roman"/>
          <w:b w:val="0"/>
          <w:i/>
          <w:sz w:val="24"/>
        </w:rPr>
        <w:t>(Βλ. Διάγραμμα 5.4: Γνώση Εννοιών Κυκλικής Οικονομίας στο Παράρτημα)</w:t>
      </w:r>
    </w:p>
    <w:p>
      <w:pPr>
        <w:pStyle w:val="Heading3"/>
      </w:pPr>
      <w:r>
        <w:rPr>
          <w:rFonts w:ascii="Times New Roman" w:hAnsi="Times New Roman" w:eastAsia="Times New Roman"/>
          <w:b/>
          <w:sz w:val="22"/>
        </w:rPr>
        <w:t>5.3.5 Πρακτικές Πολιτών για την Κυκλική Οικονομία</w:t>
      </w:r>
    </w:p>
    <w:p>
      <w:pPr>
        <w:pStyle w:val="Heading4"/>
      </w:pPr>
      <w:r>
        <w:rPr>
          <w:rFonts w:ascii="Times New Roman" w:hAnsi="Times New Roman" w:eastAsia="Times New Roman"/>
          <w:b/>
          <w:sz w:val="22"/>
        </w:rPr>
        <w:t>5.3.5.1 Διαχωρισμός Ανακυκλώσιμων Υλικών</w:t>
      </w:r>
    </w:p>
    <w:p>
      <w:pPr>
        <w:spacing w:line="360" w:lineRule="auto" w:after="120"/>
        <w:jc w:val="both"/>
      </w:pPr>
      <w:r>
        <w:rPr>
          <w:rFonts w:ascii="Times New Roman" w:hAnsi="Times New Roman" w:eastAsia="Times New Roman"/>
          <w:b/>
          <w:i w:val="0"/>
          <w:sz w:val="24"/>
        </w:rPr>
        <w:t>Πίνακας 5.12: Συχνότητα Διαχωρισμού Ανακυκλώσιμων (Μπλε Κάδοι)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Συχνότητα</w:t>
            </w:r>
          </w:p>
        </w:tc>
        <w:tc>
          <w:tcPr>
            <w:tcW w:type="dxa" w:w="2880"/>
          </w:tcPr>
          <w:p>
            <w:r>
              <w:rPr>
                <w:b/>
                <w:sz w:val="22"/>
              </w:rPr>
              <w:t>Απαντήσεις</w:t>
            </w:r>
          </w:p>
        </w:tc>
        <w:tc>
          <w:tcPr>
            <w:tcW w:type="dxa" w:w="2880"/>
          </w:tcPr>
          <w:p>
            <w:r>
              <w:rPr>
                <w:b/>
                <w:sz w:val="22"/>
              </w:rPr>
              <w:t>Ποσοστό (%)</w:t>
            </w:r>
          </w:p>
        </w:tc>
      </w:tr>
      <w:tr>
        <w:tc>
          <w:tcPr>
            <w:tcW w:type="dxa" w:w="2880"/>
          </w:tcPr>
          <w:p>
            <w:r>
              <w:t>ΠΑΡΑ ΠΟΛΥ</w:t>
            </w:r>
          </w:p>
        </w:tc>
        <w:tc>
          <w:tcPr>
            <w:tcW w:type="dxa" w:w="2880"/>
          </w:tcPr>
          <w:p>
            <w:r>
              <w:t>10</w:t>
            </w:r>
          </w:p>
        </w:tc>
        <w:tc>
          <w:tcPr>
            <w:tcW w:type="dxa" w:w="2880"/>
          </w:tcPr>
          <w:p>
            <w:r>
              <w:t>23.3%</w:t>
            </w:r>
          </w:p>
        </w:tc>
      </w:tr>
      <w:tr>
        <w:tc>
          <w:tcPr>
            <w:tcW w:type="dxa" w:w="2880"/>
          </w:tcPr>
          <w:p>
            <w:r>
              <w:t>ΑΡΚΕΤΑ</w:t>
            </w:r>
          </w:p>
        </w:tc>
        <w:tc>
          <w:tcPr>
            <w:tcW w:type="dxa" w:w="2880"/>
          </w:tcPr>
          <w:p>
            <w:r>
              <w:t>10</w:t>
            </w:r>
          </w:p>
        </w:tc>
        <w:tc>
          <w:tcPr>
            <w:tcW w:type="dxa" w:w="2880"/>
          </w:tcPr>
          <w:p>
            <w:r>
              <w:t>23.3%</w:t>
            </w:r>
          </w:p>
        </w:tc>
      </w:tr>
      <w:tr>
        <w:tc>
          <w:tcPr>
            <w:tcW w:type="dxa" w:w="2880"/>
          </w:tcPr>
          <w:p>
            <w:r>
              <w:t>ΠΟΛΥ</w:t>
            </w:r>
          </w:p>
        </w:tc>
        <w:tc>
          <w:tcPr>
            <w:tcW w:type="dxa" w:w="2880"/>
          </w:tcPr>
          <w:p>
            <w:r>
              <w:t>6</w:t>
            </w:r>
          </w:p>
        </w:tc>
        <w:tc>
          <w:tcPr>
            <w:tcW w:type="dxa" w:w="2880"/>
          </w:tcPr>
          <w:p>
            <w:r>
              <w:t>14.0%</w:t>
            </w:r>
          </w:p>
        </w:tc>
      </w:tr>
      <w:tr>
        <w:tc>
          <w:tcPr>
            <w:tcW w:type="dxa" w:w="2880"/>
          </w:tcPr>
          <w:p>
            <w:r>
              <w:t>ΛΙΓΟ</w:t>
            </w:r>
          </w:p>
        </w:tc>
        <w:tc>
          <w:tcPr>
            <w:tcW w:type="dxa" w:w="2880"/>
          </w:tcPr>
          <w:p>
            <w:r>
              <w:t>5</w:t>
            </w:r>
          </w:p>
        </w:tc>
        <w:tc>
          <w:tcPr>
            <w:tcW w:type="dxa" w:w="2880"/>
          </w:tcPr>
          <w:p>
            <w:r>
              <w:t>11.6%</w:t>
            </w:r>
          </w:p>
        </w:tc>
      </w:tr>
      <w:tr>
        <w:tc>
          <w:tcPr>
            <w:tcW w:type="dxa" w:w="2880"/>
          </w:tcPr>
          <w:p>
            <w:r>
              <w:t>ΠΟΛΥ ΛΙΓΟ</w:t>
            </w:r>
          </w:p>
        </w:tc>
        <w:tc>
          <w:tcPr>
            <w:tcW w:type="dxa" w:w="2880"/>
          </w:tcPr>
          <w:p>
            <w:r>
              <w:t>6</w:t>
            </w:r>
          </w:p>
        </w:tc>
        <w:tc>
          <w:tcPr>
            <w:tcW w:type="dxa" w:w="2880"/>
          </w:tcPr>
          <w:p>
            <w:r>
              <w:t>14.0%</w:t>
            </w:r>
          </w:p>
        </w:tc>
      </w:tr>
      <w:tr>
        <w:tc>
          <w:tcPr>
            <w:tcW w:type="dxa" w:w="2880"/>
          </w:tcPr>
          <w:p>
            <w:r>
              <w:t>ΚΑΘΟΛΟΥ</w:t>
            </w:r>
          </w:p>
        </w:tc>
        <w:tc>
          <w:tcPr>
            <w:tcW w:type="dxa" w:w="2880"/>
          </w:tcPr>
          <w:p>
            <w:r>
              <w:t>6</w:t>
            </w:r>
          </w:p>
        </w:tc>
        <w:tc>
          <w:tcPr>
            <w:tcW w:type="dxa" w:w="2880"/>
          </w:tcPr>
          <w:p>
            <w:r>
              <w:t>14.0%</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60.6% των πολιτών (άθροισμα "ΠΑΡΑ ΠΟΛΥ", "ΠΟΛΥ", "ΑΡΚΕΤΑ") δηλώνει ότι διαχωρίζει συστηματικά τα ανακυκλώσιμα υλικά, ενώ το 39.5% το κάνει σπάνια ή καθόλου.</w:t>
      </w:r>
    </w:p>
    <w:p>
      <w:pPr>
        <w:pStyle w:val="Heading4"/>
      </w:pPr>
      <w:r>
        <w:rPr>
          <w:rFonts w:ascii="Times New Roman" w:hAnsi="Times New Roman" w:eastAsia="Times New Roman"/>
          <w:b/>
          <w:sz w:val="22"/>
        </w:rPr>
        <w:t>5.3.5.2 Κομποστοποίηση</w:t>
      </w:r>
    </w:p>
    <w:p>
      <w:pPr>
        <w:spacing w:line="360" w:lineRule="auto" w:after="120"/>
        <w:jc w:val="both"/>
      </w:pPr>
      <w:r>
        <w:rPr>
          <w:rFonts w:ascii="Times New Roman" w:hAnsi="Times New Roman" w:eastAsia="Times New Roman"/>
          <w:b/>
          <w:i w:val="0"/>
          <w:sz w:val="24"/>
        </w:rPr>
        <w:t>Πίνακας 5.13: Εφαρμογή Κομποστοποίησης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Συχνότητα</w:t>
            </w:r>
          </w:p>
        </w:tc>
        <w:tc>
          <w:tcPr>
            <w:tcW w:type="dxa" w:w="2880"/>
          </w:tcPr>
          <w:p>
            <w:r>
              <w:rPr>
                <w:b/>
                <w:sz w:val="22"/>
              </w:rPr>
              <w:t>Απαντήσεις</w:t>
            </w:r>
          </w:p>
        </w:tc>
        <w:tc>
          <w:tcPr>
            <w:tcW w:type="dxa" w:w="2880"/>
          </w:tcPr>
          <w:p>
            <w:r>
              <w:rPr>
                <w:b/>
                <w:sz w:val="22"/>
              </w:rPr>
              <w:t>Ποσοστό (%)</w:t>
            </w:r>
          </w:p>
        </w:tc>
      </w:tr>
      <w:tr>
        <w:tc>
          <w:tcPr>
            <w:tcW w:type="dxa" w:w="2880"/>
          </w:tcPr>
          <w:p>
            <w:r>
              <w:t>ΑΡΚΕΤΑ</w:t>
            </w:r>
          </w:p>
        </w:tc>
        <w:tc>
          <w:tcPr>
            <w:tcW w:type="dxa" w:w="2880"/>
          </w:tcPr>
          <w:p>
            <w:r>
              <w:t>15</w:t>
            </w:r>
          </w:p>
        </w:tc>
        <w:tc>
          <w:tcPr>
            <w:tcW w:type="dxa" w:w="2880"/>
          </w:tcPr>
          <w:p>
            <w:r>
              <w:t>34.9%</w:t>
            </w:r>
          </w:p>
        </w:tc>
      </w:tr>
      <w:tr>
        <w:tc>
          <w:tcPr>
            <w:tcW w:type="dxa" w:w="2880"/>
          </w:tcPr>
          <w:p>
            <w:r>
              <w:t>ΠΟΛΥ</w:t>
            </w:r>
          </w:p>
        </w:tc>
        <w:tc>
          <w:tcPr>
            <w:tcW w:type="dxa" w:w="2880"/>
          </w:tcPr>
          <w:p>
            <w:r>
              <w:t>12</w:t>
            </w:r>
          </w:p>
        </w:tc>
        <w:tc>
          <w:tcPr>
            <w:tcW w:type="dxa" w:w="2880"/>
          </w:tcPr>
          <w:p>
            <w:r>
              <w:t>27.9%</w:t>
            </w:r>
          </w:p>
        </w:tc>
      </w:tr>
      <w:tr>
        <w:tc>
          <w:tcPr>
            <w:tcW w:type="dxa" w:w="2880"/>
          </w:tcPr>
          <w:p>
            <w:r>
              <w:t>ΠΑΡΑ ΠΟΛΥ</w:t>
            </w:r>
          </w:p>
        </w:tc>
        <w:tc>
          <w:tcPr>
            <w:tcW w:type="dxa" w:w="2880"/>
          </w:tcPr>
          <w:p>
            <w:r>
              <w:t>6</w:t>
            </w:r>
          </w:p>
        </w:tc>
        <w:tc>
          <w:tcPr>
            <w:tcW w:type="dxa" w:w="2880"/>
          </w:tcPr>
          <w:p>
            <w:r>
              <w:t>14.0%</w:t>
            </w:r>
          </w:p>
        </w:tc>
      </w:tr>
      <w:tr>
        <w:tc>
          <w:tcPr>
            <w:tcW w:type="dxa" w:w="2880"/>
          </w:tcPr>
          <w:p>
            <w:r>
              <w:t>ΛΙΓΟ</w:t>
            </w:r>
          </w:p>
        </w:tc>
        <w:tc>
          <w:tcPr>
            <w:tcW w:type="dxa" w:w="2880"/>
          </w:tcPr>
          <w:p>
            <w:r>
              <w:t>5</w:t>
            </w:r>
          </w:p>
        </w:tc>
        <w:tc>
          <w:tcPr>
            <w:tcW w:type="dxa" w:w="2880"/>
          </w:tcPr>
          <w:p>
            <w:r>
              <w:t>11.6%</w:t>
            </w:r>
          </w:p>
        </w:tc>
      </w:tr>
      <w:tr>
        <w:tc>
          <w:tcPr>
            <w:tcW w:type="dxa" w:w="2880"/>
          </w:tcPr>
          <w:p>
            <w:r>
              <w:t>ΠΟΛΥ ΛΙΓΟ</w:t>
            </w:r>
          </w:p>
        </w:tc>
        <w:tc>
          <w:tcPr>
            <w:tcW w:type="dxa" w:w="2880"/>
          </w:tcPr>
          <w:p>
            <w:r>
              <w:t>5</w:t>
            </w:r>
          </w:p>
        </w:tc>
        <w:tc>
          <w:tcPr>
            <w:tcW w:type="dxa" w:w="2880"/>
          </w:tcPr>
          <w:p>
            <w:r>
              <w:t>11.6%</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76.8% των ερωτηθέντων εφαρμόζει κομποστοποίηση σε κάποιο βαθμό, με το 34.9% να την εφαρμόζει "ΑΡΚΕΤΑ" και το 27.9% "ΠΟΛΥ". Αυτό είναι ένα εξαιρετικά θετικό εύρημα που αντανακλά την περιαστική φύση της περιοχής και την ύπαρξη κήπων.</w:t>
      </w:r>
    </w:p>
    <w:p>
      <w:pPr>
        <w:pStyle w:val="Heading4"/>
      </w:pPr>
      <w:r>
        <w:rPr>
          <w:rFonts w:ascii="Times New Roman" w:hAnsi="Times New Roman" w:eastAsia="Times New Roman"/>
          <w:b/>
          <w:sz w:val="22"/>
        </w:rPr>
        <w:t>5.3.5.3 Απόθεση σε Ειδικούς Χώρους</w:t>
      </w:r>
    </w:p>
    <w:p>
      <w:pPr>
        <w:spacing w:line="360" w:lineRule="auto" w:after="120"/>
        <w:jc w:val="both"/>
      </w:pPr>
      <w:r>
        <w:rPr>
          <w:rFonts w:ascii="Times New Roman" w:hAnsi="Times New Roman" w:eastAsia="Times New Roman"/>
          <w:b/>
          <w:i w:val="0"/>
          <w:sz w:val="24"/>
        </w:rPr>
        <w:t>Πίνακας 5.14: Χρήση Ειδικών Χώρων Απόθεσης (Πράσινα Σημεία κτλ.)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Συχνότητα</w:t>
            </w:r>
          </w:p>
        </w:tc>
        <w:tc>
          <w:tcPr>
            <w:tcW w:type="dxa" w:w="2880"/>
          </w:tcPr>
          <w:p>
            <w:r>
              <w:rPr>
                <w:b/>
                <w:sz w:val="22"/>
              </w:rPr>
              <w:t>Απαντήσεις</w:t>
            </w:r>
          </w:p>
        </w:tc>
        <w:tc>
          <w:tcPr>
            <w:tcW w:type="dxa" w:w="2880"/>
          </w:tcPr>
          <w:p>
            <w:r>
              <w:rPr>
                <w:b/>
                <w:sz w:val="22"/>
              </w:rPr>
              <w:t>Ποσοστό (%)</w:t>
            </w:r>
          </w:p>
        </w:tc>
      </w:tr>
      <w:tr>
        <w:tc>
          <w:tcPr>
            <w:tcW w:type="dxa" w:w="2880"/>
          </w:tcPr>
          <w:p>
            <w:r>
              <w:t>ΠΟΛΥ</w:t>
            </w:r>
          </w:p>
        </w:tc>
        <w:tc>
          <w:tcPr>
            <w:tcW w:type="dxa" w:w="2880"/>
          </w:tcPr>
          <w:p>
            <w:r>
              <w:t>11</w:t>
            </w:r>
          </w:p>
        </w:tc>
        <w:tc>
          <w:tcPr>
            <w:tcW w:type="dxa" w:w="2880"/>
          </w:tcPr>
          <w:p>
            <w:r>
              <w:t>25.6%</w:t>
            </w:r>
          </w:p>
        </w:tc>
      </w:tr>
      <w:tr>
        <w:tc>
          <w:tcPr>
            <w:tcW w:type="dxa" w:w="2880"/>
          </w:tcPr>
          <w:p>
            <w:r>
              <w:t>ΑΡΚΕΤΑ</w:t>
            </w:r>
          </w:p>
        </w:tc>
        <w:tc>
          <w:tcPr>
            <w:tcW w:type="dxa" w:w="2880"/>
          </w:tcPr>
          <w:p>
            <w:r>
              <w:t>10</w:t>
            </w:r>
          </w:p>
        </w:tc>
        <w:tc>
          <w:tcPr>
            <w:tcW w:type="dxa" w:w="2880"/>
          </w:tcPr>
          <w:p>
            <w:r>
              <w:t>23.3%</w:t>
            </w:r>
          </w:p>
        </w:tc>
      </w:tr>
      <w:tr>
        <w:tc>
          <w:tcPr>
            <w:tcW w:type="dxa" w:w="2880"/>
          </w:tcPr>
          <w:p>
            <w:r>
              <w:t>ΠΑΡΑ ΠΟΛΥ</w:t>
            </w:r>
          </w:p>
        </w:tc>
        <w:tc>
          <w:tcPr>
            <w:tcW w:type="dxa" w:w="2880"/>
          </w:tcPr>
          <w:p>
            <w:r>
              <w:t>7</w:t>
            </w:r>
          </w:p>
        </w:tc>
        <w:tc>
          <w:tcPr>
            <w:tcW w:type="dxa" w:w="2880"/>
          </w:tcPr>
          <w:p>
            <w:r>
              <w:t>16.3%</w:t>
            </w:r>
          </w:p>
        </w:tc>
      </w:tr>
      <w:tr>
        <w:tc>
          <w:tcPr>
            <w:tcW w:type="dxa" w:w="2880"/>
          </w:tcPr>
          <w:p>
            <w:r>
              <w:t>ΛΙΓΟ</w:t>
            </w:r>
          </w:p>
        </w:tc>
        <w:tc>
          <w:tcPr>
            <w:tcW w:type="dxa" w:w="2880"/>
          </w:tcPr>
          <w:p>
            <w:r>
              <w:t>6</w:t>
            </w:r>
          </w:p>
        </w:tc>
        <w:tc>
          <w:tcPr>
            <w:tcW w:type="dxa" w:w="2880"/>
          </w:tcPr>
          <w:p>
            <w:r>
              <w:t>14.0%</w:t>
            </w:r>
          </w:p>
        </w:tc>
      </w:tr>
      <w:tr>
        <w:tc>
          <w:tcPr>
            <w:tcW w:type="dxa" w:w="2880"/>
          </w:tcPr>
          <w:p>
            <w:r>
              <w:t>ΠΟΛΥ ΛΙΓΟ</w:t>
            </w:r>
          </w:p>
        </w:tc>
        <w:tc>
          <w:tcPr>
            <w:tcW w:type="dxa" w:w="2880"/>
          </w:tcPr>
          <w:p>
            <w:r>
              <w:t>5</w:t>
            </w:r>
          </w:p>
        </w:tc>
        <w:tc>
          <w:tcPr>
            <w:tcW w:type="dxa" w:w="2880"/>
          </w:tcPr>
          <w:p>
            <w:r>
              <w:t>11.6%</w:t>
            </w:r>
          </w:p>
        </w:tc>
      </w:tr>
      <w:tr>
        <w:tc>
          <w:tcPr>
            <w:tcW w:type="dxa" w:w="2880"/>
          </w:tcPr>
          <w:p>
            <w:r>
              <w:t>ΚΑΘΟΛΟΥ</w:t>
            </w:r>
          </w:p>
        </w:tc>
        <w:tc>
          <w:tcPr>
            <w:tcW w:type="dxa" w:w="2880"/>
          </w:tcPr>
          <w:p>
            <w:r>
              <w:t>4</w:t>
            </w:r>
          </w:p>
        </w:tc>
        <w:tc>
          <w:tcPr>
            <w:tcW w:type="dxa" w:w="2880"/>
          </w:tcPr>
          <w:p>
            <w:r>
              <w:t>9.3%</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Το 65.2% των πολιτών χρησιμοποιεί ειδικούς χώρους απόθεσης (Πράσινα Σημεία) για ειδικά απόβλητα, γεγονός που υποδηλώνει καλή ενημέρωση και προθυμία συμμόρφωσης.</w:t>
      </w:r>
    </w:p>
    <w:p>
      <w:pPr>
        <w:pStyle w:val="Heading4"/>
      </w:pPr>
      <w:r>
        <w:rPr>
          <w:rFonts w:ascii="Times New Roman" w:hAnsi="Times New Roman" w:eastAsia="Times New Roman"/>
          <w:b/>
          <w:sz w:val="22"/>
        </w:rPr>
        <w:t>5.3.5.4 Συμμετοχή σε Δράσεις Ενημέρωσης</w:t>
      </w:r>
    </w:p>
    <w:p>
      <w:pPr>
        <w:spacing w:line="360" w:lineRule="auto" w:after="120"/>
        <w:jc w:val="both"/>
      </w:pPr>
      <w:r>
        <w:rPr>
          <w:rFonts w:ascii="Times New Roman" w:hAnsi="Times New Roman" w:eastAsia="Times New Roman"/>
          <w:b/>
          <w:i w:val="0"/>
          <w:sz w:val="24"/>
        </w:rPr>
        <w:t>Πίνακας 5.15: Πιο Αποτελεσματικός Τρόπος Ενημέρωσης (n=43)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Μέθοδος Ενημέρωσης</w:t>
            </w:r>
          </w:p>
        </w:tc>
        <w:tc>
          <w:tcPr>
            <w:tcW w:type="dxa" w:w="2880"/>
          </w:tcPr>
          <w:p>
            <w:r>
              <w:rPr>
                <w:b/>
                <w:sz w:val="22"/>
              </w:rPr>
              <w:t>Απαντήσεις</w:t>
            </w:r>
          </w:p>
        </w:tc>
        <w:tc>
          <w:tcPr>
            <w:tcW w:type="dxa" w:w="2880"/>
          </w:tcPr>
          <w:p>
            <w:r>
              <w:rPr>
                <w:b/>
                <w:sz w:val="22"/>
              </w:rPr>
              <w:t>Ποσοστό (%)</w:t>
            </w:r>
          </w:p>
        </w:tc>
      </w:tr>
      <w:tr>
        <w:tc>
          <w:tcPr>
            <w:tcW w:type="dxa" w:w="2880"/>
          </w:tcPr>
          <w:p>
            <w:r>
              <w:t>Διοργάνωση βιωματικών δράσεων Δήμου-Συλλόγων</w:t>
            </w:r>
          </w:p>
        </w:tc>
        <w:tc>
          <w:tcPr>
            <w:tcW w:type="dxa" w:w="2880"/>
          </w:tcPr>
          <w:p>
            <w:r>
              <w:t>16</w:t>
            </w:r>
          </w:p>
        </w:tc>
        <w:tc>
          <w:tcPr>
            <w:tcW w:type="dxa" w:w="2880"/>
          </w:tcPr>
          <w:p>
            <w:r>
              <w:t>37.2%</w:t>
            </w:r>
          </w:p>
        </w:tc>
      </w:tr>
      <w:tr>
        <w:tc>
          <w:tcPr>
            <w:tcW w:type="dxa" w:w="2880"/>
          </w:tcPr>
          <w:p>
            <w:r>
              <w:t>Μέσω ενημερωτικών φυλλαδίων</w:t>
            </w:r>
          </w:p>
        </w:tc>
        <w:tc>
          <w:tcPr>
            <w:tcW w:type="dxa" w:w="2880"/>
          </w:tcPr>
          <w:p>
            <w:r>
              <w:t>11</w:t>
            </w:r>
          </w:p>
        </w:tc>
        <w:tc>
          <w:tcPr>
            <w:tcW w:type="dxa" w:w="2880"/>
          </w:tcPr>
          <w:p>
            <w:r>
              <w:t>25.6%</w:t>
            </w:r>
          </w:p>
        </w:tc>
      </w:tr>
      <w:tr>
        <w:tc>
          <w:tcPr>
            <w:tcW w:type="dxa" w:w="2880"/>
          </w:tcPr>
          <w:p>
            <w:r>
              <w:t>Μέσω ενημερωτικών ημερίδων/σεμιναρίων</w:t>
            </w:r>
          </w:p>
        </w:tc>
        <w:tc>
          <w:tcPr>
            <w:tcW w:type="dxa" w:w="2880"/>
          </w:tcPr>
          <w:p>
            <w:r>
              <w:t>11</w:t>
            </w:r>
          </w:p>
        </w:tc>
        <w:tc>
          <w:tcPr>
            <w:tcW w:type="dxa" w:w="2880"/>
          </w:tcPr>
          <w:p>
            <w:r>
              <w:t>25.6%</w:t>
            </w:r>
          </w:p>
        </w:tc>
      </w:tr>
      <w:tr>
        <w:tc>
          <w:tcPr>
            <w:tcW w:type="dxa" w:w="2880"/>
          </w:tcPr>
          <w:p>
            <w:r>
              <w:t>Μέσω ιστοσελίδας του Δήμου</w:t>
            </w:r>
          </w:p>
        </w:tc>
        <w:tc>
          <w:tcPr>
            <w:tcW w:type="dxa" w:w="2880"/>
          </w:tcPr>
          <w:p>
            <w:r>
              <w:t>5</w:t>
            </w:r>
          </w:p>
        </w:tc>
        <w:tc>
          <w:tcPr>
            <w:tcW w:type="dxa" w:w="2880"/>
          </w:tcPr>
          <w:p>
            <w:r>
              <w:t>11.6%</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Οι </w:t>
      </w:r>
      <w:r>
        <w:rPr>
          <w:rFonts w:ascii="Times New Roman" w:hAnsi="Times New Roman" w:eastAsia="Times New Roman"/>
          <w:b/>
          <w:i w:val="0"/>
          <w:sz w:val="24"/>
        </w:rPr>
        <w:t>βιωματικές δράσεις</w:t>
      </w:r>
      <w:r>
        <w:rPr>
          <w:rFonts w:ascii="Times New Roman" w:hAnsi="Times New Roman" w:eastAsia="Times New Roman"/>
          <w:b w:val="0"/>
          <w:i w:val="0"/>
          <w:sz w:val="24"/>
        </w:rPr>
        <w:t xml:space="preserve"> θεωρούνται ο πιο αποτελεσματικός τρόπος ενημέρωσης (37.2%), ακολουθούμενες από τα ενημερωτικά φυλλάδια και τις ημερίδες/σεμινάρια (25.6% έκαστο).</w:t>
      </w:r>
    </w:p>
    <w:p>
      <w:pPr>
        <w:pStyle w:val="Heading4"/>
      </w:pPr>
      <w:r>
        <w:rPr>
          <w:rFonts w:ascii="Times New Roman" w:hAnsi="Times New Roman" w:eastAsia="Times New Roman"/>
          <w:b/>
          <w:sz w:val="22"/>
        </w:rPr>
        <w:t>5.3.5.5 Πρόθεση Συμμετοχής σε Προγράμματα</w:t>
      </w:r>
    </w:p>
    <w:p>
      <w:pPr>
        <w:spacing w:line="360" w:lineRule="auto" w:after="120"/>
        <w:jc w:val="both"/>
      </w:pPr>
      <w:r>
        <w:rPr>
          <w:rFonts w:ascii="Times New Roman" w:hAnsi="Times New Roman" w:eastAsia="Times New Roman"/>
          <w:b/>
          <w:i w:val="0"/>
          <w:sz w:val="24"/>
        </w:rPr>
        <w:t>Πίνακας 5.16: Θα συμμετείχατε σε προγράμματα κυκλικής οικονομίας του Δήμου;</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Απάντηση</w:t>
            </w:r>
          </w:p>
        </w:tc>
        <w:tc>
          <w:tcPr>
            <w:tcW w:type="dxa" w:w="2880"/>
          </w:tcPr>
          <w:p>
            <w:r>
              <w:rPr>
                <w:b/>
                <w:sz w:val="22"/>
              </w:rPr>
              <w:t>Συχνότητα</w:t>
            </w:r>
          </w:p>
        </w:tc>
        <w:tc>
          <w:tcPr>
            <w:tcW w:type="dxa" w:w="2880"/>
          </w:tcPr>
          <w:p>
            <w:r>
              <w:rPr>
                <w:b/>
                <w:sz w:val="22"/>
              </w:rPr>
              <w:t>Ποσοστό (%)</w:t>
            </w:r>
          </w:p>
        </w:tc>
      </w:tr>
      <w:tr>
        <w:tc>
          <w:tcPr>
            <w:tcW w:type="dxa" w:w="2880"/>
          </w:tcPr>
          <w:p>
            <w:r>
              <w:t>ΝΑΙ</w:t>
            </w:r>
          </w:p>
        </w:tc>
        <w:tc>
          <w:tcPr>
            <w:tcW w:type="dxa" w:w="2880"/>
          </w:tcPr>
          <w:p>
            <w:r>
              <w:t>40</w:t>
            </w:r>
          </w:p>
        </w:tc>
        <w:tc>
          <w:tcPr>
            <w:tcW w:type="dxa" w:w="2880"/>
          </w:tcPr>
          <w:p>
            <w:r>
              <w:t>93.0%</w:t>
            </w:r>
          </w:p>
        </w:tc>
      </w:tr>
      <w:tr>
        <w:tc>
          <w:tcPr>
            <w:tcW w:type="dxa" w:w="2880"/>
          </w:tcPr>
          <w:p>
            <w:r>
              <w:t>ΟΧΙ</w:t>
            </w:r>
          </w:p>
        </w:tc>
        <w:tc>
          <w:tcPr>
            <w:tcW w:type="dxa" w:w="2880"/>
          </w:tcPr>
          <w:p>
            <w:r>
              <w:t>3</w:t>
            </w:r>
          </w:p>
        </w:tc>
        <w:tc>
          <w:tcPr>
            <w:tcW w:type="dxa" w:w="2880"/>
          </w:tcPr>
          <w:p>
            <w:r>
              <w:t>7.0%</w:t>
            </w:r>
          </w:p>
        </w:tc>
      </w:tr>
      <w:tr>
        <w:tc>
          <w:tcPr>
            <w:tcW w:type="dxa" w:w="2880"/>
          </w:tcPr>
          <w:p>
            <w:r>
              <w:t>**Σύνολο**</w:t>
            </w:r>
          </w:p>
        </w:tc>
        <w:tc>
          <w:tcPr>
            <w:tcW w:type="dxa" w:w="2880"/>
          </w:tcPr>
          <w:p>
            <w:r>
              <w:t>**43**</w:t>
            </w:r>
          </w:p>
        </w:tc>
        <w:tc>
          <w:tcPr>
            <w:tcW w:type="dxa" w:w="2880"/>
          </w:tcPr>
          <w:p>
            <w:r>
              <w:t>**100.0%**</w:t>
            </w:r>
          </w:p>
        </w:tc>
      </w:tr>
    </w:tbl>
    <w:p/>
    <w:p>
      <w:pPr>
        <w:spacing w:line="360" w:lineRule="auto" w:after="120"/>
        <w:jc w:val="both"/>
      </w:pPr>
      <w:r>
        <w:rPr>
          <w:rFonts w:ascii="Times New Roman" w:hAnsi="Times New Roman" w:eastAsia="Times New Roman"/>
          <w:b w:val="0"/>
          <w:i w:val="0"/>
          <w:sz w:val="24"/>
        </w:rPr>
        <w:t xml:space="preserve">Η συντριπτική πλειονότητα των πολιτών (93%) δηλώνει </w:t>
      </w:r>
      <w:r>
        <w:rPr>
          <w:rFonts w:ascii="Times New Roman" w:hAnsi="Times New Roman" w:eastAsia="Times New Roman"/>
          <w:b/>
          <w:i w:val="0"/>
          <w:sz w:val="24"/>
        </w:rPr>
        <w:t>πρόθεση συμμετοχής</w:t>
      </w:r>
      <w:r>
        <w:rPr>
          <w:rFonts w:ascii="Times New Roman" w:hAnsi="Times New Roman" w:eastAsia="Times New Roman"/>
          <w:b w:val="0"/>
          <w:i w:val="0"/>
          <w:sz w:val="24"/>
        </w:rPr>
        <w:t xml:space="preserve"> σε προγράμματα κυκλικής οικονομίας, γεγονός που υποδηλώνει υψηλό ενδιαφέρον και θετική στάση προς τέτοιες πρωτοβουλίες.</w:t>
      </w:r>
    </w:p>
    <w:p>
      <w:pPr>
        <w:spacing w:line="360" w:lineRule="auto" w:after="120"/>
        <w:jc w:val="both"/>
      </w:pPr>
      <w:r>
        <w:rPr>
          <w:rFonts w:ascii="Times New Roman" w:hAnsi="Times New Roman" w:eastAsia="Times New Roman"/>
          <w:b w:val="0"/>
          <w:i/>
          <w:sz w:val="24"/>
        </w:rPr>
        <w:t>(Βλ. Διάγραμμα 5.6: Πρακτικές Πολιτών για την Κυκλική Οικονομία στο Παράρτημα)</w:t>
      </w:r>
    </w:p>
    <w:p>
      <w:pPr>
        <w:pStyle w:val="Heading2"/>
      </w:pPr>
      <w:r>
        <w:rPr>
          <w:rFonts w:ascii="Times New Roman" w:hAnsi="Times New Roman" w:eastAsia="Times New Roman"/>
          <w:b/>
          <w:sz w:val="24"/>
        </w:rPr>
        <w:t>5.4 Συζήτηση Ευρημάτων</w:t>
      </w:r>
    </w:p>
    <w:p>
      <w:pPr>
        <w:pStyle w:val="Heading3"/>
      </w:pPr>
      <w:r>
        <w:rPr>
          <w:rFonts w:ascii="Times New Roman" w:hAnsi="Times New Roman" w:eastAsia="Times New Roman"/>
          <w:b/>
          <w:sz w:val="22"/>
        </w:rPr>
        <w:t>5.4.1 Σύνδεση με το Θεωρητικό Πλαίσιο</w:t>
      </w:r>
    </w:p>
    <w:p>
      <w:pPr>
        <w:spacing w:line="360" w:lineRule="auto" w:after="120"/>
        <w:jc w:val="both"/>
      </w:pPr>
      <w:r>
        <w:rPr>
          <w:rFonts w:ascii="Times New Roman" w:hAnsi="Times New Roman" w:eastAsia="Times New Roman"/>
          <w:b w:val="0"/>
          <w:i w:val="0"/>
          <w:sz w:val="24"/>
        </w:rPr>
        <w:t xml:space="preserve">Τα ευρήματα της έρευνας επιβεβαιώνουν σε μεγάλο βαθμό τη σημασία της </w:t>
      </w:r>
      <w:r>
        <w:rPr>
          <w:rFonts w:ascii="Times New Roman" w:hAnsi="Times New Roman" w:eastAsia="Times New Roman"/>
          <w:b/>
          <w:i w:val="0"/>
          <w:sz w:val="24"/>
        </w:rPr>
        <w:t>ενημέρωσης</w:t>
      </w:r>
      <w:r>
        <w:rPr>
          <w:rFonts w:ascii="Times New Roman" w:hAnsi="Times New Roman" w:eastAsia="Times New Roman"/>
          <w:b w:val="0"/>
          <w:i w:val="0"/>
          <w:sz w:val="24"/>
        </w:rPr>
        <w:t xml:space="preserve"> και της </w:t>
      </w:r>
      <w:r>
        <w:rPr>
          <w:rFonts w:ascii="Times New Roman" w:hAnsi="Times New Roman" w:eastAsia="Times New Roman"/>
          <w:b/>
          <w:i w:val="0"/>
          <w:sz w:val="24"/>
        </w:rPr>
        <w:t>υποδομής</w:t>
      </w:r>
      <w:r>
        <w:rPr>
          <w:rFonts w:ascii="Times New Roman" w:hAnsi="Times New Roman" w:eastAsia="Times New Roman"/>
          <w:b w:val="0"/>
          <w:i w:val="0"/>
          <w:sz w:val="24"/>
        </w:rPr>
        <w:t xml:space="preserve"> για την επιτυχή εφαρμογή πολιτικών κυκλικής οικονομίας σε τοπικό επίπεδο, όπως υποστηρίζεται στη διεθνή βιβλιογραφία.</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Υψηλή βασική γνώση, χαμηλή εξειδικευμένη γνώση:</w:t>
      </w:r>
      <w:r>
        <w:rPr>
          <w:rFonts w:ascii="Times New Roman" w:hAnsi="Times New Roman" w:eastAsia="Times New Roman"/>
          <w:b w:val="0"/>
          <w:i w:val="0"/>
          <w:sz w:val="24"/>
        </w:rPr>
        <w:t xml:space="preserve"> Ενώ το 90.7% γνωρίζει για την ανακύκλωση, υπάρχουν σημαντικά κενά στη γνώση συγκεκριμένων δράσεων του Δήμου.</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Θετική στάση vs. πρακτική εφαρμογή:</w:t>
      </w:r>
      <w:r>
        <w:rPr>
          <w:rFonts w:ascii="Times New Roman" w:hAnsi="Times New Roman" w:eastAsia="Times New Roman"/>
          <w:b w:val="0"/>
          <w:i w:val="0"/>
          <w:sz w:val="24"/>
        </w:rPr>
        <w:t xml:space="preserve"> Παρά την υψηλή πρόθεση συμμετοχής (93%), υπάρχει ένα ποσοστό 39.5% που δεν διαχωρίζει συστηματικά τα ανακυκλώσιμα.</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Ρόλος της εκπαίδευσης:</w:t>
      </w:r>
      <w:r>
        <w:rPr>
          <w:rFonts w:ascii="Times New Roman" w:hAnsi="Times New Roman" w:eastAsia="Times New Roman"/>
          <w:b w:val="0"/>
          <w:i w:val="0"/>
          <w:sz w:val="24"/>
        </w:rPr>
        <w:t xml:space="preserve"> Το υψηλό εκπαιδευτικό επίπεδο του δείγματος (86% πανεπιστημιακή εκπαίδευση) συσχετίζεται με την υψηλή γνώση εννοιών κυκλικής οικονομίας.</w:t>
      </w:r>
    </w:p>
    <w:p>
      <w:pPr>
        <w:pStyle w:val="Heading3"/>
      </w:pPr>
      <w:r>
        <w:rPr>
          <w:rFonts w:ascii="Times New Roman" w:hAnsi="Times New Roman" w:eastAsia="Times New Roman"/>
          <w:b/>
          <w:sz w:val="22"/>
        </w:rPr>
        <w:t>5.4.2 Κριτικά Σημεία για το Δήμο Μαραθώνα</w:t>
      </w:r>
    </w:p>
    <w:p>
      <w:pPr>
        <w:pStyle w:val="Heading4"/>
      </w:pPr>
      <w:r>
        <w:rPr>
          <w:rFonts w:ascii="Times New Roman" w:hAnsi="Times New Roman" w:eastAsia="Times New Roman"/>
          <w:b/>
          <w:sz w:val="22"/>
        </w:rPr>
        <w:t>Θετικά Στοιχεία:</w:t>
      </w:r>
    </w:p>
    <w:p>
      <w:pPr>
        <w:spacing w:line="360" w:lineRule="auto" w:after="120"/>
        <w:jc w:val="both"/>
      </w:pPr>
      <w:r>
        <w:rPr>
          <w:rFonts w:ascii="Times New Roman" w:hAnsi="Times New Roman" w:eastAsia="Times New Roman"/>
          <w:b w:val="0"/>
          <w:i w:val="0"/>
          <w:sz w:val="24"/>
        </w:rPr>
        <w:t>- Υψηλή περιβαλλοντική συνείδηση των πολιτών</w:t>
      </w:r>
    </w:p>
    <w:p>
      <w:pPr>
        <w:spacing w:line="360" w:lineRule="auto" w:after="120"/>
        <w:jc w:val="both"/>
      </w:pPr>
      <w:r>
        <w:rPr>
          <w:rFonts w:ascii="Times New Roman" w:hAnsi="Times New Roman" w:eastAsia="Times New Roman"/>
          <w:b w:val="0"/>
          <w:i w:val="0"/>
          <w:sz w:val="24"/>
        </w:rPr>
        <w:t>- Σημαντική εφαρμογή κομποστοποίησης (76.8%)</w:t>
      </w:r>
    </w:p>
    <w:p>
      <w:pPr>
        <w:spacing w:line="360" w:lineRule="auto" w:after="120"/>
        <w:jc w:val="both"/>
      </w:pPr>
      <w:r>
        <w:rPr>
          <w:rFonts w:ascii="Times New Roman" w:hAnsi="Times New Roman" w:eastAsia="Times New Roman"/>
          <w:b w:val="0"/>
          <w:i w:val="0"/>
          <w:sz w:val="24"/>
        </w:rPr>
        <w:t>- Μεγάλη διάθεση συμμετοχής σε προγράμματα (93%)</w:t>
      </w:r>
    </w:p>
    <w:p>
      <w:pPr>
        <w:pStyle w:val="Heading4"/>
      </w:pPr>
      <w:r>
        <w:rPr>
          <w:rFonts w:ascii="Times New Roman" w:hAnsi="Times New Roman" w:eastAsia="Times New Roman"/>
          <w:b/>
          <w:sz w:val="22"/>
        </w:rPr>
        <w:t>Προβληματικά Σημεία:</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Ανεπαρκής υποδομή:</w:t>
      </w:r>
      <w:r>
        <w:rPr>
          <w:rFonts w:ascii="Times New Roman" w:hAnsi="Times New Roman" w:eastAsia="Times New Roman"/>
          <w:b w:val="0"/>
          <w:i w:val="0"/>
          <w:sz w:val="24"/>
        </w:rPr>
        <w:t xml:space="preserve"> 90.7% ζητά περισσότερους κάδους</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Χαμηλή ικανοποίηση από υπηρεσίες:</w:t>
      </w:r>
      <w:r>
        <w:rPr>
          <w:rFonts w:ascii="Times New Roman" w:hAnsi="Times New Roman" w:eastAsia="Times New Roman"/>
          <w:b w:val="0"/>
          <w:i w:val="0"/>
          <w:sz w:val="24"/>
        </w:rPr>
        <w:t xml:space="preserve"> 75% θεωρεί ανεπαρκή την υποστήριξη του Δήμου</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Κενά ενημέρωσης:</w:t>
      </w:r>
      <w:r>
        <w:rPr>
          <w:rFonts w:ascii="Times New Roman" w:hAnsi="Times New Roman" w:eastAsia="Times New Roman"/>
          <w:b w:val="0"/>
          <w:i w:val="0"/>
          <w:sz w:val="24"/>
        </w:rPr>
        <w:t xml:space="preserve"> Περίπου 50% δεν γνωρίζει για συγκεκριμένες δράσεις ανακύκλωσης</w:t>
      </w:r>
    </w:p>
    <w:p>
      <w:pPr>
        <w:pStyle w:val="Heading3"/>
      </w:pPr>
      <w:r>
        <w:rPr>
          <w:rFonts w:ascii="Times New Roman" w:hAnsi="Times New Roman" w:eastAsia="Times New Roman"/>
          <w:b/>
          <w:sz w:val="22"/>
        </w:rPr>
        <w:t>5.4.3 Σύγκριση με Άλλες Ελληνικές Περιοχές</w:t>
      </w:r>
    </w:p>
    <w:p>
      <w:pPr>
        <w:spacing w:line="360" w:lineRule="auto" w:after="120"/>
        <w:jc w:val="both"/>
      </w:pPr>
      <w:r>
        <w:rPr>
          <w:rFonts w:ascii="Times New Roman" w:hAnsi="Times New Roman" w:eastAsia="Times New Roman"/>
          <w:b w:val="0"/>
          <w:i w:val="0"/>
          <w:sz w:val="24"/>
        </w:rPr>
        <w:t>Τα αποτελέσματα για το Δήμο Μαραθώνα συνάδουν με ευρύτερες τάσεις που παρατηρούνται σε περιαστικούς δήμους της Αττικής:</w:t>
      </w:r>
    </w:p>
    <w:p>
      <w:pPr>
        <w:spacing w:line="360" w:lineRule="auto" w:after="120"/>
        <w:jc w:val="both"/>
      </w:pPr>
      <w:r>
        <w:rPr>
          <w:rFonts w:ascii="Times New Roman" w:hAnsi="Times New Roman" w:eastAsia="Times New Roman"/>
          <w:b w:val="0"/>
          <w:i w:val="0"/>
          <w:sz w:val="24"/>
        </w:rPr>
        <w:t>- Υψηλή θεωρητική γνώση αλλά ανομοιόμορφη πρακτική εφαρμογή</w:t>
      </w:r>
    </w:p>
    <w:p>
      <w:pPr>
        <w:spacing w:line="360" w:lineRule="auto" w:after="120"/>
        <w:jc w:val="both"/>
      </w:pPr>
      <w:r>
        <w:rPr>
          <w:rFonts w:ascii="Times New Roman" w:hAnsi="Times New Roman" w:eastAsia="Times New Roman"/>
          <w:b w:val="0"/>
          <w:i w:val="0"/>
          <w:sz w:val="24"/>
        </w:rPr>
        <w:t>- Αίτημα για βελτίωση υποδομών ανακύκλωσης</w:t>
      </w:r>
    </w:p>
    <w:p>
      <w:pPr>
        <w:spacing w:line="360" w:lineRule="auto" w:after="120"/>
        <w:jc w:val="both"/>
      </w:pPr>
      <w:r>
        <w:rPr>
          <w:rFonts w:ascii="Times New Roman" w:hAnsi="Times New Roman" w:eastAsia="Times New Roman"/>
          <w:b w:val="0"/>
          <w:i w:val="0"/>
          <w:sz w:val="24"/>
        </w:rPr>
        <w:t>- Ζήτηση για περισσότερη ενημέρωση και εκπαίδευση</w:t>
      </w:r>
    </w:p>
    <w:p>
      <w:pPr>
        <w:pStyle w:val="Heading2"/>
      </w:pPr>
      <w:r>
        <w:rPr>
          <w:rFonts w:ascii="Times New Roman" w:hAnsi="Times New Roman" w:eastAsia="Times New Roman"/>
          <w:b/>
          <w:sz w:val="24"/>
        </w:rPr>
        <w:t>5.5 Περιορισμοί Έρευνας</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Μέγεθος δείγματος:</w:t>
      </w:r>
      <w:r>
        <w:rPr>
          <w:rFonts w:ascii="Times New Roman" w:hAnsi="Times New Roman" w:eastAsia="Times New Roman"/>
          <w:b w:val="0"/>
          <w:i w:val="0"/>
          <w:sz w:val="24"/>
        </w:rPr>
        <w:t xml:space="preserve"> Με 43 ερωτηματολόγια, τα αποτελέσματα δεν μπορούν να γενικευτούν σε ολόκληρο τον πληθυσμό του Δήμου, αλλά παρέχουν σημαντικές ενδείξεις.</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Αντιπροσωπευτικότητα:</w:t>
      </w:r>
      <w:r>
        <w:rPr>
          <w:rFonts w:ascii="Times New Roman" w:hAnsi="Times New Roman" w:eastAsia="Times New Roman"/>
          <w:b w:val="0"/>
          <w:i w:val="0"/>
          <w:sz w:val="24"/>
        </w:rPr>
        <w:t xml:space="preserve"> Η υπερεκπροσώπηση γυναικών (72.1%) και ατόμων με υψηλή εκπαίδευση (86%) ενδέχεται να επηρεάζει τα αποτελέσματα.</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Ηλικιακή κατανομή:</w:t>
      </w:r>
      <w:r>
        <w:rPr>
          <w:rFonts w:ascii="Times New Roman" w:hAnsi="Times New Roman" w:eastAsia="Times New Roman"/>
          <w:b w:val="0"/>
          <w:i w:val="0"/>
          <w:sz w:val="24"/>
        </w:rPr>
        <w:t xml:space="preserve"> Το 74.4% του δείγματος είναι άνω των 47 ετών, υποεκπροσωπώντας τις νεότερες ηλικιακές ομάδες.</w:t>
      </w:r>
    </w:p>
    <w:p>
      <w:pPr>
        <w:spacing w:line="360" w:lineRule="auto" w:after="120"/>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Μέθοδος συλλογής:</w:t>
      </w:r>
      <w:r>
        <w:rPr>
          <w:rFonts w:ascii="Times New Roman" w:hAnsi="Times New Roman" w:eastAsia="Times New Roman"/>
          <w:b w:val="0"/>
          <w:i w:val="0"/>
          <w:sz w:val="24"/>
        </w:rPr>
        <w:t xml:space="preserve"> Η διαδικτυακή διανομή ερωτηματολογίου ενδέχεται να αποκλείει άτομα με περιορισμένη πρόσβαση στο διαδίκτυο.</w:t>
      </w:r>
    </w:p>
    <w:p>
      <w:pPr>
        <w:spacing w:line="360" w:lineRule="auto" w:after="120"/>
        <w:jc w:val="both"/>
      </w:pPr>
      <w:r>
        <w:rPr>
          <w:rFonts w:ascii="Times New Roman" w:hAnsi="Times New Roman" w:eastAsia="Times New Roman"/>
          <w:b w:val="0"/>
          <w:i w:val="0"/>
          <w:sz w:val="24"/>
        </w:rPr>
        <w:t xml:space="preserve">5. </w:t>
      </w:r>
      <w:r>
        <w:rPr>
          <w:rFonts w:ascii="Times New Roman" w:hAnsi="Times New Roman" w:eastAsia="Times New Roman"/>
          <w:b/>
          <w:i w:val="0"/>
          <w:sz w:val="24"/>
        </w:rPr>
        <w:t>Χρονική στιγμή:</w:t>
      </w:r>
      <w:r>
        <w:rPr>
          <w:rFonts w:ascii="Times New Roman" w:hAnsi="Times New Roman" w:eastAsia="Times New Roman"/>
          <w:b w:val="0"/>
          <w:i w:val="0"/>
          <w:sz w:val="24"/>
        </w:rPr>
        <w:t xml:space="preserve"> Η έρευνα αποτυπώνει μια στατική εικόνα σε συγκεκριμένη χρονική περίοδο.</w:t>
      </w:r>
    </w:p>
    <w:p>
      <w:pPr>
        <w:pStyle w:val="Heading2"/>
      </w:pPr>
      <w:r>
        <w:rPr>
          <w:rFonts w:ascii="Times New Roman" w:hAnsi="Times New Roman" w:eastAsia="Times New Roman"/>
          <w:b/>
          <w:sz w:val="24"/>
        </w:rPr>
        <w:t>5.6 Προτάσεις με Βάση τα Ευρήματα</w:t>
      </w:r>
    </w:p>
    <w:p>
      <w:pPr>
        <w:spacing w:line="360" w:lineRule="auto" w:after="120"/>
        <w:jc w:val="both"/>
      </w:pPr>
      <w:r>
        <w:rPr>
          <w:rFonts w:ascii="Times New Roman" w:hAnsi="Times New Roman" w:eastAsia="Times New Roman"/>
          <w:b w:val="0"/>
          <w:i w:val="0"/>
          <w:sz w:val="24"/>
        </w:rPr>
        <w:t>Με βάση τα αποτελέσματα της έρευνας, προτείνονται οι ακόλουθες δράσεις για το Δήμο Μαραθώνα:</w:t>
      </w:r>
    </w:p>
    <w:p>
      <w:pPr>
        <w:pStyle w:val="Heading3"/>
      </w:pPr>
      <w:r>
        <w:rPr>
          <w:rFonts w:ascii="Times New Roman" w:hAnsi="Times New Roman" w:eastAsia="Times New Roman"/>
          <w:b/>
          <w:sz w:val="22"/>
        </w:rPr>
        <w:t>5.6.1 Ενίσχυση Υποδομών</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Αύξηση αριθμού κάδων ανακύκλωσης:</w:t>
      </w:r>
      <w:r>
        <w:rPr>
          <w:rFonts w:ascii="Times New Roman" w:hAnsi="Times New Roman" w:eastAsia="Times New Roman"/>
          <w:b w:val="0"/>
          <w:i w:val="0"/>
          <w:sz w:val="24"/>
        </w:rPr>
        <w:t xml:space="preserve"> Τοποθέτηση πυκνότερου δικτύου κάδων, ιδίως σε οικιστικές περιοχές που παρουσιάζουν ελλείψεις.</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Δημιουργία/Επέκταση Πράσινων Σημείων:</w:t>
      </w:r>
      <w:r>
        <w:rPr>
          <w:rFonts w:ascii="Times New Roman" w:hAnsi="Times New Roman" w:eastAsia="Times New Roman"/>
          <w:b w:val="0"/>
          <w:i w:val="0"/>
          <w:sz w:val="24"/>
        </w:rPr>
        <w:t xml:space="preserve"> Ενίσχυση των υφιστάμενων υποδομών για ειδικά απόβλητα (ηλεκτρονικά, φάρμακα, λαμπτήρες κτλ.).</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Βελτίωση συχνότητας αποκομιδής:</w:t>
      </w:r>
      <w:r>
        <w:rPr>
          <w:rFonts w:ascii="Times New Roman" w:hAnsi="Times New Roman" w:eastAsia="Times New Roman"/>
          <w:b w:val="0"/>
          <w:i w:val="0"/>
          <w:sz w:val="24"/>
        </w:rPr>
        <w:t xml:space="preserve"> Επανεξέταση των δρομολογίων απορριμματοφόρων, ιδίως για ανακυκλώσιμα υλικά.</w:t>
      </w:r>
    </w:p>
    <w:p>
      <w:pPr>
        <w:pStyle w:val="Heading3"/>
      </w:pPr>
      <w:r>
        <w:rPr>
          <w:rFonts w:ascii="Times New Roman" w:hAnsi="Times New Roman" w:eastAsia="Times New Roman"/>
          <w:b/>
          <w:sz w:val="22"/>
        </w:rPr>
        <w:t>5.6.2 Ενημέρωση και Ευαισθητοποίηση</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Βιωματικές δράσεις:</w:t>
      </w:r>
      <w:r>
        <w:rPr>
          <w:rFonts w:ascii="Times New Roman" w:hAnsi="Times New Roman" w:eastAsia="Times New Roman"/>
          <w:b w:val="0"/>
          <w:i w:val="0"/>
          <w:sz w:val="24"/>
        </w:rPr>
        <w:t xml:space="preserve"> Οργάνωση εκδηλώσεων σε συνεργασία με τοπικούς συλλόγους (προτιμώμενη μέθοδος σύμφωνα με την έρευνα).</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Στοχευμένη ενημέρωση για λιγότερο γνωστές δράσεις:</w:t>
      </w:r>
      <w:r>
        <w:rPr>
          <w:rFonts w:ascii="Times New Roman" w:hAnsi="Times New Roman" w:eastAsia="Times New Roman"/>
          <w:b w:val="0"/>
          <w:i w:val="0"/>
          <w:sz w:val="24"/>
        </w:rPr>
        <w:t xml:space="preserve"> Καμπάνιες για ανακύκλωση φαρμάκων, μελανοδοχείων, ελαστικών.</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Εκπαιδευτικά προγράμματα:</w:t>
      </w:r>
      <w:r>
        <w:rPr>
          <w:rFonts w:ascii="Times New Roman" w:hAnsi="Times New Roman" w:eastAsia="Times New Roman"/>
          <w:b w:val="0"/>
          <w:i w:val="0"/>
          <w:sz w:val="24"/>
        </w:rPr>
        <w:t xml:space="preserve"> Συνεργασία με σχολεία για περιβαλλοντική εκπαίδευση.</w:t>
      </w:r>
    </w:p>
    <w:p>
      <w:pPr>
        <w:spacing w:line="360" w:lineRule="auto" w:after="120"/>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Ενημερωτικά φυλλάδια:</w:t>
      </w:r>
      <w:r>
        <w:rPr>
          <w:rFonts w:ascii="Times New Roman" w:hAnsi="Times New Roman" w:eastAsia="Times New Roman"/>
          <w:b w:val="0"/>
          <w:i w:val="0"/>
          <w:sz w:val="24"/>
        </w:rPr>
        <w:t xml:space="preserve"> Διανομή σε νοικοκυριά με πρακτικές οδηγίες ανακύκλωσης.</w:t>
      </w:r>
    </w:p>
    <w:p>
      <w:pPr>
        <w:pStyle w:val="Heading3"/>
      </w:pPr>
      <w:r>
        <w:rPr>
          <w:rFonts w:ascii="Times New Roman" w:hAnsi="Times New Roman" w:eastAsia="Times New Roman"/>
          <w:b/>
          <w:sz w:val="22"/>
        </w:rPr>
        <w:t>5.6.3 Προγράμματα Κινητροδότησης</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Σύστημα επιβράβευσης:</w:t>
      </w:r>
      <w:r>
        <w:rPr>
          <w:rFonts w:ascii="Times New Roman" w:hAnsi="Times New Roman" w:eastAsia="Times New Roman"/>
          <w:b w:val="0"/>
          <w:i w:val="0"/>
          <w:sz w:val="24"/>
        </w:rPr>
        <w:t xml:space="preserve"> Υλοποίηση προγραμμάτων "Pay As You Throw" ή συστημάτων πόντων.</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Ενίσχυση κομποστοποίησης:</w:t>
      </w:r>
      <w:r>
        <w:rPr>
          <w:rFonts w:ascii="Times New Roman" w:hAnsi="Times New Roman" w:eastAsia="Times New Roman"/>
          <w:b w:val="0"/>
          <w:i w:val="0"/>
          <w:sz w:val="24"/>
        </w:rPr>
        <w:t xml:space="preserve"> Δωρεάν διανομή κάδων κομποστοποίησης (εφόσον ήδη το 76.8% την εφαρμόζει).</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Δημιουργία κοινοτικών κέντρων επαναχρησιμοποίησης:</w:t>
      </w:r>
      <w:r>
        <w:rPr>
          <w:rFonts w:ascii="Times New Roman" w:hAnsi="Times New Roman" w:eastAsia="Times New Roman"/>
          <w:b w:val="0"/>
          <w:i w:val="0"/>
          <w:sz w:val="24"/>
        </w:rPr>
        <w:t xml:space="preserve"> Χώροι ανταλλαγής/δωρεάς αντικειμένων.</w:t>
      </w:r>
    </w:p>
    <w:p>
      <w:pPr>
        <w:pStyle w:val="Heading3"/>
      </w:pPr>
      <w:r>
        <w:rPr>
          <w:rFonts w:ascii="Times New Roman" w:hAnsi="Times New Roman" w:eastAsia="Times New Roman"/>
          <w:b/>
          <w:sz w:val="22"/>
        </w:rPr>
        <w:t>5.6.4 Συμμετοχικός Σχεδιασμός</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Διαβούλευση με πολίτες:</w:t>
      </w:r>
      <w:r>
        <w:rPr>
          <w:rFonts w:ascii="Times New Roman" w:hAnsi="Times New Roman" w:eastAsia="Times New Roman"/>
          <w:b w:val="0"/>
          <w:i w:val="0"/>
          <w:sz w:val="24"/>
        </w:rPr>
        <w:t xml:space="preserve"> Αξιοποίηση της υψηλής διάθεσης συμμετοχής (93%) για συνδιαμόρφωση πολιτικών.</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Ομάδες εθελοντών:</w:t>
      </w:r>
      <w:r>
        <w:rPr>
          <w:rFonts w:ascii="Times New Roman" w:hAnsi="Times New Roman" w:eastAsia="Times New Roman"/>
          <w:b w:val="0"/>
          <w:i w:val="0"/>
          <w:sz w:val="24"/>
        </w:rPr>
        <w:t xml:space="preserve"> Δημιουργία δικτύου "Πράσινων Πρεσβευτών" στις γειτονιές.</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Ψηφιακή πλατφόρμα:</w:t>
      </w:r>
      <w:r>
        <w:rPr>
          <w:rFonts w:ascii="Times New Roman" w:hAnsi="Times New Roman" w:eastAsia="Times New Roman"/>
          <w:b w:val="0"/>
          <w:i w:val="0"/>
          <w:sz w:val="24"/>
        </w:rPr>
        <w:t xml:space="preserve"> Εφαρμογή για αναφορά προβλημάτων και ενημέρωση πολιτών.</w:t>
      </w:r>
    </w:p>
    <w:p>
      <w:pPr>
        <w:pStyle w:val="Heading2"/>
      </w:pPr>
      <w:r>
        <w:rPr>
          <w:rFonts w:ascii="Times New Roman" w:hAnsi="Times New Roman" w:eastAsia="Times New Roman"/>
          <w:b/>
          <w:sz w:val="24"/>
        </w:rPr>
        <w:t>5.7 Συμπεράσματα Κεφαλαίου</w:t>
      </w:r>
    </w:p>
    <w:p>
      <w:pPr>
        <w:spacing w:line="360" w:lineRule="auto" w:after="120"/>
        <w:jc w:val="both"/>
      </w:pPr>
      <w:r>
        <w:rPr>
          <w:rFonts w:ascii="Times New Roman" w:hAnsi="Times New Roman" w:eastAsia="Times New Roman"/>
          <w:b w:val="0"/>
          <w:i w:val="0"/>
          <w:sz w:val="24"/>
        </w:rPr>
        <w:t xml:space="preserve">Η έρευνα στο Δήμο Μαραθώνα αποκάλυψε ένα </w:t>
      </w:r>
      <w:r>
        <w:rPr>
          <w:rFonts w:ascii="Times New Roman" w:hAnsi="Times New Roman" w:eastAsia="Times New Roman"/>
          <w:b/>
          <w:i w:val="0"/>
          <w:sz w:val="24"/>
        </w:rPr>
        <w:t>θετικό υπόβαθρο</w:t>
      </w:r>
      <w:r>
        <w:rPr>
          <w:rFonts w:ascii="Times New Roman" w:hAnsi="Times New Roman" w:eastAsia="Times New Roman"/>
          <w:b w:val="0"/>
          <w:i w:val="0"/>
          <w:sz w:val="24"/>
        </w:rPr>
        <w:t xml:space="preserve"> περιβαλλοντικής συνείδησης και διάθεσης συμμετοχής από τους πολίτες, αλλά και </w:t>
      </w:r>
      <w:r>
        <w:rPr>
          <w:rFonts w:ascii="Times New Roman" w:hAnsi="Times New Roman" w:eastAsia="Times New Roman"/>
          <w:b/>
          <w:i w:val="0"/>
          <w:sz w:val="24"/>
        </w:rPr>
        <w:t>σημαντικά κενά</w:t>
      </w:r>
      <w:r>
        <w:rPr>
          <w:rFonts w:ascii="Times New Roman" w:hAnsi="Times New Roman" w:eastAsia="Times New Roman"/>
          <w:b w:val="0"/>
          <w:i w:val="0"/>
          <w:sz w:val="24"/>
        </w:rPr>
        <w:t xml:space="preserve"> στην υποδομή και την ενημέρωση.</w:t>
      </w:r>
    </w:p>
    <w:p>
      <w:pPr>
        <w:spacing w:line="360" w:lineRule="auto" w:after="120"/>
        <w:jc w:val="both"/>
      </w:pPr>
      <w:r>
        <w:rPr>
          <w:rFonts w:ascii="Times New Roman" w:hAnsi="Times New Roman" w:eastAsia="Times New Roman"/>
          <w:b/>
          <w:i w:val="0"/>
          <w:sz w:val="24"/>
        </w:rPr>
        <w:t>Κύρια συμπεράσματα:</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Υψηλή βασική γνώση (90.7% γνωρίζει για ανακύκλωση) αλλά χαμηλή γνώση λεπτομερειών</w:t>
      </w:r>
      <w:r>
        <w:rPr>
          <w:rFonts w:ascii="Times New Roman" w:hAnsi="Times New Roman" w:eastAsia="Times New Roman"/>
          <w:b w:val="0"/>
          <w:i w:val="0"/>
          <w:sz w:val="24"/>
        </w:rPr>
        <w:t xml:space="preserve"> (50% δεν γνωρίζει συγκεκριμένες δράσεις).</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Σημαντική δυσαρέσκεια από υπηρεσίες Δήμου:</w:t>
      </w:r>
      <w:r>
        <w:rPr>
          <w:rFonts w:ascii="Times New Roman" w:hAnsi="Times New Roman" w:eastAsia="Times New Roman"/>
          <w:b w:val="0"/>
          <w:i w:val="0"/>
          <w:sz w:val="24"/>
        </w:rPr>
        <w:t xml:space="preserve"> 75% θεωρεί ανεπαρκή την υποστήριξη, 90.7% ζητά περισσότερους κάδους.</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Πολύ υψηλή πρόθεση συμμετοχής (93%)</w:t>
      </w:r>
      <w:r>
        <w:rPr>
          <w:rFonts w:ascii="Times New Roman" w:hAnsi="Times New Roman" w:eastAsia="Times New Roman"/>
          <w:b w:val="0"/>
          <w:i w:val="0"/>
          <w:sz w:val="24"/>
        </w:rPr>
        <w:t xml:space="preserve"> που πρέπει να αξιοποιηθεί με συγκεκριμένα προγράμματα.</w:t>
      </w:r>
    </w:p>
    <w:p>
      <w:pPr>
        <w:spacing w:line="360" w:lineRule="auto" w:after="120"/>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Επιτυχημένη εφαρμογή κομποστοποίησης (76.8%)</w:t>
      </w:r>
      <w:r>
        <w:rPr>
          <w:rFonts w:ascii="Times New Roman" w:hAnsi="Times New Roman" w:eastAsia="Times New Roman"/>
          <w:b w:val="0"/>
          <w:i w:val="0"/>
          <w:sz w:val="24"/>
        </w:rPr>
        <w:t xml:space="preserve"> που αντανακλά τον περιαστικό χαρακτήρα της περιοχής.</w:t>
      </w:r>
    </w:p>
    <w:p>
      <w:pPr>
        <w:spacing w:line="360" w:lineRule="auto" w:after="120"/>
        <w:jc w:val="both"/>
      </w:pPr>
      <w:r>
        <w:rPr>
          <w:rFonts w:ascii="Times New Roman" w:hAnsi="Times New Roman" w:eastAsia="Times New Roman"/>
          <w:b w:val="0"/>
          <w:i w:val="0"/>
          <w:sz w:val="24"/>
        </w:rPr>
        <w:t xml:space="preserve">5. </w:t>
      </w:r>
      <w:r>
        <w:rPr>
          <w:rFonts w:ascii="Times New Roman" w:hAnsi="Times New Roman" w:eastAsia="Times New Roman"/>
          <w:b/>
          <w:i w:val="0"/>
          <w:sz w:val="24"/>
        </w:rPr>
        <w:t>Προτίμηση σε βιωματικές δράσεις</w:t>
      </w:r>
      <w:r>
        <w:rPr>
          <w:rFonts w:ascii="Times New Roman" w:hAnsi="Times New Roman" w:eastAsia="Times New Roman"/>
          <w:b w:val="0"/>
          <w:i w:val="0"/>
          <w:sz w:val="24"/>
        </w:rPr>
        <w:t xml:space="preserve"> για ενημέρωση αντί για ψηφιακά μέσα.</w:t>
      </w:r>
    </w:p>
    <w:p>
      <w:pPr>
        <w:spacing w:line="360" w:lineRule="auto" w:after="120"/>
        <w:jc w:val="both"/>
      </w:pPr>
      <w:r>
        <w:rPr>
          <w:rFonts w:ascii="Times New Roman" w:hAnsi="Times New Roman" w:eastAsia="Times New Roman"/>
          <w:b w:val="0"/>
          <w:i w:val="0"/>
          <w:sz w:val="24"/>
        </w:rPr>
        <w:t xml:space="preserve">Η επιτυχής μετάβαση του Δήμου Μαραθώνα σε ένα μοντέλο κυκλικής οικονομίας απαιτεί </w:t>
      </w:r>
      <w:r>
        <w:rPr>
          <w:rFonts w:ascii="Times New Roman" w:hAnsi="Times New Roman" w:eastAsia="Times New Roman"/>
          <w:b/>
          <w:i w:val="0"/>
          <w:sz w:val="24"/>
        </w:rPr>
        <w:t>τριπλή δράση:</w:t>
      </w:r>
    </w:p>
    <w:p>
      <w:pPr>
        <w:spacing w:line="360" w:lineRule="auto" w:after="120"/>
        <w:jc w:val="both"/>
      </w:pPr>
      <w:r>
        <w:rPr>
          <w:rFonts w:ascii="Times New Roman" w:hAnsi="Times New Roman" w:eastAsia="Times New Roman"/>
          <w:b w:val="0"/>
          <w:i w:val="0"/>
          <w:sz w:val="24"/>
        </w:rPr>
        <w:t>- Επενδύσεις σε υποδομές</w:t>
      </w:r>
    </w:p>
    <w:p>
      <w:pPr>
        <w:spacing w:line="360" w:lineRule="auto" w:after="120"/>
        <w:jc w:val="both"/>
      </w:pPr>
      <w:r>
        <w:rPr>
          <w:rFonts w:ascii="Times New Roman" w:hAnsi="Times New Roman" w:eastAsia="Times New Roman"/>
          <w:b w:val="0"/>
          <w:i w:val="0"/>
          <w:sz w:val="24"/>
        </w:rPr>
        <w:t>- Συστηματική ενημέρωση και εκπαίδευση</w:t>
      </w:r>
    </w:p>
    <w:p>
      <w:pPr>
        <w:spacing w:line="360" w:lineRule="auto" w:after="120"/>
        <w:jc w:val="both"/>
      </w:pPr>
      <w:r>
        <w:rPr>
          <w:rFonts w:ascii="Times New Roman" w:hAnsi="Times New Roman" w:eastAsia="Times New Roman"/>
          <w:b w:val="0"/>
          <w:i w:val="0"/>
          <w:sz w:val="24"/>
        </w:rPr>
        <w:t>- Ενεργό συμμετοχικό σχεδιασμό με τους πολίτες</w:t>
      </w:r>
    </w:p>
    <w:p>
      <w:pPr>
        <w:spacing w:line="360" w:lineRule="auto" w:after="120"/>
        <w:jc w:val="both"/>
      </w:pPr>
      <w:r>
        <w:rPr>
          <w:rFonts w:ascii="Times New Roman" w:hAnsi="Times New Roman" w:eastAsia="Times New Roman"/>
          <w:b w:val="0"/>
          <w:i w:val="0"/>
          <w:sz w:val="24"/>
        </w:rPr>
        <w:t>Τα ευρήματα αυτά συνάδουν με τη διεθνή εμπειρία που δείχνει ότι η επιτυχία των πολιτικών κυκλικής οικονομίας εξαρτάται εξίσου από την τεχνική υποδομή και την κοινωνική αποδοχή και συμμετοχή.</w:t>
      </w:r>
    </w:p>
    <w:p>
      <w:r>
        <w:br w:type="page"/>
      </w:r>
    </w:p>
    <w:p>
      <w:pPr>
        <w:pStyle w:val="Heading1"/>
      </w:pPr>
      <w:r>
        <w:rPr>
          <w:rFonts w:ascii="Times New Roman" w:hAnsi="Times New Roman" w:eastAsia="Times New Roman"/>
          <w:b/>
          <w:sz w:val="28"/>
        </w:rPr>
        <w:t>ΣΥΜΠΕΡΑΣΜΑΤΑ ΚΑΙ ΠΡΟΤΑΣΕΙΣ</w:t>
      </w:r>
    </w:p>
    <w:p>
      <w:pPr>
        <w:pStyle w:val="Heading2"/>
      </w:pPr>
      <w:r>
        <w:rPr>
          <w:rFonts w:ascii="Times New Roman" w:hAnsi="Times New Roman" w:eastAsia="Times New Roman"/>
          <w:b/>
          <w:sz w:val="24"/>
        </w:rPr>
        <w:t>Γενικά Συμπεράσματα</w:t>
      </w:r>
    </w:p>
    <w:p>
      <w:pPr>
        <w:spacing w:line="360" w:lineRule="auto" w:after="120"/>
        <w:jc w:val="both"/>
      </w:pPr>
      <w:r>
        <w:rPr>
          <w:rFonts w:ascii="Times New Roman" w:hAnsi="Times New Roman" w:eastAsia="Times New Roman"/>
          <w:b w:val="0"/>
          <w:i w:val="0"/>
          <w:sz w:val="24"/>
        </w:rPr>
        <w:t>Η παρούσα διπλωματική εργασία διερεύνησε την εφαρμογή των αρχών της κυκλικής οικονομίας στη διαχείριση των στερεών αποβλήτων, με ειδική αναφορά στην περίπτωση του Δήμου Μαραθώνα. Μέσα από τη διεξοδική ανάλυση του θεωρητικού πλαισίου, του νομοθετικού περιβάλλοντος και την εμπειρική έρευνα με τη συμμετοχή 43 πολιτών, αναδείχθηκαν σημαντικά ευρήματα που επιβεβαιώνουν τόσο τις δυνατότητες όσο και τις προκλήσεις της μετάβασης από το γραμμικό στο κυκλικό μοντέλο οικονομίας σε τοπικό επίπεδο.</w:t>
      </w:r>
    </w:p>
    <w:p>
      <w:pPr>
        <w:spacing w:line="360" w:lineRule="auto" w:after="120"/>
        <w:jc w:val="both"/>
      </w:pPr>
      <w:r>
        <w:rPr>
          <w:rFonts w:ascii="Times New Roman" w:hAnsi="Times New Roman" w:eastAsia="Times New Roman"/>
          <w:b w:val="0"/>
          <w:i w:val="0"/>
          <w:sz w:val="24"/>
        </w:rPr>
        <w:t xml:space="preserve">Η κυκλική οικονομία δεν αποτελεί απλώς μια τεχνική λύση για τη διαχείριση αποβλήτων, αλλά ένα ολοκληρωμένο πλαίσιο βιώσιμης ανάπτυξης που απαιτεί θεσμική υποστήριξη, τεχνολογική υποδομή, οικονομικούς πόρους και, κυρίως, </w:t>
      </w:r>
      <w:r>
        <w:rPr>
          <w:rFonts w:ascii="Times New Roman" w:hAnsi="Times New Roman" w:eastAsia="Times New Roman"/>
          <w:b/>
          <w:i w:val="0"/>
          <w:sz w:val="24"/>
        </w:rPr>
        <w:t>κοινωνική αποδοχή και ενεργό συμμετοχή</w:t>
      </w:r>
      <w:r>
        <w:rPr>
          <w:rFonts w:ascii="Times New Roman" w:hAnsi="Times New Roman" w:eastAsia="Times New Roman"/>
          <w:b w:val="0"/>
          <w:i w:val="0"/>
          <w:sz w:val="24"/>
        </w:rPr>
        <w:t>. Τα ευρήματα της έρευνας στο Δήμο Μαραθώνα αναδεικνύουν με σαφήνεια ότι, ενώ υπάρχει το κοινωνικό υπόβαθρο και η διάθεση των πολιτών για συμμετοχή, οι υποδομές και οι μηχανισμοί στήριξης υστερούν σημαντικά.</w:t>
      </w:r>
    </w:p>
    <w:p>
      <w:pPr>
        <w:pStyle w:val="Heading2"/>
      </w:pPr>
      <w:r>
        <w:rPr>
          <w:rFonts w:ascii="Times New Roman" w:hAnsi="Times New Roman" w:eastAsia="Times New Roman"/>
          <w:b/>
          <w:sz w:val="24"/>
        </w:rPr>
        <w:t>1. Θεωρητικές Επιβεβαιώσεις και Πρακτικές Διαπιστώσεις</w:t>
      </w:r>
    </w:p>
    <w:p>
      <w:pPr>
        <w:pStyle w:val="Heading3"/>
      </w:pPr>
      <w:r>
        <w:rPr>
          <w:rFonts w:ascii="Times New Roman" w:hAnsi="Times New Roman" w:eastAsia="Times New Roman"/>
          <w:b/>
          <w:sz w:val="22"/>
        </w:rPr>
        <w:t>1.1 Η Αναγκαιότητα της Κυκλικής Οικονομίας</w:t>
      </w:r>
    </w:p>
    <w:p>
      <w:pPr>
        <w:spacing w:line="360" w:lineRule="auto" w:after="120"/>
        <w:jc w:val="both"/>
      </w:pPr>
      <w:r>
        <w:rPr>
          <w:rFonts w:ascii="Times New Roman" w:hAnsi="Times New Roman" w:eastAsia="Times New Roman"/>
          <w:b w:val="0"/>
          <w:i w:val="0"/>
          <w:sz w:val="24"/>
        </w:rPr>
        <w:t>Όπως αναλύθηκε στα Κεφάλαια 1 και 2, το γραμμικό μοντέλο «παίρνω-παράγω-πετάω» έχει οδηγήσει σε εξάντληση φυσικών πόρων, περιβαλλοντική υποβάθμιση και κλιματική κρίση. Η Ευρωπαϊκή Ένωση, αναγνωρίζοντας αυτή την πραγματικότητα, έχει θέσει φιλόδοξους στόχους:</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55% ανακύκλωση αστικών αποβλήτων έως το 2025</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65% έως το 2035</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Μέγιστο 10% υγειονομική ταφή έως το 2035</w:t>
      </w:r>
    </w:p>
    <w:p>
      <w:pPr>
        <w:spacing w:line="360" w:lineRule="auto" w:after="120"/>
        <w:jc w:val="both"/>
      </w:pPr>
      <w:r>
        <w:rPr>
          <w:rFonts w:ascii="Times New Roman" w:hAnsi="Times New Roman" w:eastAsia="Times New Roman"/>
          <w:b w:val="0"/>
          <w:i w:val="0"/>
          <w:sz w:val="24"/>
        </w:rPr>
        <w:t>Η Ελλάδα, με ποσοστό ανακύκλωσης που παραμένει κάτω του 20% (σημαντικά χαμηλότερα του ευρωπαϊκού μέσου όρου 47%), έχει ακόμη μεγάλο δρόμο να διανύσει. Οι Δήμοι, ως πρώτη γραμμή εφαρμογής πολιτικών, φέρουν καθοριστικό ρόλο σε αυτή τη μετάβαση.</w:t>
      </w:r>
    </w:p>
    <w:p>
      <w:pPr>
        <w:pStyle w:val="Heading3"/>
      </w:pPr>
      <w:r>
        <w:rPr>
          <w:rFonts w:ascii="Times New Roman" w:hAnsi="Times New Roman" w:eastAsia="Times New Roman"/>
          <w:b/>
          <w:sz w:val="22"/>
        </w:rPr>
        <w:t>1.2 Το Νομοθετικό Πλαίσιο ως Μοχλός Αλλαγής</w:t>
      </w:r>
    </w:p>
    <w:p>
      <w:pPr>
        <w:spacing w:line="360" w:lineRule="auto" w:after="120"/>
        <w:jc w:val="both"/>
      </w:pPr>
      <w:r>
        <w:rPr>
          <w:rFonts w:ascii="Times New Roman" w:hAnsi="Times New Roman" w:eastAsia="Times New Roman"/>
          <w:b w:val="0"/>
          <w:i w:val="0"/>
          <w:sz w:val="24"/>
        </w:rPr>
        <w:t xml:space="preserve">Από την ανάλυση του Κεφαλαίου 3 προκύπτει ότι το νομικό πλαίσιο – τόσο σε ευρωπαϊκό (Οδηγίες 2008/98/ΕΚ, 2018/851/ΕΕ) όσο και σε εθνικό επίπεδο (Ν. 4819/2021, Ν. 4042/2012) – είναι </w:t>
      </w:r>
      <w:r>
        <w:rPr>
          <w:rFonts w:ascii="Times New Roman" w:hAnsi="Times New Roman" w:eastAsia="Times New Roman"/>
          <w:b/>
          <w:i w:val="0"/>
          <w:sz w:val="24"/>
        </w:rPr>
        <w:t>επαρκές και φιλόδοξο</w:t>
      </w:r>
      <w:r>
        <w:rPr>
          <w:rFonts w:ascii="Times New Roman" w:hAnsi="Times New Roman" w:eastAsia="Times New Roman"/>
          <w:b w:val="0"/>
          <w:i w:val="0"/>
          <w:sz w:val="24"/>
        </w:rPr>
        <w:t xml:space="preserve">. Ωστόσο, η </w:t>
      </w:r>
      <w:r>
        <w:rPr>
          <w:rFonts w:ascii="Times New Roman" w:hAnsi="Times New Roman" w:eastAsia="Times New Roman"/>
          <w:b/>
          <w:i w:val="0"/>
          <w:sz w:val="24"/>
        </w:rPr>
        <w:t>εφαρμογή</w:t>
      </w:r>
      <w:r>
        <w:rPr>
          <w:rFonts w:ascii="Times New Roman" w:hAnsi="Times New Roman" w:eastAsia="Times New Roman"/>
          <w:b w:val="0"/>
          <w:i w:val="0"/>
          <w:sz w:val="24"/>
        </w:rPr>
        <w:t xml:space="preserve"> υστερεί. Οι κυρώσεις για μη συμμόρφωση είναι περιορισμένες, τα οικονομικά κίνητρα ανεπαρκή, και η συντονισμένη δράση μεταξύ κεντρικής διοίκησης και ΟΤΑ αδύναμη.</w:t>
      </w:r>
    </w:p>
    <w:p>
      <w:pPr>
        <w:spacing w:line="360" w:lineRule="auto" w:after="120"/>
        <w:jc w:val="both"/>
      </w:pPr>
      <w:r>
        <w:rPr>
          <w:rFonts w:ascii="Times New Roman" w:hAnsi="Times New Roman" w:eastAsia="Times New Roman"/>
          <w:b w:val="0"/>
          <w:i w:val="0"/>
          <w:sz w:val="24"/>
        </w:rPr>
        <w:t>Η επιτυχημένη περίπτωση της Γλασκώβης (Κεφάλαιο 3), με 54% ποσοστό ανακύκλωσης μέσω επένδυσης σε υποδομές, ψηφιακές πλατφόρμες και συμμετοχικό σχεδιασμό, αποδεικνύει ότι η αλλαγή είναι εφικτή όταν υπάρχει πολιτική βούληση και συντονισμένη στρατηγική.</w:t>
      </w:r>
    </w:p>
    <w:p>
      <w:pPr>
        <w:pStyle w:val="Heading2"/>
      </w:pPr>
      <w:r>
        <w:rPr>
          <w:rFonts w:ascii="Times New Roman" w:hAnsi="Times New Roman" w:eastAsia="Times New Roman"/>
          <w:b/>
          <w:sz w:val="24"/>
        </w:rPr>
        <w:t>2. Κύρια Ευρήματα από την Έρευνα στο Δήμο Μαραθώνα</w:t>
      </w:r>
    </w:p>
    <w:p>
      <w:pPr>
        <w:pStyle w:val="Heading3"/>
      </w:pPr>
      <w:r>
        <w:rPr>
          <w:rFonts w:ascii="Times New Roman" w:hAnsi="Times New Roman" w:eastAsia="Times New Roman"/>
          <w:b/>
          <w:sz w:val="22"/>
        </w:rPr>
        <w:t>2.1 Υψηλή Περιβαλλοντική Συνείδηση αλλά Ανομοιόμορφη Πρακτική</w:t>
      </w:r>
    </w:p>
    <w:p>
      <w:pPr>
        <w:spacing w:line="360" w:lineRule="auto" w:after="120"/>
        <w:jc w:val="both"/>
      </w:pPr>
      <w:r>
        <w:rPr>
          <w:rFonts w:ascii="Times New Roman" w:hAnsi="Times New Roman" w:eastAsia="Times New Roman"/>
          <w:b w:val="0"/>
          <w:i w:val="0"/>
          <w:sz w:val="24"/>
        </w:rPr>
        <w:t xml:space="preserve">Η έρευνα (Κεφάλαιο 5) αποκάλυψε ένα </w:t>
      </w:r>
      <w:r>
        <w:rPr>
          <w:rFonts w:ascii="Times New Roman" w:hAnsi="Times New Roman" w:eastAsia="Times New Roman"/>
          <w:b/>
          <w:i w:val="0"/>
          <w:sz w:val="24"/>
        </w:rPr>
        <w:t>παράδοξο</w:t>
      </w:r>
      <w:r>
        <w:rPr>
          <w:rFonts w:ascii="Times New Roman" w:hAnsi="Times New Roman" w:eastAsia="Times New Roman"/>
          <w:b w:val="0"/>
          <w:i w:val="0"/>
          <w:sz w:val="24"/>
        </w:rPr>
        <w:t xml:space="preserve">: ενώ το </w:t>
      </w:r>
      <w:r>
        <w:rPr>
          <w:rFonts w:ascii="Times New Roman" w:hAnsi="Times New Roman" w:eastAsia="Times New Roman"/>
          <w:b/>
          <w:i w:val="0"/>
          <w:sz w:val="24"/>
        </w:rPr>
        <w:t>90.7%</w:t>
      </w:r>
      <w:r>
        <w:rPr>
          <w:rFonts w:ascii="Times New Roman" w:hAnsi="Times New Roman" w:eastAsia="Times New Roman"/>
          <w:b w:val="0"/>
          <w:i w:val="0"/>
          <w:sz w:val="24"/>
        </w:rPr>
        <w:t xml:space="preserve"> των πολιτών γνωρίζει για την ανακύκλωση και το </w:t>
      </w:r>
      <w:r>
        <w:rPr>
          <w:rFonts w:ascii="Times New Roman" w:hAnsi="Times New Roman" w:eastAsia="Times New Roman"/>
          <w:b/>
          <w:i w:val="0"/>
          <w:sz w:val="24"/>
        </w:rPr>
        <w:t>93%</w:t>
      </w:r>
      <w:r>
        <w:rPr>
          <w:rFonts w:ascii="Times New Roman" w:hAnsi="Times New Roman" w:eastAsia="Times New Roman"/>
          <w:b w:val="0"/>
          <w:i w:val="0"/>
          <w:sz w:val="24"/>
        </w:rPr>
        <w:t xml:space="preserve"> δηλώνει πρόθεση συμμετοχής σε προγράμματα κυκλικής οικονομίας, μόλις το </w:t>
      </w:r>
      <w:r>
        <w:rPr>
          <w:rFonts w:ascii="Times New Roman" w:hAnsi="Times New Roman" w:eastAsia="Times New Roman"/>
          <w:b/>
          <w:i w:val="0"/>
          <w:sz w:val="24"/>
        </w:rPr>
        <w:t>60.6%</w:t>
      </w:r>
      <w:r>
        <w:rPr>
          <w:rFonts w:ascii="Times New Roman" w:hAnsi="Times New Roman" w:eastAsia="Times New Roman"/>
          <w:b w:val="0"/>
          <w:i w:val="0"/>
          <w:sz w:val="24"/>
        </w:rPr>
        <w:t xml:space="preserve"> διαχωρίζει συστηματικά τα ανακυκλώσιμα υλικά.</w:t>
      </w:r>
    </w:p>
    <w:p>
      <w:pPr>
        <w:spacing w:line="360" w:lineRule="auto" w:after="120"/>
        <w:jc w:val="both"/>
      </w:pPr>
      <w:r>
        <w:rPr>
          <w:rFonts w:ascii="Times New Roman" w:hAnsi="Times New Roman" w:eastAsia="Times New Roman"/>
          <w:b w:val="0"/>
          <w:i w:val="0"/>
          <w:sz w:val="24"/>
        </w:rPr>
        <w:t xml:space="preserve">Αυτό το χάσμα μεταξύ </w:t>
      </w:r>
      <w:r>
        <w:rPr>
          <w:rFonts w:ascii="Times New Roman" w:hAnsi="Times New Roman" w:eastAsia="Times New Roman"/>
          <w:b/>
          <w:i w:val="0"/>
          <w:sz w:val="24"/>
        </w:rPr>
        <w:t>στάσης και πράξης</w:t>
      </w:r>
      <w:r>
        <w:rPr>
          <w:rFonts w:ascii="Times New Roman" w:hAnsi="Times New Roman" w:eastAsia="Times New Roman"/>
          <w:b w:val="0"/>
          <w:i w:val="0"/>
          <w:sz w:val="24"/>
        </w:rPr>
        <w:t xml:space="preserve"> (attitude-behavior gap) είναι ένα γνωστό φαινόμενο στη βιβλιογραφία περιβαλλοντικής συμπεριφοράς. Οφείλεται κυρίως σε:</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Δομικά εμπόδια:</w:t>
      </w:r>
      <w:r>
        <w:rPr>
          <w:rFonts w:ascii="Times New Roman" w:hAnsi="Times New Roman" w:eastAsia="Times New Roman"/>
          <w:b w:val="0"/>
          <w:i w:val="0"/>
          <w:sz w:val="24"/>
        </w:rPr>
        <w:t xml:space="preserve"> Ανεπάρκεια κάδων (90.7% ζητά περισσότερους), χαμηλή συχνότητα αποκομιδής (62.8% δυσαρεστημένοι)</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Πληροφοριακά κενά:</w:t>
      </w:r>
      <w:r>
        <w:rPr>
          <w:rFonts w:ascii="Times New Roman" w:hAnsi="Times New Roman" w:eastAsia="Times New Roman"/>
          <w:b w:val="0"/>
          <w:i w:val="0"/>
          <w:sz w:val="24"/>
        </w:rPr>
        <w:t xml:space="preserve"> Περίπου 50% δεν γνωρίζει συγκεκριμένες δράσεις του Δήμου (π.χ. ανακύκλωση φαρμάκων, ελαστικών, μελανοδοχείων)</w:t>
      </w:r>
    </w:p>
    <w:p>
      <w:pPr>
        <w:spacing w:line="360" w:lineRule="auto" w:after="1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Έλλειψη κινήτρων:</w:t>
      </w:r>
      <w:r>
        <w:rPr>
          <w:rFonts w:ascii="Times New Roman" w:hAnsi="Times New Roman" w:eastAsia="Times New Roman"/>
          <w:b w:val="0"/>
          <w:i w:val="0"/>
          <w:sz w:val="24"/>
        </w:rPr>
        <w:t xml:space="preserve"> Απουσία οικονομικών επιβραβεύσεων ή συστημάτων "Pay-As-You-Throw"</w:t>
      </w:r>
    </w:p>
    <w:p>
      <w:pPr>
        <w:pStyle w:val="Heading3"/>
      </w:pPr>
      <w:r>
        <w:rPr>
          <w:rFonts w:ascii="Times New Roman" w:hAnsi="Times New Roman" w:eastAsia="Times New Roman"/>
          <w:b/>
          <w:sz w:val="22"/>
        </w:rPr>
        <w:t>2.2 Κρίσιμη Θέση: Η Δυσαρέσκεια από τις Υπηρεσίες του Δήμου</w:t>
      </w:r>
    </w:p>
    <w:p>
      <w:pPr>
        <w:spacing w:line="360" w:lineRule="auto" w:after="120"/>
        <w:jc w:val="both"/>
      </w:pPr>
      <w:r>
        <w:rPr>
          <w:rFonts w:ascii="Times New Roman" w:hAnsi="Times New Roman" w:eastAsia="Times New Roman"/>
          <w:b w:val="0"/>
          <w:i w:val="0"/>
          <w:sz w:val="24"/>
        </w:rPr>
        <w:t xml:space="preserve">Το πιο ανησυχητικό εύρημα είναι ότι το </w:t>
      </w:r>
      <w:r>
        <w:rPr>
          <w:rFonts w:ascii="Times New Roman" w:hAnsi="Times New Roman" w:eastAsia="Times New Roman"/>
          <w:b/>
          <w:i w:val="0"/>
          <w:sz w:val="24"/>
        </w:rPr>
        <w:t>75%</w:t>
      </w:r>
      <w:r>
        <w:rPr>
          <w:rFonts w:ascii="Times New Roman" w:hAnsi="Times New Roman" w:eastAsia="Times New Roman"/>
          <w:b w:val="0"/>
          <w:i w:val="0"/>
          <w:sz w:val="24"/>
        </w:rPr>
        <w:t xml:space="preserve"> των πολιτών θεωρεί ότι ο Δήμος </w:t>
      </w:r>
      <w:r>
        <w:rPr>
          <w:rFonts w:ascii="Times New Roman" w:hAnsi="Times New Roman" w:eastAsia="Times New Roman"/>
          <w:b/>
          <w:i w:val="0"/>
          <w:sz w:val="24"/>
        </w:rPr>
        <w:t>δεν παρέχει επαρκή υποστήριξη</w:t>
      </w:r>
      <w:r>
        <w:rPr>
          <w:rFonts w:ascii="Times New Roman" w:hAnsi="Times New Roman" w:eastAsia="Times New Roman"/>
          <w:b w:val="0"/>
          <w:i w:val="0"/>
          <w:sz w:val="24"/>
        </w:rPr>
        <w:t xml:space="preserve"> για την ανακύκλωση. Αυτό το υψηλό ποσοστό δυσαρέσκειας υποδηλώνει:</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Χαμένες ευκαιρίες:</w:t>
      </w:r>
      <w:r>
        <w:rPr>
          <w:rFonts w:ascii="Times New Roman" w:hAnsi="Times New Roman" w:eastAsia="Times New Roman"/>
          <w:b w:val="0"/>
          <w:i w:val="0"/>
          <w:sz w:val="24"/>
        </w:rPr>
        <w:t xml:space="preserve"> Παρά την προθυμία των πολιτών, δεν υπάρχει το απαραίτητο υποστηρικτικό πλαίσιο</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Κίνδυνο απαξίωσης:</w:t>
      </w:r>
      <w:r>
        <w:rPr>
          <w:rFonts w:ascii="Times New Roman" w:hAnsi="Times New Roman" w:eastAsia="Times New Roman"/>
          <w:b w:val="0"/>
          <w:i w:val="0"/>
          <w:sz w:val="24"/>
        </w:rPr>
        <w:t xml:space="preserve"> Η παρατεταμένη αδράνεια μπορεί να οδηγήσει σε απογοήτευση και εγκατάλειψη των προσπαθειών ανακύκλωσης</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Επείγουσα ανάγκη δράσης:</w:t>
      </w:r>
      <w:r>
        <w:rPr>
          <w:rFonts w:ascii="Times New Roman" w:hAnsi="Times New Roman" w:eastAsia="Times New Roman"/>
          <w:b w:val="0"/>
          <w:i w:val="0"/>
          <w:sz w:val="24"/>
        </w:rPr>
        <w:t xml:space="preserve"> Η πλειοψηφία ζητά περισσότερους κάδους, καλύτερη ενημέρωση και πιο αποτελεσματικές υπηρεσίες</w:t>
      </w:r>
    </w:p>
    <w:p>
      <w:pPr>
        <w:pStyle w:val="Heading3"/>
      </w:pPr>
      <w:r>
        <w:rPr>
          <w:rFonts w:ascii="Times New Roman" w:hAnsi="Times New Roman" w:eastAsia="Times New Roman"/>
          <w:b/>
          <w:sz w:val="22"/>
        </w:rPr>
        <w:t>2.3 Θετικά Στοιχεία: Κομποστοποίηση και Διάθεση Συμμετοχής</w:t>
      </w:r>
    </w:p>
    <w:p>
      <w:pPr>
        <w:spacing w:line="360" w:lineRule="auto" w:after="120"/>
        <w:jc w:val="both"/>
      </w:pPr>
      <w:r>
        <w:rPr>
          <w:rFonts w:ascii="Times New Roman" w:hAnsi="Times New Roman" w:eastAsia="Times New Roman"/>
          <w:b w:val="0"/>
          <w:i w:val="0"/>
          <w:sz w:val="24"/>
        </w:rPr>
        <w:t>Δύο εξαιρετικά ενθαρρυντικά ευρήματα είναι:</w:t>
      </w:r>
    </w:p>
    <w:p>
      <w:pPr>
        <w:spacing w:line="360" w:lineRule="auto" w:after="1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76.8% εφαρμόζει κομποστοποίηση</w:t>
      </w:r>
      <w:r>
        <w:rPr>
          <w:rFonts w:ascii="Times New Roman" w:hAnsi="Times New Roman" w:eastAsia="Times New Roman"/>
          <w:b w:val="0"/>
          <w:i w:val="0"/>
          <w:sz w:val="24"/>
        </w:rPr>
        <w:t xml:space="preserve"> – Αυτό το πολύ υψηλό ποσοστό αντανακλά τον περιαστικό χαρακτήρα της περιοχής (πολλοί έχουν κήπους) και την αυθόρμητη υιοθέτηση βιώσιμων πρακτικών.</w:t>
      </w:r>
    </w:p>
    <w:p>
      <w:pPr>
        <w:spacing w:line="360" w:lineRule="auto" w:after="1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93% πρόθεση συμμετοχής σε προγράμματα</w:t>
      </w:r>
      <w:r>
        <w:rPr>
          <w:rFonts w:ascii="Times New Roman" w:hAnsi="Times New Roman" w:eastAsia="Times New Roman"/>
          <w:b w:val="0"/>
          <w:i w:val="0"/>
          <w:sz w:val="24"/>
        </w:rPr>
        <w:t xml:space="preserve"> – Υπάρχει τεράστια δεξαμενή πολιτών έτοιμων να συμμετάσχουν ενεργά, εάν τους δοθούν τα κατάλληλα εργαλεία και κίνητρα.</w:t>
      </w:r>
    </w:p>
    <w:p>
      <w:pPr>
        <w:pStyle w:val="Heading3"/>
      </w:pPr>
      <w:r>
        <w:rPr>
          <w:rFonts w:ascii="Times New Roman" w:hAnsi="Times New Roman" w:eastAsia="Times New Roman"/>
          <w:b/>
          <w:sz w:val="22"/>
        </w:rPr>
        <w:t>2.4 Ο Ρόλος της Εκπαίδευσης</w:t>
      </w:r>
    </w:p>
    <w:p>
      <w:pPr>
        <w:spacing w:line="360" w:lineRule="auto" w:after="120"/>
        <w:jc w:val="both"/>
      </w:pPr>
      <w:r>
        <w:rPr>
          <w:rFonts w:ascii="Times New Roman" w:hAnsi="Times New Roman" w:eastAsia="Times New Roman"/>
          <w:b w:val="0"/>
          <w:i w:val="0"/>
          <w:sz w:val="24"/>
        </w:rPr>
        <w:t xml:space="preserve">Το γεγονός ότι το </w:t>
      </w:r>
      <w:r>
        <w:rPr>
          <w:rFonts w:ascii="Times New Roman" w:hAnsi="Times New Roman" w:eastAsia="Times New Roman"/>
          <w:b/>
          <w:i w:val="0"/>
          <w:sz w:val="24"/>
        </w:rPr>
        <w:t>86%</w:t>
      </w:r>
      <w:r>
        <w:rPr>
          <w:rFonts w:ascii="Times New Roman" w:hAnsi="Times New Roman" w:eastAsia="Times New Roman"/>
          <w:b w:val="0"/>
          <w:i w:val="0"/>
          <w:sz w:val="24"/>
        </w:rPr>
        <w:t xml:space="preserve"> του δείγματος διαθέτει πανεπιστημιακή εκπαίδευση συσχετίζεται άμεσα με:</w:t>
      </w:r>
    </w:p>
    <w:p>
      <w:pPr>
        <w:spacing w:line="360" w:lineRule="auto" w:after="120"/>
        <w:jc w:val="both"/>
      </w:pPr>
      <w:r>
        <w:rPr>
          <w:rFonts w:ascii="Times New Roman" w:hAnsi="Times New Roman" w:eastAsia="Times New Roman"/>
          <w:b w:val="0"/>
          <w:i w:val="0"/>
          <w:sz w:val="24"/>
        </w:rPr>
        <w:t>- Υψηλό επίπεδο γνώσης εννοιών (Κυκλική Οικονομία: 3.72/5, Βιώσιμη Ανάπτυξη: 3.79/5)</w:t>
      </w:r>
    </w:p>
    <w:p>
      <w:pPr>
        <w:spacing w:line="360" w:lineRule="auto" w:after="120"/>
        <w:jc w:val="both"/>
      </w:pPr>
      <w:r>
        <w:rPr>
          <w:rFonts w:ascii="Times New Roman" w:hAnsi="Times New Roman" w:eastAsia="Times New Roman"/>
          <w:b w:val="0"/>
          <w:i w:val="0"/>
          <w:sz w:val="24"/>
        </w:rPr>
        <w:t>- Κριτική στάση απέναντι στις δημοτικές υπηρεσίες</w:t>
      </w:r>
    </w:p>
    <w:p>
      <w:pPr>
        <w:spacing w:line="360" w:lineRule="auto" w:after="120"/>
        <w:jc w:val="both"/>
      </w:pPr>
      <w:r>
        <w:rPr>
          <w:rFonts w:ascii="Times New Roman" w:hAnsi="Times New Roman" w:eastAsia="Times New Roman"/>
          <w:b w:val="0"/>
          <w:i w:val="0"/>
          <w:sz w:val="24"/>
        </w:rPr>
        <w:t>- Προσδοκία για επαγγελματική και συστηματική προσέγγιση</w:t>
      </w:r>
    </w:p>
    <w:p>
      <w:pPr>
        <w:spacing w:line="360" w:lineRule="auto" w:after="120"/>
        <w:jc w:val="both"/>
      </w:pPr>
      <w:r>
        <w:rPr>
          <w:rFonts w:ascii="Times New Roman" w:hAnsi="Times New Roman" w:eastAsia="Times New Roman"/>
          <w:b w:val="0"/>
          <w:i w:val="0"/>
          <w:sz w:val="24"/>
        </w:rPr>
        <w:t xml:space="preserve">Αυτό υπογραμμίζει την </w:t>
      </w:r>
      <w:r>
        <w:rPr>
          <w:rFonts w:ascii="Times New Roman" w:hAnsi="Times New Roman" w:eastAsia="Times New Roman"/>
          <w:b/>
          <w:i w:val="0"/>
          <w:sz w:val="24"/>
        </w:rPr>
        <w:t>κρισιμότητα της περιβαλλοντικής εκπαίδευσης</w:t>
      </w:r>
      <w:r>
        <w:rPr>
          <w:rFonts w:ascii="Times New Roman" w:hAnsi="Times New Roman" w:eastAsia="Times New Roman"/>
          <w:b w:val="0"/>
          <w:i w:val="0"/>
          <w:sz w:val="24"/>
        </w:rPr>
        <w:t xml:space="preserve"> σε όλα τα επίπεδα – από το δημοτικό σχολείο μέχρι τα προγράμματα δια βίου μάθησης.</w:t>
      </w:r>
    </w:p>
    <w:p>
      <w:pPr>
        <w:pStyle w:val="Heading2"/>
      </w:pPr>
      <w:r>
        <w:rPr>
          <w:rFonts w:ascii="Times New Roman" w:hAnsi="Times New Roman" w:eastAsia="Times New Roman"/>
          <w:b/>
          <w:sz w:val="24"/>
        </w:rPr>
        <w:t>3. Στρατηγικές Προτάσεις για το Δήμο Μαραθώνα</w:t>
      </w:r>
    </w:p>
    <w:p>
      <w:pPr>
        <w:spacing w:line="360" w:lineRule="auto" w:after="120"/>
        <w:jc w:val="both"/>
      </w:pPr>
      <w:r>
        <w:rPr>
          <w:rFonts w:ascii="Times New Roman" w:hAnsi="Times New Roman" w:eastAsia="Times New Roman"/>
          <w:b w:val="0"/>
          <w:i w:val="0"/>
          <w:sz w:val="24"/>
        </w:rPr>
        <w:t xml:space="preserve">Με βάση τα ευρήματα της έρευνας και τη διεθνή εμπειρία, προτείνεται ένα </w:t>
      </w:r>
      <w:r>
        <w:rPr>
          <w:rFonts w:ascii="Times New Roman" w:hAnsi="Times New Roman" w:eastAsia="Times New Roman"/>
          <w:b/>
          <w:i w:val="0"/>
          <w:sz w:val="24"/>
        </w:rPr>
        <w:t>ολοκληρωμένο σχέδιο δράσης</w:t>
      </w:r>
      <w:r>
        <w:rPr>
          <w:rFonts w:ascii="Times New Roman" w:hAnsi="Times New Roman" w:eastAsia="Times New Roman"/>
          <w:b w:val="0"/>
          <w:i w:val="0"/>
          <w:sz w:val="24"/>
        </w:rPr>
        <w:t xml:space="preserve"> σε έξι άξονες:</w:t>
      </w:r>
    </w:p>
    <w:p>
      <w:pPr>
        <w:pStyle w:val="Heading3"/>
      </w:pPr>
      <w:r>
        <w:rPr>
          <w:rFonts w:ascii="Times New Roman" w:hAnsi="Times New Roman" w:eastAsia="Times New Roman"/>
          <w:b/>
          <w:sz w:val="22"/>
        </w:rPr>
        <w:t>ΑΞΟΝΑΣ 1: ΥΠΟΔΟΜΕΣ – Το Θεμέλιο της Αλλαγής</w:t>
      </w:r>
    </w:p>
    <w:p>
      <w:pPr>
        <w:spacing w:line="360" w:lineRule="auto" w:after="120"/>
        <w:jc w:val="both"/>
      </w:pPr>
      <w:r>
        <w:rPr>
          <w:rFonts w:ascii="Times New Roman" w:hAnsi="Times New Roman" w:eastAsia="Times New Roman"/>
          <w:b w:val="0"/>
          <w:i w:val="0"/>
          <w:sz w:val="24"/>
        </w:rPr>
        <w:t>Η έρευνα αποκάλυψε με σαφήνεια ότι η σημαντικότερη ανεπάρκεια που αντιμετωπίζουν οι πολίτες του Δήμου Μαραθώνα είναι η έλλειψη επαρκούς δικτύου υποδομών ανακύκλωσης. Το 90.7% των ερωτηθέντων ζητά περισσότερους κάδους ανακύκλωσης, ενώ το 62.8% εκφράζει δυσαρέσκεια από τη συχνότητα αποκομιδής. Αυτά τα ποσοστά υποδηλώνουν ότι, παρά την υψηλή διάθεση συμμετοχής (93%), οι πολίτες στερούνται των βασικών εργαλείων για να ενεργοποιηθούν αποτελεσματικά.</w:t>
      </w:r>
    </w:p>
    <w:p>
      <w:pPr>
        <w:spacing w:line="360" w:lineRule="auto" w:after="120"/>
        <w:jc w:val="both"/>
      </w:pPr>
      <w:r>
        <w:rPr>
          <w:rFonts w:ascii="Times New Roman" w:hAnsi="Times New Roman" w:eastAsia="Times New Roman"/>
          <w:b w:val="0"/>
          <w:i w:val="0"/>
          <w:sz w:val="24"/>
        </w:rPr>
        <w:t>Η πρώτη προτεραιότητα, επομένως, είναι η δημιουργία πυκνότερου δικτύου κάδων ανακύκλωσης. Ο στόχος πρέπει να είναι η τοποθέτηση κάδων σε μέγιστη απόσταση 200 μέτρων από κάθε κατοικία, ώστε η ανακύκλωση να γίνει εύκολη και προσβάσιμη σε καθημερινή βάση. Προτεραιότητα πρέπει να δοθεί στις πυκνοκατοικημένες περιοχές, στα σχολεία, τις πλατείες και τα εμπορικά κέντρα, όπου η συγκέντρωση πληθυσμού είναι μεγαλύτερη. Η διαφοροποίηση των κάδων μέσω χρωματικής κωδικοποίησης (μπλε για χαρτί, κίτρινος για πλαστικά, πράσινος για γυαλί, καφέ για βιοαπόβλητα) και σαφούς σήμανσης είναι απαραίτητη για να μειωθεί η σύγχυση και να αυξηθεί η ορθότητα διαχωρισμού. Το εκτιμώμενο κόστος για 300 νέους κάδους ανέρχεται σε περίπου 150,000 ευρώ, ποσό που μπορεί να χρηματοδοτηθεί μέσω του ΕΣΠΑ 2021-2027 ή του Πράσινου Ταμείου.</w:t>
      </w:r>
    </w:p>
    <w:p>
      <w:pPr>
        <w:spacing w:line="360" w:lineRule="auto" w:after="120"/>
        <w:jc w:val="both"/>
      </w:pPr>
      <w:r>
        <w:rPr>
          <w:rFonts w:ascii="Times New Roman" w:hAnsi="Times New Roman" w:eastAsia="Times New Roman"/>
          <w:b w:val="0"/>
          <w:i w:val="0"/>
          <w:sz w:val="24"/>
        </w:rPr>
        <w:t>Παράλληλα, η έρευνα αποκάλυψε ότι μόλις το 65.2% των πολιτών χρησιμοποιεί ειδικούς χώρους απόθεσης (Πράσινα Σημεία) για ειδικά απόβλητα όπως ηλεκτρονικά, μπαταρίες, λαμπτήρες και φάρμακα. Αυτό οφείλεται κυρίως στην απόσταση και την περιορισμένη προσβασιμότητα των σταθερών Πράσινων Σημείων. Η δημιουργία Κινητού Πράσινου Σημείου θα αντιμετωπίσει αυτό το πρόβλημα. Το Κινητό Πράσινο Σημείο θα είναι ένα ειδικά εξοπλισμένο όχημα που θα επισκέπτεται διαφορετικές γειτονιές σε καθορισμένο πρόγραμμα (π.χ. κάθε γειτονιά μία φορά τον μήνα), δεχόμενο μπαταρίες, λαμπτήρες, φάρμακα, μικρά ηλεκτρονικά και μικρά ογκώδη αντικείμενα. Η υπηρεσία αυτή θα φέρει την ανακύκλωση κυριολεκτικά "στην πόρτα" του πολίτη, εξαλείφοντας το εμπόδιο της απόστασης.</w:t>
      </w:r>
    </w:p>
    <w:p>
      <w:pPr>
        <w:spacing w:line="360" w:lineRule="auto" w:after="120"/>
        <w:jc w:val="both"/>
      </w:pPr>
      <w:r>
        <w:rPr>
          <w:rFonts w:ascii="Times New Roman" w:hAnsi="Times New Roman" w:eastAsia="Times New Roman"/>
          <w:b w:val="0"/>
          <w:i w:val="0"/>
          <w:sz w:val="24"/>
        </w:rPr>
        <w:t>Τέλος, η συχνότητα αποκομιδής πρέπει να αναβαθμιστεί. Το 62.8% των πολιτών εκφράζει δυσαρέσκεια από την υφιστάμενη συχνότητα, η οποία πιθανώς οδηγεί σε υπερχείλιση κάδων και αποθάρρυνση της συμμετοχής. Προτείνεται η αποκομιδή ανακυκλώσιμων υλικών δύο φορές την εβδομάδα στις κεντρικές και πυκνοκατοικημένες περιοχές, και μία φορά την εβδομάδα στις περιφερειακές. Η βελτίωση αυτή, συνδυασμένη με την αύξηση των κάδων, αναμένεται να μειώσει δραματικά τα περιστατικά υπερχείλισης και να βελτιώσει την αισθητική της πόλης.</w:t>
      </w:r>
    </w:p>
    <w:p>
      <w:pPr>
        <w:pStyle w:val="Heading3"/>
      </w:pPr>
      <w:r>
        <w:rPr>
          <w:rFonts w:ascii="Times New Roman" w:hAnsi="Times New Roman" w:eastAsia="Times New Roman"/>
          <w:b/>
          <w:sz w:val="22"/>
        </w:rPr>
        <w:t>ΑΞΟΝΑΣ 2: ΕΝΗΜΕΡΩΣΗ &amp; ΕΥΑΙΣΘΗΤΟΠΟΙΗΣΗ – Η Καρδιά της Αλλαγής</w:t>
      </w:r>
    </w:p>
    <w:p>
      <w:pPr>
        <w:spacing w:line="360" w:lineRule="auto" w:after="120"/>
        <w:jc w:val="both"/>
      </w:pPr>
      <w:r>
        <w:rPr>
          <w:rFonts w:ascii="Times New Roman" w:hAnsi="Times New Roman" w:eastAsia="Times New Roman"/>
          <w:b w:val="0"/>
          <w:i w:val="0"/>
          <w:sz w:val="24"/>
        </w:rPr>
        <w:t>Η έρευνα κατέδειξε ένα σημαντικό παράδοξο: ενώ το 90.7% των πολιτών γνωρίζει ότι γίνεται ανακύκλωση στην πόλη τους, περίπου το 50% δεν γνωρίζει για συγκεκριμένες δράσεις του Δήμου, όπως η ανακύκλωση φαρμάκων (62.8%), ελαστικών (53.5%) και μελανοδοχείων (53.5%). Αυτό το κενό μεταξύ γενικής και εξειδικευμένης γνώσης υποδηλώνει ανεπάρκεια στην επικοινωνιακή στρατηγική του Δήμου.</w:t>
      </w:r>
    </w:p>
    <w:p>
      <w:pPr>
        <w:spacing w:line="360" w:lineRule="auto" w:after="120"/>
        <w:jc w:val="both"/>
      </w:pPr>
      <w:r>
        <w:rPr>
          <w:rFonts w:ascii="Times New Roman" w:hAnsi="Times New Roman" w:eastAsia="Times New Roman"/>
          <w:b w:val="0"/>
          <w:i w:val="0"/>
          <w:sz w:val="24"/>
        </w:rPr>
        <w:t>Σύμφωνα με τα ευρήματα, οι βιωματικές δράσεις αναδείχθηκαν ως ο πιο αποτελεσματικός τρόπος ενημέρωσης κατά την άποψη των πολιτών (37.2%). Αυτό δεν είναι τυχαίο: η βιβλιογραφία της περιβαλλοντικής ψυχολογίας επιβεβαιώνει ότι η άμεση εμπειρία και η συμμετοχή σε πρακτικές δραστηριότητες δημιουργούν μόνιμες αλλαγές στάσεων και συμπεριφορών. Ο Δήμος πρέπει να οργανώσει τακτικά εβδομαδιαίες αγορές ανταλλαγής (swap markets), όπου οι πολίτες μπορούν να ανταλλάσσουν ρούχα, παιχνίδια, βιβλία και άλλα αντικείμενα, προωθώντας έμπρακτα την αρχή της επαναχρησιμοποίησης. Workshops κομποστοποίησης, εκμεταλλευόμενα το ήδη υψηλό ποσοστό συμμετοχής (76.8%), θα μπορούσαν να βελτιώσουν τις τεχνικές των πολιτών και να αυξήσουν ακόμη περισσότερο αυτή την πρακτική. Περιβαλλοντικά φεστιβάλ με μουσική, εκθέσεις από ανακυκλώσιμα υλικά και διαγωνισμούς ανακύκλωσης μπορούν να μετατρέψουν την περιβαλλοντική δράση σε κοινωνική εκδήλωση, δημιουργώντας θετικές συσχετίσεις. Τέλος, σχολικοί διαγωνισμοί όπως "Το πιο πράσινο σχολείο" με μετρήσιμα κριτήρια (π.χ. ποσοστό μείωσης απορριμμάτων, ποσότητα ανακυκλώσιμων) μπορούν να ενσωματώσουν την περιβαλλοντική συνείδηση στη νεότερη γενιά από νωρίς.</w:t>
      </w:r>
    </w:p>
    <w:p>
      <w:pPr>
        <w:spacing w:line="360" w:lineRule="auto" w:after="120"/>
        <w:jc w:val="both"/>
      </w:pPr>
      <w:r>
        <w:rPr>
          <w:rFonts w:ascii="Times New Roman" w:hAnsi="Times New Roman" w:eastAsia="Times New Roman"/>
          <w:b w:val="0"/>
          <w:i w:val="0"/>
          <w:sz w:val="24"/>
        </w:rPr>
        <w:t>Παράλληλα, απαιτούνται στοχευμένες καμπάνιες για τις δράσεις χαμηλής γνώσης. Η ανακύκλωση φαρμάκων, για παράδειγμα, δεν είναι απλώς ζήτημα βολικότητας αλλά δημόσιας υγείας: τα φάρμακα που καταλήγουν στα απορρίμματα μολύνουν τα υπόγεια ύδατα και τα οικοσυστήματα. Η ανακύκλωση ελαστικών αποτρέπει τη δημιουργία εστιών πυρκαγιών, ενώ τα μελανοδοχεία περιέχουν τοξικές ουσίες που πρέπει να διαχειρίζονται ειδικά. Προτείνεται τριμηνιαία θεματική καμπάνια για κάθε κατηγορία, με αφίσες σε καταστήματα και στάσεις λεωφορείων, βίντεο στα social media (Facebook, Instagram), SMS ενημέρωσης σε πολίτες που έχουν εγγραφεί στο δημοτικό newsletter, και επισκέψεις σε σχολεία με ενημερωτικές παρουσιάσεις από εξειδικευμένο προσωπικό.</w:t>
      </w:r>
    </w:p>
    <w:p>
      <w:pPr>
        <w:spacing w:line="360" w:lineRule="auto" w:after="120"/>
        <w:jc w:val="both"/>
      </w:pPr>
      <w:r>
        <w:rPr>
          <w:rFonts w:ascii="Times New Roman" w:hAnsi="Times New Roman" w:eastAsia="Times New Roman"/>
          <w:b w:val="0"/>
          <w:i w:val="0"/>
          <w:sz w:val="24"/>
        </w:rPr>
        <w:t>Στην ψηφιακή εποχή, η τεχνολογία μπορεί να γίνει σύμμαχος της ενημέρωσης. Η ανάπτυξη μιας εφαρμογής για κινητά τηλέφωνα με την ονομασία "Marathon Green App" θα παρέχει στους πολίτες άμεση πρόσβαση σε χρήσιμα εργαλεία: χάρτη κάδων ανακύκλωσης και Πράσινων Σημείων με δυνατότητα πλοήγησης, ημερολόγιο αποκομιδής με ειδοποιήσεις push, λειτουργία αναφοράς προβλημάτων (γεμάτοι κάδοι, παράνομη απόρριψη) με φωτογραφία και γεωεντοπισμό, και στοιχεία gamification όπου οι χρήστες κερδίζουν πόντους για συμμετοχή που μπορούν να εξαργυρώσουν σε δημοτικές υπηρεσίες. Η εφαρμογή αυτή, πέραν της πρακτικής χρησιμότητας, δημιουργεί ένα αίσθημα κοινότητας και ανταγωνισμού που ενθαρρύνει τη συνεχή συμμετοχή.</w:t>
      </w:r>
    </w:p>
    <w:p>
      <w:pPr>
        <w:pStyle w:val="Heading3"/>
      </w:pPr>
      <w:r>
        <w:rPr>
          <w:rFonts w:ascii="Times New Roman" w:hAnsi="Times New Roman" w:eastAsia="Times New Roman"/>
          <w:b/>
          <w:sz w:val="22"/>
        </w:rPr>
        <w:t>ΑΞΟΝΑΣ 3: ΟΙΚΟΝΟΜΙΚΑ ΚΙΝΗΤΡΑ – Η Μοχλός Αλλαγής Συμπεριφοράς</w:t>
      </w:r>
    </w:p>
    <w:p>
      <w:pPr>
        <w:spacing w:line="360" w:lineRule="auto" w:after="120"/>
        <w:jc w:val="both"/>
      </w:pPr>
      <w:r>
        <w:rPr>
          <w:rFonts w:ascii="Times New Roman" w:hAnsi="Times New Roman" w:eastAsia="Times New Roman"/>
          <w:b w:val="0"/>
          <w:i w:val="0"/>
          <w:sz w:val="24"/>
        </w:rPr>
        <w:t>Η οικονομική θεωρία και η διεθνής εμπειρία επιβεβαιώνουν ότι τα οικονομικά κίνητρα αποτελούν ισχυρό εργαλείο αλλαγής συμπεριφοράς. Η έρευνα στο Δήμο Μαραθώνα ανέδειξε την απουσία τέτοιων κινήτρων ως έναν από τους λόγους του χάσματος μεταξύ πρόθεσης και πράξης.</w:t>
      </w:r>
    </w:p>
    <w:p>
      <w:pPr>
        <w:spacing w:line="360" w:lineRule="auto" w:after="120"/>
        <w:jc w:val="both"/>
      </w:pPr>
      <w:r>
        <w:rPr>
          <w:rFonts w:ascii="Times New Roman" w:hAnsi="Times New Roman" w:eastAsia="Times New Roman"/>
          <w:b w:val="0"/>
          <w:i w:val="0"/>
          <w:sz w:val="24"/>
        </w:rPr>
        <w:t>Το σύστημα "Pay-As-You-Throw" (PAYT) βασίζεται στην αρχή της ανταποδοτικότητας: οι πολίτες πληρώνουν ανάλογα με τον όγκο των μη ανακυκλώσιμων απορριμμάτων που παράγουν. Η αρχή είναι απλή: όσο περισσότερο ανακυκλώνει κάποιος, τόσο λιγότερα μη ανακυκλώσιμα απόβλητα παράγει, και συνεπώς τόσο λιγότερα τέλη πληρώνει. Τεχνικά, αυτό μπορεί να υλοποιηθεί είτε μέσω ηλεκτρονικών ζυγιστικών συστημάτων στα απορριμματοφόρα που καταγράφουν το βάρος των απορριμμάτων ανά νοικοκυριό (με χρήση RFID tags στους κάδους), είτε μέσω ειδικών σακουλών με barcode που οι πολίτες αγοράζουν ανάλογα με τις ανάγκες τους. Διεθνώς, τα συστήματα PAYT έχουν αποδειχθεί εξαιρετικά αποτελεσματικά, με μείωση απορριμμάτων κατά 30-50% και αύξηση ανακύκλωσης κατά 20-30%. Για το Δήμο Μαραθώνα, προτείνεται η έναρξη με πιλοτικό πρόγραμμα σε μία γειτονιά για έξι μήνες, ώστε να αξιολογηθεί η αποδοχή, να προσδιοριστούν τυχόν τεχνικά προβλήματα, και να προσαρμοστεί το σύστημα πριν την ευρύτερη εφαρμογή.</w:t>
      </w:r>
    </w:p>
    <w:p>
      <w:pPr>
        <w:spacing w:line="360" w:lineRule="auto" w:after="120"/>
        <w:jc w:val="both"/>
      </w:pPr>
      <w:r>
        <w:rPr>
          <w:rFonts w:ascii="Times New Roman" w:hAnsi="Times New Roman" w:eastAsia="Times New Roman"/>
          <w:b w:val="0"/>
          <w:i w:val="0"/>
          <w:sz w:val="24"/>
        </w:rPr>
        <w:t>Συμπληρωματικά, ένα πρόγραμμα επιβράβευσης μπορεί να λειτουργήσει ως θετικό κίνητρο. Το σύστημα "Marathon Green Points" θα επιβραβεύει τη σωστή ανακύκλωση με πόντους: 100 πόντους μηνιαίως για διαχωρισμό ανακυκλώσιμων (επαληθευόμενο μέσω RFID tags σε κάδους), 200 πόντους για συμμετοχή σε δράση ενημέρωσης ή εθελοντική εργασία, και 500 πόντους για παράδοση ογκωδών αντικειμένων σε Πράσινο Σημείο. Οι πόντοι αυτοί θα μπορούν να εξαργυρωθούν σε έκπτωση δημοτικών τελών (π.χ. 1000 πόντοι = 10% έκπτωση), δωρεάν είσοδο σε δημοτικά προγράμματα (θέατρο, αθλητικά), ή προϊόντα από την κοινωνική οικονομία όπως επαναχρησιμοποιήσιμες σακούλες και κομποστοποιητές. Το σύστημα αυτό δημιουργεί μια αίσθηση αναγνώρισης και ανταμοιβής που ενισχύει τη μακροχρόνια δέσμευση.</w:t>
      </w:r>
    </w:p>
    <w:p>
      <w:pPr>
        <w:spacing w:line="360" w:lineRule="auto" w:after="120"/>
        <w:jc w:val="both"/>
      </w:pPr>
      <w:r>
        <w:rPr>
          <w:rFonts w:ascii="Times New Roman" w:hAnsi="Times New Roman" w:eastAsia="Times New Roman"/>
          <w:b w:val="0"/>
          <w:i w:val="0"/>
          <w:sz w:val="24"/>
        </w:rPr>
        <w:t>Τα οικονομικά κίνητρα πρέπει να επεκταθούν και στις επιχειρήσεις. Οι επιχειρήσεις που ανακυκλώνουν πάνω από το 80% των αποβλήτων τους θα μπορούσαν να λαμβάνουν μειωμένα τέλη καθαριότητας, δημιουργώντας άμεσο οικονομικό όφελος. Επιπλέον, η πιστοποίηση "Green Business Marathon" με προβολή στην επίσημη ιστοσελίδα του Δήμου και τα social media θα προσφέρει μια μορφή "πράσινου branding" που προσελκύει περιβαλλοντικά ευαισθητοποιημένους καταναλωτές. Τέλος, κουπόνια για τοπικά καταστήματα που χορηγούνται σε πολίτες με υψηλή συμμετοχή δημιουργούν μια θετική αλυσίδα: οι επιχειρήσεις αποκτούν πελάτες, οι πολίτες ανταμείβονται, και το σύνολο της κοινότητας κερδίζει.</w:t>
      </w:r>
    </w:p>
    <w:p>
      <w:pPr>
        <w:pStyle w:val="Heading3"/>
      </w:pPr>
      <w:r>
        <w:rPr>
          <w:rFonts w:ascii="Times New Roman" w:hAnsi="Times New Roman" w:eastAsia="Times New Roman"/>
          <w:b/>
          <w:sz w:val="22"/>
        </w:rPr>
        <w:t>ΑΞΟΝΑΣ 4: ΣΥΜΜΕΤΟΧΙΚΟΣ ΣΧΕΔΙΑΣΜΟΣ – Πολίτες ως Συν-Δημιουργοί</w:t>
      </w:r>
    </w:p>
    <w:p>
      <w:pPr>
        <w:spacing w:line="360" w:lineRule="auto" w:after="120"/>
        <w:jc w:val="both"/>
      </w:pPr>
      <w:r>
        <w:rPr>
          <w:rFonts w:ascii="Times New Roman" w:hAnsi="Times New Roman" w:eastAsia="Times New Roman"/>
          <w:b w:val="0"/>
          <w:i w:val="0"/>
          <w:sz w:val="24"/>
        </w:rPr>
        <w:t>Το 93% των πολιτών δηλώνει πρόθεση συμμετοχής σε προγράμματα κυκλικής οικονομίας. Αυτό το εντυπωσιακό ποσοστό αντιπροσωπεύει μια τεράστια δεξαμενή κοινωνικού κεφαλαίου που παραμένει ανεκμετάλλευτη. Η αξιοποίησή της απαιτεί τη μετατροπή των πολιτών από παθητικούς αποδέκτες υπηρεσιών σε ενεργούς συν-δημιουργούς πολιτικών.</w:t>
      </w:r>
    </w:p>
    <w:p>
      <w:pPr>
        <w:spacing w:line="360" w:lineRule="auto" w:after="120"/>
        <w:jc w:val="both"/>
      </w:pPr>
      <w:r>
        <w:rPr>
          <w:rFonts w:ascii="Times New Roman" w:hAnsi="Times New Roman" w:eastAsia="Times New Roman"/>
          <w:b w:val="0"/>
          <w:i w:val="0"/>
          <w:sz w:val="24"/>
        </w:rPr>
        <w:t>Η δημιουργία ενός δικτύου "Πράσινων Πρεσβευτών" μπορεί να αποτελέσει τον θεσμικό μηχανισμό αυτής της μετατροπής. Με στόχο έναν εθελοντή ανά 100 κατοίκους, ο Δήμος θα μπορούσε να δημιουργήσει ένα δίκτυο περίπου 100 εθελοντών. Αυτοί θα λειτουργούν ως σύνδεσμοι μεταξύ Δήμου και γειτονιών, αναλαμβάνοντας την ενημέρωση των συγκατοίκων τους, την αναφορά προβλημάτων στις δημοτικές υπηρεσίες, και τη διοργάνωση μικρών τοπικών δράσεων όπως καθαρισμοί δημόσιων χώρων ή swap events. Για να είναι αποτελεσματικοί, οι εθελοντές θα πρέπει να λάβουν δωρεάν εκπαίδευση μέσω ενός τριήμερου προγράμματος από τον Δήμο και εξωτερικούς εμπειρογνώμονες, που θα καλύπτει θέματα κυκλικής οικονομίας, τεχνικές ανακύκλωσης, επικοινωνιακές δεξιότητες και οργάνωση κοινότητας. Η αναγνώριση της προσφοράς τους μέσω ετήσιας δημόσιας βράβευσης και προνομιακής πρόσβασης σε δημοτικές υπηρεσίες θα ενισχύσει το κίνητρο και τη δέσμευση.</w:t>
      </w:r>
    </w:p>
    <w:p>
      <w:pPr>
        <w:spacing w:line="360" w:lineRule="auto" w:after="120"/>
        <w:jc w:val="both"/>
      </w:pPr>
      <w:r>
        <w:rPr>
          <w:rFonts w:ascii="Times New Roman" w:hAnsi="Times New Roman" w:eastAsia="Times New Roman"/>
          <w:b w:val="0"/>
          <w:i w:val="0"/>
          <w:sz w:val="24"/>
        </w:rPr>
        <w:t>Η συμμετοχή δεν πρέπει να περιορίζεται στην εθελοντική δράση, αλλά να επεκτείνεται και στη λήψη αποφάσεων. Τριμηνιαίες συμβουλευτικές συναντήσεις πολιτών με τον Αντιδήμαρχο Περιβάλλοντος σε μορφή ανοιχτού forum θα δημιουργούσαν έναν κανάλι άμεσης επικοινωνίας και λογοδοσίας. Σε αυτές τις συναντήσεις, ο Δήμος θα παρουσιάζει μετρήσιμους στόχους και αποτελέσματα (πόσα ανακυκλώθηκαν, πόσα χρήματα εξοικονομήθηκαν, ποια προβλήματα επιλύθηκαν), ενώ οι πολίτες θα μπορούν να ψηφίζουν για τις προτεραιότητες του επόμενου τριμήνου (π.χ. "Ποια περιοχή χρειάζεται πρώτη περισσότερους κάδους;"). Αυτός ο διάλογος δημιουργεί αίσθημα ιδιοκτησίας (ownership) και συλλογικής ευθύνης.</w:t>
      </w:r>
    </w:p>
    <w:p>
      <w:pPr>
        <w:spacing w:line="360" w:lineRule="auto" w:after="120"/>
        <w:jc w:val="both"/>
      </w:pPr>
      <w:r>
        <w:rPr>
          <w:rFonts w:ascii="Times New Roman" w:hAnsi="Times New Roman" w:eastAsia="Times New Roman"/>
          <w:b w:val="0"/>
          <w:i w:val="0"/>
          <w:sz w:val="24"/>
        </w:rPr>
        <w:t>Ένα βήμα παραπέρα αποτελεί η πλατφόρμα συμμετοχικού προϋπολογισμού, όπου ένα ποσοστό του δημοτικού προϋπολογισμού περιβάλλοντος (π.χ. 5%, δηλαδή περίπου 50,000 ευρώ) αποφασίζεται απευθείας από τους πολίτες μέσω online ψηφοφορίας. Οι πολίτες θα μπορούν να επιλέξουν μεταξύ συγκεκριμένων έργων (π.χ. "Νέο σταθερό Πράσινο Σημείο" έναντι "200 επιπλέον κάδοι ανακύκλωσης"), και ο Δήμος θα δημοσιεύει δημόσια αναφορά υλοποίησης των επιλεγμένων έργων. Η διαδικασία αυτή δεν μόνο δημοκρατικοποιεί τη λήψη αποφάσεων, αλλά και εξασφαλίζει ότι οι επενδύσεις ανταποκρίνονται στις πραγματικές ανάγκες όπως τις αντιλαμβάνονται οι ίδιοι οι πολίτες.</w:t>
      </w:r>
    </w:p>
    <w:p>
      <w:pPr>
        <w:pStyle w:val="Heading3"/>
      </w:pPr>
      <w:r>
        <w:rPr>
          <w:rFonts w:ascii="Times New Roman" w:hAnsi="Times New Roman" w:eastAsia="Times New Roman"/>
          <w:b/>
          <w:sz w:val="22"/>
        </w:rPr>
        <w:t>ΑΞΟΝΑΣ 5: ΕΚΠΑΙΔΕΥΣΗ – Επένδυση στο Μέλλον</w:t>
      </w:r>
    </w:p>
    <w:p>
      <w:pPr>
        <w:spacing w:line="360" w:lineRule="auto" w:after="120"/>
        <w:jc w:val="both"/>
      </w:pPr>
      <w:r>
        <w:rPr>
          <w:rFonts w:ascii="Times New Roman" w:hAnsi="Times New Roman" w:eastAsia="Times New Roman"/>
          <w:b w:val="0"/>
          <w:i w:val="0"/>
          <w:sz w:val="24"/>
        </w:rPr>
        <w:t>Η έρευνα ανέδειξε τη στενή σχέση μεταξύ εκπαιδευτικού επιπέδου και περιβαλλοντικής συνείδησης: το 86% του δείγματος με πανεπιστημιακή εκπαίδευση εμφάνισε υψηλότερα επίπεδα γνώσης εννοιών κυκλικής οικονομίας και κριτικότερη στάση απέναντι στις δημοτικές πολιτικές. Αυτό υπογραμμίζει την κεντρική σημασία της εκπαίδευσης στη μακροπρόθεσμη αλλαγή συμπεριφοράς.</w:t>
      </w:r>
    </w:p>
    <w:p>
      <w:pPr>
        <w:spacing w:line="360" w:lineRule="auto" w:after="120"/>
        <w:jc w:val="both"/>
      </w:pPr>
      <w:r>
        <w:rPr>
          <w:rFonts w:ascii="Times New Roman" w:hAnsi="Times New Roman" w:eastAsia="Times New Roman"/>
          <w:b w:val="0"/>
          <w:i w:val="0"/>
          <w:sz w:val="24"/>
        </w:rPr>
        <w:t>Το πρόγραμμα "Πράσινα Σχολεία Marathon" στοχεύει στην πιστοποίηση όλων των σχολείων του Δήμου ως "Πράσινων" έως το 2027. Τα κριτήρια πιστοποίησης θα περιλαμβάνουν τον διαχωρισμό απορριμμάτων σε όλες τις αίθουσες και κοινόχρηστους χώρους, την εφαρμογή κομποστοποίησης στους σχολικούς κήπους, την οργάνωση τουλάχιστον τεσσάρων περιβαλλοντικών δράσεων ετησίως (καθαρισμοί, δενδροφυτεύσεις, επισκέψεις σε μονάδες ανακύκλωσης), και την ενσωμάτωση θεμάτων κυκλικής οικονομίας στο αναλυτικό πρόγραμμα διδασκαλίας. Ο Δήμος θα υποστηρίξει τα σχολεία παρέχοντας κάδους ανακύκλωσης, εκπαιδευτικό υλικό και παιχνίδια, και οργανώνοντας επισκέψεις σε μονάδες ανακύκλωσης και εγκαταστάσεις διαχείρισης αποβλήτων. Η περιβαλλοντική εκπαίδευση στην παιδική ηλικία έχει αποδειχθεί ότι δημιουργεί μόνιμες στάσεις και συμπεριφορές, ενώ παράλληλα τα παιδιά λειτουργούν ως φορείς μετάδοσης γνώσης στις οικογένειές τους.</w:t>
      </w:r>
    </w:p>
    <w:p>
      <w:pPr>
        <w:spacing w:line="360" w:lineRule="auto" w:after="120"/>
        <w:jc w:val="both"/>
      </w:pPr>
      <w:r>
        <w:rPr>
          <w:rFonts w:ascii="Times New Roman" w:hAnsi="Times New Roman" w:eastAsia="Times New Roman"/>
          <w:b w:val="0"/>
          <w:i w:val="0"/>
          <w:sz w:val="24"/>
        </w:rPr>
        <w:t>Η εκπαίδευση δεν πρέπει να περιορίζεται στα παιδιά. Δωρεάν μηνιαία σεμινάρια για ενήλικες, σε συνεργασία με πανεπιστήμια και μη κυβερνητικές οργανώσεις, μπορούν να καλύψουν θέματα όπως κομποστοποίηση, επισκευή αντικειμένων, μείωση χρήσης πλαστικού, και ενεργειακή απόδοση. Αυτά τα σεμινάρια, πέραν της εκπαιδευτικής αξίας, δημιουργούν κοινότητες πρακτικής (communities of practice) όπου οι συμμετέχοντες ανταλλάσσουν εμπειρίες και υποστηρίζονται αμοιβαία. Η χορήγηση πιστοποιητικών συμμετοχής προσθέτει επαγγελματική αξία και κίνητρο.</w:t>
      </w:r>
    </w:p>
    <w:p>
      <w:pPr>
        <w:spacing w:line="360" w:lineRule="auto" w:after="120"/>
        <w:jc w:val="both"/>
      </w:pPr>
      <w:r>
        <w:rPr>
          <w:rFonts w:ascii="Times New Roman" w:hAnsi="Times New Roman" w:eastAsia="Times New Roman"/>
          <w:b w:val="0"/>
          <w:i w:val="0"/>
          <w:sz w:val="24"/>
        </w:rPr>
        <w:t>Τέλος, ιδιαίτερη προσοχή πρέπει να δοθεί στην ενημέρωση ευάλωτων ομάδων που ενδέχεται να αποκλείονται από τις συμβατικές μεθόδους επικοινωνίας. Για τους ηλικιωμένους, επισκέψεις σε Κέντρα Ανοιχτής Προστασίας Ηλικιωμένων (ΚΑΠΗ) με απλά έντυπα με μεγάλα γράμματα και οπτικές οδηγίες μπορούν να διευκολύνουν την κατανόηση. Για τις μεταναστευτικές κοινότητες, πολύγλωσσα φυλλάδια (Αγγλικά, Αλβανικά, Αραβικά) εξασφαλίζουν την ισότιμη πρόσβαση στην πληροφορία. Για άτομα με αναπηρίες, προσβάσιμοι κάδοι σε κατάλληλο ύψος και με συστήματα Braille, καθώς και ειδική υπηρεσία door-to-door συλλογής κατόπιν αιτήματος, εξασφαλίζουν την ενεργό συμμετοχή όλων.</w:t>
      </w:r>
    </w:p>
    <w:p>
      <w:pPr>
        <w:pStyle w:val="Heading3"/>
      </w:pPr>
      <w:r>
        <w:rPr>
          <w:rFonts w:ascii="Times New Roman" w:hAnsi="Times New Roman" w:eastAsia="Times New Roman"/>
          <w:b/>
          <w:sz w:val="22"/>
        </w:rPr>
        <w:t>ΑΞΟΝΑΣ 6: ΜΕΤΡΗΣΗ &amp; ΑΞΙΟΛΟΓΗΣΗ – Το Κλειδί της Βελτίωσης</w:t>
      </w:r>
    </w:p>
    <w:p>
      <w:pPr>
        <w:spacing w:line="360" w:lineRule="auto" w:after="120"/>
        <w:jc w:val="both"/>
      </w:pPr>
      <w:r>
        <w:rPr>
          <w:rFonts w:ascii="Times New Roman" w:hAnsi="Times New Roman" w:eastAsia="Times New Roman"/>
          <w:b w:val="0"/>
          <w:i w:val="0"/>
          <w:sz w:val="24"/>
        </w:rPr>
        <w:t>Η διαχείριση δεν βελτιώνεται χωρίς μέτρηση. Η έρευνα ανέδειξε τη δυσαρέσκεια των πολιτών (75%) από την ποιότητα των υπηρεσιών, η οποία συχνά οφείλεται στην απουσία διαφανών δεικτών απόδοσης και συστηματικής αξιολόγησης.</w:t>
      </w:r>
    </w:p>
    <w:p>
      <w:pPr>
        <w:spacing w:line="360" w:lineRule="auto" w:after="120"/>
        <w:jc w:val="both"/>
      </w:pPr>
      <w:r>
        <w:rPr>
          <w:rFonts w:ascii="Times New Roman" w:hAnsi="Times New Roman" w:eastAsia="Times New Roman"/>
          <w:b w:val="0"/>
          <w:i w:val="0"/>
          <w:sz w:val="24"/>
        </w:rPr>
        <w:t>Η θέσπιση δεικτών απόδοσης (Key Performance Indicators - KPIs) είναι το πρώτο βήμα. Ποσοτικοί δείκτες όπως το ποσοστό ανακύκλωσης (με στόχο αύξηση +5% ετησίως), οι τόνοι αποβλήτων προς υγειονομική ταφή (με στόχο μείωση -10% ετησίως), ο αριθμός συμμετεχόντων σε προγράμματα, και ο χρόνος απόκρισης σε αναφορές πολιτών (&lt;48 ώρες) παρέχουν αντικειμενική βάση αξιολόγησης. Ποιοτικοί δείκτες όπως η ετήσια έρευνα ικανοποίησης πολιτών (με στόχο 70% θετικές απαντήσεις έως το 2026) και το επίπεδο επιμόλυνσης ανακυκλώσιμων (&lt;5%) συμπληρώνουν την εικόνα. Οι δείκτες αυτοί πρέπει να παρακολουθούνται σε τριμηνιαία βάση και να δημοσιεύονται στην ιστοσελίδα του Δήμου, εξασφαλίζοντας διαφάνεια και λογοδοσία.</w:t>
      </w:r>
    </w:p>
    <w:p>
      <w:pPr>
        <w:spacing w:line="360" w:lineRule="auto" w:after="120"/>
        <w:jc w:val="both"/>
      </w:pPr>
      <w:r>
        <w:rPr>
          <w:rFonts w:ascii="Times New Roman" w:hAnsi="Times New Roman" w:eastAsia="Times New Roman"/>
          <w:b w:val="0"/>
          <w:i w:val="0"/>
          <w:sz w:val="24"/>
        </w:rPr>
        <w:t>Η δημοσίευση ετήσιας έκθεσης βιωσιμότητας κάθε Μάρτιο (συμπίπτοντας με την Παγκόσμια Ημέρα Νερού) θα τυποποιήσει τη διαδικασία λογοδοσίας. Η έκθεση θα περιλαμβάνει τα αποτελέσματα του έτους σε σύγκριση με τους στόχους, οικονομικά στοιχεία (κόστη και εξοικονομήσεις), περιβαλλοντικούς δείκτες (μείωση εκπομπών CO₂, εξοικονόμηση πόρων), και τον προγραμματισμό του επόμενου έτους. Η διάχυση θα γίνεται τόσο σε έντυπη μορφή σε κάθε νοικοκυριό όσο και online με γραφήματα και infographics που καθιστούν τα δεδομένα προσιτά και κατανοητά.</w:t>
      </w:r>
    </w:p>
    <w:p>
      <w:pPr>
        <w:spacing w:line="360" w:lineRule="auto" w:after="120"/>
        <w:jc w:val="both"/>
      </w:pPr>
      <w:r>
        <w:rPr>
          <w:rFonts w:ascii="Times New Roman" w:hAnsi="Times New Roman" w:eastAsia="Times New Roman"/>
          <w:b w:val="0"/>
          <w:i w:val="0"/>
          <w:sz w:val="24"/>
        </w:rPr>
        <w:t>Τέλος, η συμμετοχή σε δίκτυα βιώσιμων δήμων σε εθνικό (Ελληνική Εταιρεία Τοπικής Ανάπτυξης και Αυτοδιοίκησης - ΕΕΤΑΑ) και διεθνές επίπεδο (C40 Cities Climate Leadership Group) θα επιτρέψει την ανταλλαγή καλών πρακτικών με δήμους παρόμοιου μεγέθους. Το benchmarking με άλλους δήμους παρέχει συγκριτικό πλαίσιο αξιολόγησης και εντοπισμού περιοχών βελτίωσης. Επιπλέον, οι κοινές προμήθειες κάδων, εξοπλισμού και υπηρεσιών με άλλους δήμους μπορούν να δημιουργήσουν οικονομίες κλίμακας, μειώνοντας το κόστος υλοποίησης.</w:t>
      </w:r>
    </w:p>
    <w:p>
      <w:pPr>
        <w:pStyle w:val="Heading2"/>
      </w:pPr>
      <w:r>
        <w:rPr>
          <w:rFonts w:ascii="Times New Roman" w:hAnsi="Times New Roman" w:eastAsia="Times New Roman"/>
          <w:b/>
          <w:sz w:val="24"/>
        </w:rPr>
        <w:t>4. Οικονομική Βιωσιμότητα και Χρηματοδότηση</w:t>
      </w:r>
    </w:p>
    <w:p>
      <w:pPr>
        <w:pStyle w:val="Heading3"/>
      </w:pPr>
      <w:r>
        <w:rPr>
          <w:rFonts w:ascii="Times New Roman" w:hAnsi="Times New Roman" w:eastAsia="Times New Roman"/>
          <w:b/>
          <w:sz w:val="22"/>
        </w:rPr>
        <w:t>4.1 Εκτίμηση Κόστους (Πενταετές Πρόγραμμα)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Κατηγορία Δαπάνης</w:t>
            </w:r>
          </w:p>
        </w:tc>
        <w:tc>
          <w:tcPr>
            <w:tcW w:type="dxa" w:w="2880"/>
          </w:tcPr>
          <w:p>
            <w:r>
              <w:rPr>
                <w:b/>
                <w:sz w:val="22"/>
              </w:rPr>
              <w:t>Κόστος (€)</w:t>
            </w:r>
          </w:p>
        </w:tc>
        <w:tc>
          <w:tcPr>
            <w:tcW w:type="dxa" w:w="2880"/>
          </w:tcPr>
          <w:p>
            <w:r>
              <w:rPr>
                <w:b/>
                <w:sz w:val="22"/>
              </w:rPr>
              <w:t>Πηγή Χρηματοδότησης</w:t>
            </w:r>
          </w:p>
        </w:tc>
      </w:tr>
      <w:tr>
        <w:tc>
          <w:tcPr>
            <w:tcW w:type="dxa" w:w="2880"/>
          </w:tcPr>
          <w:p>
            <w:r>
              <w:t>Νέοι κάδοι &amp; υποδομές</w:t>
            </w:r>
          </w:p>
        </w:tc>
        <w:tc>
          <w:tcPr>
            <w:tcW w:type="dxa" w:w="2880"/>
          </w:tcPr>
          <w:p>
            <w:r>
              <w:t>300,000</w:t>
            </w:r>
          </w:p>
        </w:tc>
        <w:tc>
          <w:tcPr>
            <w:tcW w:type="dxa" w:w="2880"/>
          </w:tcPr>
          <w:p>
            <w:r>
              <w:t>ΕΣΠΑ 2021-2027, Πράσινο Ταμείο</w:t>
            </w:r>
          </w:p>
        </w:tc>
      </w:tr>
      <w:tr>
        <w:tc>
          <w:tcPr>
            <w:tcW w:type="dxa" w:w="2880"/>
          </w:tcPr>
          <w:p>
            <w:r>
              <w:t>Κινητό Πράσινο Σημείο</w:t>
            </w:r>
          </w:p>
        </w:tc>
        <w:tc>
          <w:tcPr>
            <w:tcW w:type="dxa" w:w="2880"/>
          </w:tcPr>
          <w:p>
            <w:r>
              <w:t>120,000</w:t>
            </w:r>
          </w:p>
        </w:tc>
        <w:tc>
          <w:tcPr>
            <w:tcW w:type="dxa" w:w="2880"/>
          </w:tcPr>
          <w:p>
            <w:r>
              <w:t>ΕΣΠΑ, Ιδίοι Πόροι</w:t>
            </w:r>
          </w:p>
        </w:tc>
      </w:tr>
      <w:tr>
        <w:tc>
          <w:tcPr>
            <w:tcW w:type="dxa" w:w="2880"/>
          </w:tcPr>
          <w:p>
            <w:r>
              <w:t>Ψηφιακή πλατφόρμα/App</w:t>
            </w:r>
          </w:p>
        </w:tc>
        <w:tc>
          <w:tcPr>
            <w:tcW w:type="dxa" w:w="2880"/>
          </w:tcPr>
          <w:p>
            <w:r>
              <w:t>80,000</w:t>
            </w:r>
          </w:p>
        </w:tc>
        <w:tc>
          <w:tcPr>
            <w:tcW w:type="dxa" w:w="2880"/>
          </w:tcPr>
          <w:p>
            <w:r>
              <w:t>ΕΣΠΑ (Ψηφιακός Μετασχηματισμός)</w:t>
            </w:r>
          </w:p>
        </w:tc>
      </w:tr>
      <w:tr>
        <w:tc>
          <w:tcPr>
            <w:tcW w:type="dxa" w:w="2880"/>
          </w:tcPr>
          <w:p>
            <w:r>
              <w:t>Προγράμματα ενημέρωσης</w:t>
            </w:r>
          </w:p>
        </w:tc>
        <w:tc>
          <w:tcPr>
            <w:tcW w:type="dxa" w:w="2880"/>
          </w:tcPr>
          <w:p>
            <w:r>
              <w:t>150,000</w:t>
            </w:r>
          </w:p>
        </w:tc>
        <w:tc>
          <w:tcPr>
            <w:tcW w:type="dxa" w:w="2880"/>
          </w:tcPr>
          <w:p>
            <w:r>
              <w:t>Ταμείο Εναλλακτικής Διαχείρισης, Χορηγίες</w:t>
            </w:r>
          </w:p>
        </w:tc>
      </w:tr>
      <w:tr>
        <w:tc>
          <w:tcPr>
            <w:tcW w:type="dxa" w:w="2880"/>
          </w:tcPr>
          <w:p>
            <w:r>
              <w:t>Σύστημα PAYT (πιλοτικό)</w:t>
            </w:r>
          </w:p>
        </w:tc>
        <w:tc>
          <w:tcPr>
            <w:tcW w:type="dxa" w:w="2880"/>
          </w:tcPr>
          <w:p>
            <w:r>
              <w:t>100,000</w:t>
            </w:r>
          </w:p>
        </w:tc>
        <w:tc>
          <w:tcPr>
            <w:tcW w:type="dxa" w:w="2880"/>
          </w:tcPr>
          <w:p>
            <w:r>
              <w:t>ΕΣΠΑ, Life+</w:t>
            </w:r>
          </w:p>
        </w:tc>
      </w:tr>
      <w:tr>
        <w:tc>
          <w:tcPr>
            <w:tcW w:type="dxa" w:w="2880"/>
          </w:tcPr>
          <w:p>
            <w:r>
              <w:t>Προσωπικό (2 νέες θέσεις)</w:t>
            </w:r>
          </w:p>
        </w:tc>
        <w:tc>
          <w:tcPr>
            <w:tcW w:type="dxa" w:w="2880"/>
          </w:tcPr>
          <w:p>
            <w:r>
              <w:t>200,000</w:t>
            </w:r>
          </w:p>
        </w:tc>
        <w:tc>
          <w:tcPr>
            <w:tcW w:type="dxa" w:w="2880"/>
          </w:tcPr>
          <w:p>
            <w:r>
              <w:t>Ιδίοι Πόροι, ΕΣΠΑ</w:t>
            </w:r>
          </w:p>
        </w:tc>
      </w:tr>
      <w:tr>
        <w:tc>
          <w:tcPr>
            <w:tcW w:type="dxa" w:w="2880"/>
          </w:tcPr>
          <w:p>
            <w:r>
              <w:t>**ΣΥΝΟΛΟ**</w:t>
            </w:r>
          </w:p>
        </w:tc>
        <w:tc>
          <w:tcPr>
            <w:tcW w:type="dxa" w:w="2880"/>
          </w:tcPr>
          <w:p>
            <w:r>
              <w:t>**950,000**</w:t>
            </w:r>
          </w:p>
        </w:tc>
        <w:tc>
          <w:tcPr>
            <w:tcW w:type="dxa" w:w="2880"/>
          </w:tcPr>
          <w:p>
            <w:r>
              <w:t>**~70% εξωτερική χρηματοδότηση**</w:t>
            </w:r>
          </w:p>
        </w:tc>
      </w:tr>
    </w:tbl>
    <w:p/>
    <w:p>
      <w:pPr>
        <w:pStyle w:val="Heading3"/>
      </w:pPr>
      <w:r>
        <w:rPr>
          <w:rFonts w:ascii="Times New Roman" w:hAnsi="Times New Roman" w:eastAsia="Times New Roman"/>
          <w:b/>
          <w:sz w:val="22"/>
        </w:rPr>
        <w:t>4.2 Αναμενόμενα Οφέλη (Πενταετία)</w:t>
      </w:r>
    </w:p>
    <w:p>
      <w:pPr>
        <w:spacing w:line="360" w:lineRule="auto" w:after="120"/>
        <w:jc w:val="both"/>
      </w:pPr>
      <w:r>
        <w:rPr>
          <w:rFonts w:ascii="Times New Roman" w:hAnsi="Times New Roman" w:eastAsia="Times New Roman"/>
          <w:b/>
          <w:i w:val="0"/>
          <w:sz w:val="24"/>
        </w:rPr>
        <w:t>Οικονομικά:</w:t>
      </w:r>
    </w:p>
    <w:p>
      <w:pPr>
        <w:spacing w:line="360" w:lineRule="auto" w:after="120"/>
        <w:jc w:val="both"/>
      </w:pPr>
      <w:r>
        <w:rPr>
          <w:rFonts w:ascii="Times New Roman" w:hAnsi="Times New Roman" w:eastAsia="Times New Roman"/>
          <w:b w:val="0"/>
          <w:i w:val="0"/>
          <w:sz w:val="24"/>
        </w:rPr>
        <w:t>- Εξοικονόμηση από μειωμένα τέλη υγειονομικής ταφής: €200,000</w:t>
      </w:r>
    </w:p>
    <w:p>
      <w:pPr>
        <w:spacing w:line="360" w:lineRule="auto" w:after="120"/>
        <w:jc w:val="both"/>
      </w:pPr>
      <w:r>
        <w:rPr>
          <w:rFonts w:ascii="Times New Roman" w:hAnsi="Times New Roman" w:eastAsia="Times New Roman"/>
          <w:b w:val="0"/>
          <w:i w:val="0"/>
          <w:sz w:val="24"/>
        </w:rPr>
        <w:t>- Έσοδα από πώληση ανακυκλώσιμων υλικών: €150,000</w:t>
      </w:r>
    </w:p>
    <w:p>
      <w:pPr>
        <w:spacing w:line="360" w:lineRule="auto" w:after="120"/>
        <w:jc w:val="both"/>
      </w:pPr>
      <w:r>
        <w:rPr>
          <w:rFonts w:ascii="Times New Roman" w:hAnsi="Times New Roman" w:eastAsia="Times New Roman"/>
          <w:b w:val="0"/>
          <w:i w:val="0"/>
          <w:sz w:val="24"/>
        </w:rPr>
        <w:t>- Μείωση προστίμων ΕΕ για μη συμμόρφωση: Αποφυγή €500,000+</w:t>
      </w:r>
    </w:p>
    <w:p>
      <w:pPr>
        <w:spacing w:line="360" w:lineRule="auto" w:after="120"/>
        <w:jc w:val="both"/>
      </w:pPr>
      <w:r>
        <w:rPr>
          <w:rFonts w:ascii="Times New Roman" w:hAnsi="Times New Roman" w:eastAsia="Times New Roman"/>
          <w:b w:val="0"/>
          <w:i w:val="0"/>
          <w:sz w:val="24"/>
        </w:rPr>
        <w:t xml:space="preserve">- </w:t>
      </w:r>
      <w:r>
        <w:rPr>
          <w:rFonts w:ascii="Times New Roman" w:hAnsi="Times New Roman" w:eastAsia="Times New Roman"/>
          <w:b/>
          <w:i w:val="0"/>
          <w:sz w:val="24"/>
        </w:rPr>
        <w:t>Συνολική καθαρή οικονομική ωφέλεια: €400,000</w:t>
      </w:r>
      <w:r>
        <w:rPr>
          <w:rFonts w:ascii="Times New Roman" w:hAnsi="Times New Roman" w:eastAsia="Times New Roman"/>
          <w:b w:val="0"/>
          <w:i w:val="0"/>
          <w:sz w:val="24"/>
        </w:rPr>
        <w:t xml:space="preserve"> (ROI 42%)</w:t>
      </w:r>
    </w:p>
    <w:p>
      <w:pPr>
        <w:spacing w:line="360" w:lineRule="auto" w:after="120"/>
        <w:jc w:val="both"/>
      </w:pPr>
      <w:r>
        <w:rPr>
          <w:rFonts w:ascii="Times New Roman" w:hAnsi="Times New Roman" w:eastAsia="Times New Roman"/>
          <w:b/>
          <w:i w:val="0"/>
          <w:sz w:val="24"/>
        </w:rPr>
        <w:t>Περιβαλλοντικά:</w:t>
      </w:r>
    </w:p>
    <w:p>
      <w:pPr>
        <w:spacing w:line="360" w:lineRule="auto" w:after="120"/>
        <w:jc w:val="both"/>
      </w:pPr>
      <w:r>
        <w:rPr>
          <w:rFonts w:ascii="Times New Roman" w:hAnsi="Times New Roman" w:eastAsia="Times New Roman"/>
          <w:b w:val="0"/>
          <w:i w:val="0"/>
          <w:sz w:val="24"/>
        </w:rPr>
        <w:t>- Μείωση εκπομπών CO₂ κατά ~1,200 τόνους/έτος</w:t>
      </w:r>
    </w:p>
    <w:p>
      <w:pPr>
        <w:spacing w:line="360" w:lineRule="auto" w:after="120"/>
        <w:jc w:val="both"/>
      </w:pPr>
      <w:r>
        <w:rPr>
          <w:rFonts w:ascii="Times New Roman" w:hAnsi="Times New Roman" w:eastAsia="Times New Roman"/>
          <w:b w:val="0"/>
          <w:i w:val="0"/>
          <w:sz w:val="24"/>
        </w:rPr>
        <w:t>- Εξοικονόμηση 25,000 m³ χώρου υγειονομικής ταφής</w:t>
      </w:r>
    </w:p>
    <w:p>
      <w:pPr>
        <w:spacing w:line="360" w:lineRule="auto" w:after="120"/>
        <w:jc w:val="both"/>
      </w:pPr>
      <w:r>
        <w:rPr>
          <w:rFonts w:ascii="Times New Roman" w:hAnsi="Times New Roman" w:eastAsia="Times New Roman"/>
          <w:b w:val="0"/>
          <w:i w:val="0"/>
          <w:sz w:val="24"/>
        </w:rPr>
        <w:t>- Προστασία εδάφους και υδάτων από ρύπανση</w:t>
      </w:r>
    </w:p>
    <w:p>
      <w:pPr>
        <w:spacing w:line="360" w:lineRule="auto" w:after="120"/>
        <w:jc w:val="both"/>
      </w:pPr>
      <w:r>
        <w:rPr>
          <w:rFonts w:ascii="Times New Roman" w:hAnsi="Times New Roman" w:eastAsia="Times New Roman"/>
          <w:b/>
          <w:i w:val="0"/>
          <w:sz w:val="24"/>
        </w:rPr>
        <w:t>Κοινωνικά:</w:t>
      </w:r>
    </w:p>
    <w:p>
      <w:pPr>
        <w:spacing w:line="360" w:lineRule="auto" w:after="120"/>
        <w:jc w:val="both"/>
      </w:pPr>
      <w:r>
        <w:rPr>
          <w:rFonts w:ascii="Times New Roman" w:hAnsi="Times New Roman" w:eastAsia="Times New Roman"/>
          <w:b w:val="0"/>
          <w:i w:val="0"/>
          <w:sz w:val="24"/>
        </w:rPr>
        <w:t>- Δημιουργία 15-20 νέων "πράσινων" θέσεων εργασίας</w:t>
      </w:r>
    </w:p>
    <w:p>
      <w:pPr>
        <w:spacing w:line="360" w:lineRule="auto" w:after="120"/>
        <w:jc w:val="both"/>
      </w:pPr>
      <w:r>
        <w:rPr>
          <w:rFonts w:ascii="Times New Roman" w:hAnsi="Times New Roman" w:eastAsia="Times New Roman"/>
          <w:b w:val="0"/>
          <w:i w:val="0"/>
          <w:sz w:val="24"/>
        </w:rPr>
        <w:t>- Βελτίωση ποιότητας ζωής και δημόσιας υγείας</w:t>
      </w:r>
    </w:p>
    <w:p>
      <w:pPr>
        <w:spacing w:line="360" w:lineRule="auto" w:after="120"/>
        <w:jc w:val="both"/>
      </w:pPr>
      <w:r>
        <w:rPr>
          <w:rFonts w:ascii="Times New Roman" w:hAnsi="Times New Roman" w:eastAsia="Times New Roman"/>
          <w:b w:val="0"/>
          <w:i w:val="0"/>
          <w:sz w:val="24"/>
        </w:rPr>
        <w:t>- Ενδυνάμωση κοινότητας και κοινωνικής συνοχής</w:t>
      </w:r>
    </w:p>
    <w:p>
      <w:pPr>
        <w:pStyle w:val="Heading2"/>
      </w:pPr>
      <w:r>
        <w:rPr>
          <w:rFonts w:ascii="Times New Roman" w:hAnsi="Times New Roman" w:eastAsia="Times New Roman"/>
          <w:b/>
          <w:sz w:val="24"/>
        </w:rPr>
        <w:t>5. Πολιτική Βούληση και Διακυβέρνηση</w:t>
      </w:r>
    </w:p>
    <w:p>
      <w:pPr>
        <w:spacing w:line="360" w:lineRule="auto" w:after="120"/>
        <w:jc w:val="both"/>
      </w:pPr>
      <w:r>
        <w:rPr>
          <w:rFonts w:ascii="Times New Roman" w:hAnsi="Times New Roman" w:eastAsia="Times New Roman"/>
          <w:b w:val="0"/>
          <w:i w:val="0"/>
          <w:sz w:val="24"/>
        </w:rPr>
        <w:t xml:space="preserve">Η επιτυχία του προτεινόμενου σχεδίου δεν εξαρτάται μόνο από τεχνικές λύσεις και οικονομικούς πόρους, αλλά κυρίως από την </w:t>
      </w:r>
      <w:r>
        <w:rPr>
          <w:rFonts w:ascii="Times New Roman" w:hAnsi="Times New Roman" w:eastAsia="Times New Roman"/>
          <w:b/>
          <w:i w:val="0"/>
          <w:sz w:val="24"/>
        </w:rPr>
        <w:t>πολιτική δέσμευση</w:t>
      </w:r>
      <w:r>
        <w:rPr>
          <w:rFonts w:ascii="Times New Roman" w:hAnsi="Times New Roman" w:eastAsia="Times New Roman"/>
          <w:b w:val="0"/>
          <w:i w:val="0"/>
          <w:sz w:val="24"/>
        </w:rPr>
        <w:t xml:space="preserve"> και την </w:t>
      </w:r>
      <w:r>
        <w:rPr>
          <w:rFonts w:ascii="Times New Roman" w:hAnsi="Times New Roman" w:eastAsia="Times New Roman"/>
          <w:b/>
          <w:i w:val="0"/>
          <w:sz w:val="24"/>
        </w:rPr>
        <w:t>ποιότητα της διακυβέρνησης</w:t>
      </w:r>
      <w:r>
        <w:rPr>
          <w:rFonts w:ascii="Times New Roman" w:hAnsi="Times New Roman" w:eastAsia="Times New Roman"/>
          <w:b w:val="0"/>
          <w:i w:val="0"/>
          <w:sz w:val="24"/>
        </w:rPr>
        <w:t>.</w:t>
      </w:r>
    </w:p>
    <w:p>
      <w:pPr>
        <w:pStyle w:val="Heading3"/>
      </w:pPr>
      <w:r>
        <w:rPr>
          <w:rFonts w:ascii="Times New Roman" w:hAnsi="Times New Roman" w:eastAsia="Times New Roman"/>
          <w:b/>
          <w:sz w:val="22"/>
        </w:rPr>
        <w:t>5.1 Απαιτούμενες Προϋποθέσεις</w:t>
      </w:r>
    </w:p>
    <w:p>
      <w:pPr>
        <w:spacing w:line="360" w:lineRule="auto" w:after="120"/>
        <w:jc w:val="both"/>
      </w:pPr>
      <w:r>
        <w:rPr>
          <w:rFonts w:ascii="Times New Roman" w:hAnsi="Times New Roman" w:eastAsia="Times New Roman"/>
          <w:b/>
          <w:i w:val="0"/>
          <w:sz w:val="24"/>
        </w:rPr>
        <w:t>Πολιτικό Επίπεδο:</w:t>
      </w:r>
    </w:p>
    <w:p>
      <w:pPr>
        <w:spacing w:line="360" w:lineRule="auto" w:after="120"/>
        <w:jc w:val="both"/>
      </w:pPr>
      <w:r>
        <w:rPr>
          <w:rFonts w:ascii="Times New Roman" w:hAnsi="Times New Roman" w:eastAsia="Times New Roman"/>
          <w:b w:val="0"/>
          <w:i w:val="0"/>
          <w:sz w:val="24"/>
        </w:rPr>
        <w:t xml:space="preserve">- Ψήφιση </w:t>
      </w:r>
      <w:r>
        <w:rPr>
          <w:rFonts w:ascii="Times New Roman" w:hAnsi="Times New Roman" w:eastAsia="Times New Roman"/>
          <w:b/>
          <w:i w:val="0"/>
          <w:sz w:val="24"/>
        </w:rPr>
        <w:t>Τοπικού Σχεδίου Δράσης Κυκλικής Οικονομίας</w:t>
      </w:r>
      <w:r>
        <w:rPr>
          <w:rFonts w:ascii="Times New Roman" w:hAnsi="Times New Roman" w:eastAsia="Times New Roman"/>
          <w:b w:val="0"/>
          <w:i w:val="0"/>
          <w:sz w:val="24"/>
        </w:rPr>
        <w:t xml:space="preserve"> από το Δημοτικό Συμβούλιο</w:t>
      </w:r>
    </w:p>
    <w:p>
      <w:pPr>
        <w:spacing w:line="360" w:lineRule="auto" w:after="120"/>
        <w:jc w:val="both"/>
      </w:pPr>
      <w:r>
        <w:rPr>
          <w:rFonts w:ascii="Times New Roman" w:hAnsi="Times New Roman" w:eastAsia="Times New Roman"/>
          <w:b w:val="0"/>
          <w:i w:val="0"/>
          <w:sz w:val="24"/>
        </w:rPr>
        <w:t>- Δέσμευση για πενταετή υλοποίηση ανεξάρτητα από εκλογικούς κύκλους</w:t>
      </w:r>
    </w:p>
    <w:p>
      <w:pPr>
        <w:spacing w:line="360" w:lineRule="auto" w:after="120"/>
        <w:jc w:val="both"/>
      </w:pPr>
      <w:r>
        <w:rPr>
          <w:rFonts w:ascii="Times New Roman" w:hAnsi="Times New Roman" w:eastAsia="Times New Roman"/>
          <w:b w:val="0"/>
          <w:i w:val="0"/>
          <w:sz w:val="24"/>
        </w:rPr>
        <w:t>- Ανάθεση αποκλειστικής αρμοδιότητας σε Αντιδήμαρχο με ομάδα υποστήριξης</w:t>
      </w:r>
    </w:p>
    <w:p>
      <w:pPr>
        <w:spacing w:line="360" w:lineRule="auto" w:after="120"/>
        <w:jc w:val="both"/>
      </w:pPr>
      <w:r>
        <w:rPr>
          <w:rFonts w:ascii="Times New Roman" w:hAnsi="Times New Roman" w:eastAsia="Times New Roman"/>
          <w:b/>
          <w:i w:val="0"/>
          <w:sz w:val="24"/>
        </w:rPr>
        <w:t>Διοικητικό Επίπεδο:</w:t>
      </w:r>
    </w:p>
    <w:p>
      <w:pPr>
        <w:spacing w:line="360" w:lineRule="auto" w:after="120"/>
        <w:jc w:val="both"/>
      </w:pPr>
      <w:r>
        <w:rPr>
          <w:rFonts w:ascii="Times New Roman" w:hAnsi="Times New Roman" w:eastAsia="Times New Roman"/>
          <w:b w:val="0"/>
          <w:i w:val="0"/>
          <w:sz w:val="24"/>
        </w:rPr>
        <w:t xml:space="preserve">- Δημιουργία </w:t>
      </w:r>
      <w:r>
        <w:rPr>
          <w:rFonts w:ascii="Times New Roman" w:hAnsi="Times New Roman" w:eastAsia="Times New Roman"/>
          <w:b/>
          <w:i w:val="0"/>
          <w:sz w:val="24"/>
        </w:rPr>
        <w:t>Γραφείου Κυκλικής Οικονομίας</w:t>
      </w:r>
      <w:r>
        <w:rPr>
          <w:rFonts w:ascii="Times New Roman" w:hAnsi="Times New Roman" w:eastAsia="Times New Roman"/>
          <w:b w:val="0"/>
          <w:i w:val="0"/>
          <w:sz w:val="24"/>
        </w:rPr>
        <w:t xml:space="preserve"> με διεπιστημονική ομάδα (περιβαλλοντολόγους, μηχανικούς, κοινωνιολόγους)</w:t>
      </w:r>
    </w:p>
    <w:p>
      <w:pPr>
        <w:spacing w:line="360" w:lineRule="auto" w:after="120"/>
        <w:jc w:val="both"/>
      </w:pPr>
      <w:r>
        <w:rPr>
          <w:rFonts w:ascii="Times New Roman" w:hAnsi="Times New Roman" w:eastAsia="Times New Roman"/>
          <w:b w:val="0"/>
          <w:i w:val="0"/>
          <w:sz w:val="24"/>
        </w:rPr>
        <w:t>- Εκπαίδευση προσωπικού σε νέες τεχνολογίες και πρακτικές</w:t>
      </w:r>
    </w:p>
    <w:p>
      <w:pPr>
        <w:spacing w:line="360" w:lineRule="auto" w:after="120"/>
        <w:jc w:val="both"/>
      </w:pPr>
      <w:r>
        <w:rPr>
          <w:rFonts w:ascii="Times New Roman" w:hAnsi="Times New Roman" w:eastAsia="Times New Roman"/>
          <w:b w:val="0"/>
          <w:i w:val="0"/>
          <w:sz w:val="24"/>
        </w:rPr>
        <w:t>- Συνεργασία με πανεπιστήμια για έρευνα και καινοτομία</w:t>
      </w:r>
    </w:p>
    <w:p>
      <w:pPr>
        <w:spacing w:line="360" w:lineRule="auto" w:after="120"/>
        <w:jc w:val="both"/>
      </w:pPr>
      <w:r>
        <w:rPr>
          <w:rFonts w:ascii="Times New Roman" w:hAnsi="Times New Roman" w:eastAsia="Times New Roman"/>
          <w:b/>
          <w:i w:val="0"/>
          <w:sz w:val="24"/>
        </w:rPr>
        <w:t>Κοινωνικό Επίπεδο:</w:t>
      </w:r>
    </w:p>
    <w:p>
      <w:pPr>
        <w:spacing w:line="360" w:lineRule="auto" w:after="120"/>
        <w:jc w:val="both"/>
      </w:pPr>
      <w:r>
        <w:rPr>
          <w:rFonts w:ascii="Times New Roman" w:hAnsi="Times New Roman" w:eastAsia="Times New Roman"/>
          <w:b w:val="0"/>
          <w:i w:val="0"/>
          <w:sz w:val="24"/>
        </w:rPr>
        <w:t>- Διαβούλευση με τοπικούς φορείς (συλλόγους, εμπορικούς φορείς, σχολεία)</w:t>
      </w:r>
    </w:p>
    <w:p>
      <w:pPr>
        <w:spacing w:line="360" w:lineRule="auto" w:after="120"/>
        <w:jc w:val="both"/>
      </w:pPr>
      <w:r>
        <w:rPr>
          <w:rFonts w:ascii="Times New Roman" w:hAnsi="Times New Roman" w:eastAsia="Times New Roman"/>
          <w:b w:val="0"/>
          <w:i w:val="0"/>
          <w:sz w:val="24"/>
        </w:rPr>
        <w:t xml:space="preserve">- Σύσταση </w:t>
      </w:r>
      <w:r>
        <w:rPr>
          <w:rFonts w:ascii="Times New Roman" w:hAnsi="Times New Roman" w:eastAsia="Times New Roman"/>
          <w:b/>
          <w:i w:val="0"/>
          <w:sz w:val="24"/>
        </w:rPr>
        <w:t>Συμβουλίου Πολιτών για το Περιβάλλον</w:t>
      </w:r>
      <w:r>
        <w:rPr>
          <w:rFonts w:ascii="Times New Roman" w:hAnsi="Times New Roman" w:eastAsia="Times New Roman"/>
          <w:b w:val="0"/>
          <w:i w:val="0"/>
          <w:sz w:val="24"/>
        </w:rPr>
        <w:t xml:space="preserve"> με ετήσια ανανέωση μελών</w:t>
      </w:r>
    </w:p>
    <w:p>
      <w:pPr>
        <w:spacing w:line="360" w:lineRule="auto" w:after="120"/>
        <w:jc w:val="both"/>
      </w:pPr>
      <w:r>
        <w:rPr>
          <w:rFonts w:ascii="Times New Roman" w:hAnsi="Times New Roman" w:eastAsia="Times New Roman"/>
          <w:b w:val="0"/>
          <w:i w:val="0"/>
          <w:sz w:val="24"/>
        </w:rPr>
        <w:t>- Ανοιχτές εκδηλώσεις λογοδοσίας κάθε εξάμηνο</w:t>
      </w:r>
    </w:p>
    <w:p>
      <w:pPr>
        <w:pStyle w:val="Heading3"/>
      </w:pPr>
      <w:r>
        <w:rPr>
          <w:rFonts w:ascii="Times New Roman" w:hAnsi="Times New Roman" w:eastAsia="Times New Roman"/>
          <w:b/>
          <w:sz w:val="22"/>
        </w:rPr>
        <w:t>5.2 Διαχείριση Αντιστάσεων</w:t>
      </w:r>
    </w:p>
    <w:p>
      <w:pPr>
        <w:spacing w:line="360" w:lineRule="auto" w:after="120"/>
        <w:jc w:val="both"/>
      </w:pPr>
      <w:r>
        <w:rPr>
          <w:rFonts w:ascii="Times New Roman" w:hAnsi="Times New Roman" w:eastAsia="Times New Roman"/>
          <w:b w:val="0"/>
          <w:i w:val="0"/>
          <w:sz w:val="24"/>
        </w:rPr>
        <w:t>Η μετάβαση στην κυκλική οικονομία θα αντιμετωπίσει αντιστάσεις:</w:t>
      </w:r>
    </w:p>
    <w:p>
      <w:pPr>
        <w:spacing w:line="360" w:lineRule="auto" w:after="120"/>
        <w:jc w:val="both"/>
      </w:pPr>
      <w:r>
        <w:rPr>
          <w:rFonts w:ascii="Times New Roman" w:hAnsi="Times New Roman" w:eastAsia="Times New Roman"/>
          <w:b/>
          <w:i w:val="0"/>
          <w:sz w:val="24"/>
        </w:rPr>
        <w:t>Από πολίτες:</w:t>
      </w:r>
    </w:p>
    <w:p>
      <w:pPr>
        <w:spacing w:line="360" w:lineRule="auto" w:after="120"/>
        <w:jc w:val="both"/>
      </w:pPr>
      <w:r>
        <w:rPr>
          <w:rFonts w:ascii="Times New Roman" w:hAnsi="Times New Roman" w:eastAsia="Times New Roman"/>
          <w:b w:val="0"/>
          <w:i w:val="0"/>
          <w:sz w:val="24"/>
        </w:rPr>
        <w:t xml:space="preserve">- "Είναι περίπλοκο να διαχωρίζω" → </w:t>
      </w:r>
      <w:r>
        <w:rPr>
          <w:rFonts w:ascii="Times New Roman" w:hAnsi="Times New Roman" w:eastAsia="Times New Roman"/>
          <w:b/>
          <w:i w:val="0"/>
          <w:sz w:val="24"/>
        </w:rPr>
        <w:t>Λύση:</w:t>
      </w:r>
      <w:r>
        <w:rPr>
          <w:rFonts w:ascii="Times New Roman" w:hAnsi="Times New Roman" w:eastAsia="Times New Roman"/>
          <w:b w:val="0"/>
          <w:i w:val="0"/>
          <w:sz w:val="24"/>
        </w:rPr>
        <w:t xml:space="preserve"> Απλοποίηση με σαφείς οδηγίες και χρωματική κωδικοποίηση</w:t>
      </w:r>
    </w:p>
    <w:p>
      <w:pPr>
        <w:spacing w:line="360" w:lineRule="auto" w:after="120"/>
        <w:jc w:val="both"/>
      </w:pPr>
      <w:r>
        <w:rPr>
          <w:rFonts w:ascii="Times New Roman" w:hAnsi="Times New Roman" w:eastAsia="Times New Roman"/>
          <w:b w:val="0"/>
          <w:i w:val="0"/>
          <w:sz w:val="24"/>
        </w:rPr>
        <w:t xml:space="preserve">- "Δεν έχω χρόνο" → </w:t>
      </w:r>
      <w:r>
        <w:rPr>
          <w:rFonts w:ascii="Times New Roman" w:hAnsi="Times New Roman" w:eastAsia="Times New Roman"/>
          <w:b/>
          <w:i w:val="0"/>
          <w:sz w:val="24"/>
        </w:rPr>
        <w:t>Λύση:</w:t>
      </w:r>
      <w:r>
        <w:rPr>
          <w:rFonts w:ascii="Times New Roman" w:hAnsi="Times New Roman" w:eastAsia="Times New Roman"/>
          <w:b w:val="0"/>
          <w:i w:val="0"/>
          <w:sz w:val="24"/>
        </w:rPr>
        <w:t xml:space="preserve"> Κίνητρα (οικονομικά, κοινωνικά) και ευκολία πρόσβασης</w:t>
      </w:r>
    </w:p>
    <w:p>
      <w:pPr>
        <w:spacing w:line="360" w:lineRule="auto" w:after="120"/>
        <w:jc w:val="both"/>
      </w:pPr>
      <w:r>
        <w:rPr>
          <w:rFonts w:ascii="Times New Roman" w:hAnsi="Times New Roman" w:eastAsia="Times New Roman"/>
          <w:b/>
          <w:i w:val="0"/>
          <w:sz w:val="24"/>
        </w:rPr>
        <w:t>Από επιχειρήσεις:</w:t>
      </w:r>
    </w:p>
    <w:p>
      <w:pPr>
        <w:spacing w:line="360" w:lineRule="auto" w:after="120"/>
        <w:jc w:val="both"/>
      </w:pPr>
      <w:r>
        <w:rPr>
          <w:rFonts w:ascii="Times New Roman" w:hAnsi="Times New Roman" w:eastAsia="Times New Roman"/>
          <w:b w:val="0"/>
          <w:i w:val="0"/>
          <w:sz w:val="24"/>
        </w:rPr>
        <w:t xml:space="preserve">- "Θα αυξηθεί το κόστος" → </w:t>
      </w:r>
      <w:r>
        <w:rPr>
          <w:rFonts w:ascii="Times New Roman" w:hAnsi="Times New Roman" w:eastAsia="Times New Roman"/>
          <w:b/>
          <w:i w:val="0"/>
          <w:sz w:val="24"/>
        </w:rPr>
        <w:t>Λύση:</w:t>
      </w:r>
      <w:r>
        <w:rPr>
          <w:rFonts w:ascii="Times New Roman" w:hAnsi="Times New Roman" w:eastAsia="Times New Roman"/>
          <w:b w:val="0"/>
          <w:i w:val="0"/>
          <w:sz w:val="24"/>
        </w:rPr>
        <w:t xml:space="preserve"> Μειώσεις τελών, πιστοποιήσεις που προσελκύουν πελάτες, οικονομίες από μείωση αποβλήτων</w:t>
      </w:r>
    </w:p>
    <w:p>
      <w:pPr>
        <w:spacing w:line="360" w:lineRule="auto" w:after="120"/>
        <w:jc w:val="both"/>
      </w:pPr>
      <w:r>
        <w:rPr>
          <w:rFonts w:ascii="Times New Roman" w:hAnsi="Times New Roman" w:eastAsia="Times New Roman"/>
          <w:b/>
          <w:i w:val="0"/>
          <w:sz w:val="24"/>
        </w:rPr>
        <w:t>Από δημοτικές υπηρεσίες:</w:t>
      </w:r>
    </w:p>
    <w:p>
      <w:pPr>
        <w:spacing w:line="360" w:lineRule="auto" w:after="120"/>
        <w:jc w:val="both"/>
      </w:pPr>
      <w:r>
        <w:rPr>
          <w:rFonts w:ascii="Times New Roman" w:hAnsi="Times New Roman" w:eastAsia="Times New Roman"/>
          <w:b w:val="0"/>
          <w:i w:val="0"/>
          <w:sz w:val="24"/>
        </w:rPr>
        <w:t xml:space="preserve">- "Δεν έχουμε πόρους" → </w:t>
      </w:r>
      <w:r>
        <w:rPr>
          <w:rFonts w:ascii="Times New Roman" w:hAnsi="Times New Roman" w:eastAsia="Times New Roman"/>
          <w:b/>
          <w:i w:val="0"/>
          <w:sz w:val="24"/>
        </w:rPr>
        <w:t>Λύση:</w:t>
      </w:r>
      <w:r>
        <w:rPr>
          <w:rFonts w:ascii="Times New Roman" w:hAnsi="Times New Roman" w:eastAsia="Times New Roman"/>
          <w:b w:val="0"/>
          <w:i w:val="0"/>
          <w:sz w:val="24"/>
        </w:rPr>
        <w:t xml:space="preserve"> Ταμεία ΕΣΠΑ, αναδιάρθρωση προϋπολογισμού, συμπράξεις δημόσιου-ιδιωτικού τομέα (ΣΔΙΤ)</w:t>
      </w:r>
    </w:p>
    <w:p>
      <w:pPr>
        <w:pStyle w:val="Heading2"/>
      </w:pPr>
      <w:r>
        <w:rPr>
          <w:rFonts w:ascii="Times New Roman" w:hAnsi="Times New Roman" w:eastAsia="Times New Roman"/>
          <w:b/>
          <w:sz w:val="24"/>
        </w:rPr>
        <w:t>6. Σύνδεση με τους Στόχους Βιώσιμης Ανάπτυξης (SDGs)</w:t>
      </w:r>
    </w:p>
    <w:p>
      <w:pPr>
        <w:spacing w:line="360" w:lineRule="auto" w:after="120"/>
        <w:jc w:val="both"/>
      </w:pPr>
      <w:r>
        <w:rPr>
          <w:rFonts w:ascii="Times New Roman" w:hAnsi="Times New Roman" w:eastAsia="Times New Roman"/>
          <w:b w:val="0"/>
          <w:i w:val="0"/>
          <w:sz w:val="24"/>
        </w:rPr>
        <w:t xml:space="preserve">Η προτεινόμενη στρατηγική συμβάλλει άμεσα σε </w:t>
      </w:r>
      <w:r>
        <w:rPr>
          <w:rFonts w:ascii="Times New Roman" w:hAnsi="Times New Roman" w:eastAsia="Times New Roman"/>
          <w:b/>
          <w:i w:val="0"/>
          <w:sz w:val="24"/>
        </w:rPr>
        <w:t>7 από τους 17 Στόχους Βιώσιμης Ανάπτυξης</w:t>
      </w:r>
      <w:r>
        <w:rPr>
          <w:rFonts w:ascii="Times New Roman" w:hAnsi="Times New Roman" w:eastAsia="Times New Roman"/>
          <w:b w:val="0"/>
          <w:i w:val="0"/>
          <w:sz w:val="24"/>
        </w:rPr>
        <w:t xml:space="preserve"> του ΟΗΕ:</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SDG</w:t>
            </w:r>
          </w:p>
        </w:tc>
        <w:tc>
          <w:tcPr>
            <w:tcW w:type="dxa" w:w="4320"/>
          </w:tcPr>
          <w:p>
            <w:r>
              <w:rPr>
                <w:b/>
                <w:sz w:val="22"/>
              </w:rPr>
              <w:t>Σύνδεση με την Πρόταση</w:t>
            </w:r>
          </w:p>
        </w:tc>
      </w:tr>
      <w:tr>
        <w:tc>
          <w:tcPr>
            <w:tcW w:type="dxa" w:w="4320"/>
          </w:tcPr>
          <w:p>
            <w:r>
              <w:t>**SDG 11** (Βιώσιμες Πόλεις)</w:t>
            </w:r>
          </w:p>
        </w:tc>
        <w:tc>
          <w:tcPr>
            <w:tcW w:type="dxa" w:w="4320"/>
          </w:tcPr>
          <w:p>
            <w:r>
              <w:t>Καθαρότερη και υγιέστερη πόλη με λιγότερα απόβλητα</w:t>
            </w:r>
          </w:p>
        </w:tc>
      </w:tr>
      <w:tr>
        <w:tc>
          <w:tcPr>
            <w:tcW w:type="dxa" w:w="4320"/>
          </w:tcPr>
          <w:p>
            <w:r>
              <w:t>**SDG 12** (Υπεύθυνη Παραγωγή-Κατανάλωση)</w:t>
            </w:r>
          </w:p>
        </w:tc>
        <w:tc>
          <w:tcPr>
            <w:tcW w:type="dxa" w:w="4320"/>
          </w:tcPr>
          <w:p>
            <w:r>
              <w:t>Προώθηση ανακύκλωσης, κομποστοποίησης, μείωσης σπατάλης</w:t>
            </w:r>
          </w:p>
        </w:tc>
      </w:tr>
      <w:tr>
        <w:tc>
          <w:tcPr>
            <w:tcW w:type="dxa" w:w="4320"/>
          </w:tcPr>
          <w:p>
            <w:r>
              <w:t>**SDG 13** (Κλιματική Δράση)</w:t>
            </w:r>
          </w:p>
        </w:tc>
        <w:tc>
          <w:tcPr>
            <w:tcW w:type="dxa" w:w="4320"/>
          </w:tcPr>
          <w:p>
            <w:r>
              <w:t>Μείωση εκπομπών αερίων θερμοκηπίου από διαχείριση αποβλήτων</w:t>
            </w:r>
          </w:p>
        </w:tc>
      </w:tr>
      <w:tr>
        <w:tc>
          <w:tcPr>
            <w:tcW w:type="dxa" w:w="4320"/>
          </w:tcPr>
          <w:p>
            <w:r>
              <w:t>**SDG 4** (Ποιοτική Εκπαίδευση)</w:t>
            </w:r>
          </w:p>
        </w:tc>
        <w:tc>
          <w:tcPr>
            <w:tcW w:type="dxa" w:w="4320"/>
          </w:tcPr>
          <w:p>
            <w:r>
              <w:t>Προγράμματα περιβαλλοντικής εκπαίδευσης σε σχολεία και ενήλικες</w:t>
            </w:r>
          </w:p>
        </w:tc>
      </w:tr>
      <w:tr>
        <w:tc>
          <w:tcPr>
            <w:tcW w:type="dxa" w:w="4320"/>
          </w:tcPr>
          <w:p>
            <w:r>
              <w:t>**SDG 8** (Αξιοπρεπής Εργασία)</w:t>
            </w:r>
          </w:p>
        </w:tc>
        <w:tc>
          <w:tcPr>
            <w:tcW w:type="dxa" w:w="4320"/>
          </w:tcPr>
          <w:p>
            <w:r>
              <w:t>Δημιουργία νέων "πράσινων" θέσεων εργασίας</w:t>
            </w:r>
          </w:p>
        </w:tc>
      </w:tr>
      <w:tr>
        <w:tc>
          <w:tcPr>
            <w:tcW w:type="dxa" w:w="4320"/>
          </w:tcPr>
          <w:p>
            <w:r>
              <w:t>**SDG 17** (Συμπράξεις για τους Στόχους)</w:t>
            </w:r>
          </w:p>
        </w:tc>
        <w:tc>
          <w:tcPr>
            <w:tcW w:type="dxa" w:w="4320"/>
          </w:tcPr>
          <w:p>
            <w:r>
              <w:t>Συνεργασία Δήμου-πολιτών-επιχειρήσεων-ακαδημαϊκής κοινότητας</w:t>
            </w:r>
          </w:p>
        </w:tc>
      </w:tr>
      <w:tr>
        <w:tc>
          <w:tcPr>
            <w:tcW w:type="dxa" w:w="4320"/>
          </w:tcPr>
          <w:p>
            <w:r>
              <w:t>**SDG 3** (Υγεία και Ευεξία)</w:t>
            </w:r>
          </w:p>
        </w:tc>
        <w:tc>
          <w:tcPr>
            <w:tcW w:type="dxa" w:w="4320"/>
          </w:tcPr>
          <w:p>
            <w:r>
              <w:t>Μείωση ρύπανσης = Καλύτερη δημόσια υγεία</w:t>
            </w:r>
          </w:p>
        </w:tc>
      </w:tr>
    </w:tbl>
    <w:p/>
    <w:p>
      <w:pPr>
        <w:spacing w:line="360" w:lineRule="auto" w:after="120"/>
        <w:jc w:val="both"/>
      </w:pPr>
      <w:r>
        <w:rPr>
          <w:rFonts w:ascii="Times New Roman" w:hAnsi="Times New Roman" w:eastAsia="Times New Roman"/>
          <w:b w:val="0"/>
          <w:i w:val="0"/>
          <w:sz w:val="24"/>
        </w:rPr>
        <w:t xml:space="preserve">Ο Δήμος Μαραθώνα, εφαρμόζοντας αυτή τη στρατηγική, μπορεί να γίνει </w:t>
      </w:r>
      <w:r>
        <w:rPr>
          <w:rFonts w:ascii="Times New Roman" w:hAnsi="Times New Roman" w:eastAsia="Times New Roman"/>
          <w:b/>
          <w:i w:val="0"/>
          <w:sz w:val="24"/>
        </w:rPr>
        <w:t>πρότυπο βιώσιμης τοπικής διακυβέρνησης</w:t>
      </w:r>
      <w:r>
        <w:rPr>
          <w:rFonts w:ascii="Times New Roman" w:hAnsi="Times New Roman" w:eastAsia="Times New Roman"/>
          <w:b w:val="0"/>
          <w:i w:val="0"/>
          <w:sz w:val="24"/>
        </w:rPr>
        <w:t xml:space="preserve"> και να συμβάλει στην εθνική προσπάθεια επίτευξης των SDGs έως το 2030.</w:t>
      </w:r>
    </w:p>
    <w:p>
      <w:pPr>
        <w:pStyle w:val="Heading2"/>
      </w:pPr>
      <w:r>
        <w:rPr>
          <w:rFonts w:ascii="Times New Roman" w:hAnsi="Times New Roman" w:eastAsia="Times New Roman"/>
          <w:b/>
          <w:sz w:val="24"/>
        </w:rPr>
        <w:t>7. Χρονοδιάγραμμα Υλοποίησης: Από το Σχεδιασμό στη Δράση</w:t>
      </w:r>
    </w:p>
    <w:p>
      <w:pPr>
        <w:pStyle w:val="Heading3"/>
      </w:pPr>
      <w:r>
        <w:rPr>
          <w:rFonts w:ascii="Times New Roman" w:hAnsi="Times New Roman" w:eastAsia="Times New Roman"/>
          <w:b/>
          <w:sz w:val="22"/>
        </w:rPr>
        <w:t>Φάση 1: Θεμελίωση (Μήνες 1-6)</w:t>
      </w:r>
    </w:p>
    <w:p>
      <w:pPr>
        <w:spacing w:line="360" w:lineRule="auto" w:after="120"/>
        <w:jc w:val="both"/>
      </w:pPr>
      <w:r>
        <w:rPr>
          <w:rFonts w:ascii="Times New Roman" w:hAnsi="Times New Roman" w:eastAsia="Times New Roman"/>
          <w:b w:val="0"/>
          <w:i w:val="0"/>
          <w:sz w:val="24"/>
        </w:rPr>
        <w:t>- Ψήφιση Τοπικού Σχεδίου από Δημοτικό Συμβούλιο</w:t>
      </w:r>
    </w:p>
    <w:p>
      <w:pPr>
        <w:spacing w:line="360" w:lineRule="auto" w:after="120"/>
        <w:jc w:val="both"/>
      </w:pPr>
      <w:r>
        <w:rPr>
          <w:rFonts w:ascii="Times New Roman" w:hAnsi="Times New Roman" w:eastAsia="Times New Roman"/>
          <w:b w:val="0"/>
          <w:i w:val="0"/>
          <w:sz w:val="24"/>
        </w:rPr>
        <w:t>- Σύσταση Γραφείου Κυκλικής Οικονομίας</w:t>
      </w:r>
    </w:p>
    <w:p>
      <w:pPr>
        <w:spacing w:line="360" w:lineRule="auto" w:after="120"/>
        <w:jc w:val="both"/>
      </w:pPr>
      <w:r>
        <w:rPr>
          <w:rFonts w:ascii="Times New Roman" w:hAnsi="Times New Roman" w:eastAsia="Times New Roman"/>
          <w:b w:val="0"/>
          <w:i w:val="0"/>
          <w:sz w:val="24"/>
        </w:rPr>
        <w:t>- Διαβούλευση με πολίτες (3 ανοιχτές συναντήσεις)</w:t>
      </w:r>
    </w:p>
    <w:p>
      <w:pPr>
        <w:spacing w:line="360" w:lineRule="auto" w:after="120"/>
        <w:jc w:val="both"/>
      </w:pPr>
      <w:r>
        <w:rPr>
          <w:rFonts w:ascii="Times New Roman" w:hAnsi="Times New Roman" w:eastAsia="Times New Roman"/>
          <w:b w:val="0"/>
          <w:i w:val="0"/>
          <w:sz w:val="24"/>
        </w:rPr>
        <w:t>- Υποβολή προτάσεων για χρηματοδότηση (ΕΣΠΑ, LIFE+)</w:t>
      </w:r>
    </w:p>
    <w:p>
      <w:pPr>
        <w:spacing w:line="360" w:lineRule="auto" w:after="120"/>
        <w:jc w:val="both"/>
      </w:pPr>
      <w:r>
        <w:rPr>
          <w:rFonts w:ascii="Times New Roman" w:hAnsi="Times New Roman" w:eastAsia="Times New Roman"/>
          <w:b w:val="0"/>
          <w:i w:val="0"/>
          <w:sz w:val="24"/>
        </w:rPr>
        <w:t>- Προμήθεια πρώτων 100 νέων κάδων</w:t>
      </w:r>
    </w:p>
    <w:p>
      <w:pPr>
        <w:pStyle w:val="Heading3"/>
      </w:pPr>
      <w:r>
        <w:rPr>
          <w:rFonts w:ascii="Times New Roman" w:hAnsi="Times New Roman" w:eastAsia="Times New Roman"/>
          <w:b/>
          <w:sz w:val="22"/>
        </w:rPr>
        <w:t>Φάση 2: Πιλοτική Εφαρμογή (Μήνες 7-18)</w:t>
      </w:r>
    </w:p>
    <w:p>
      <w:pPr>
        <w:spacing w:line="360" w:lineRule="auto" w:after="120"/>
        <w:jc w:val="both"/>
      </w:pPr>
      <w:r>
        <w:rPr>
          <w:rFonts w:ascii="Times New Roman" w:hAnsi="Times New Roman" w:eastAsia="Times New Roman"/>
          <w:b w:val="0"/>
          <w:i w:val="0"/>
          <w:sz w:val="24"/>
        </w:rPr>
        <w:t>- Εκκίνηση πιλοτικού PAYT σε 1 γειτονιά</w:t>
      </w:r>
    </w:p>
    <w:p>
      <w:pPr>
        <w:spacing w:line="360" w:lineRule="auto" w:after="120"/>
        <w:jc w:val="both"/>
      </w:pPr>
      <w:r>
        <w:rPr>
          <w:rFonts w:ascii="Times New Roman" w:hAnsi="Times New Roman" w:eastAsia="Times New Roman"/>
          <w:b w:val="0"/>
          <w:i w:val="0"/>
          <w:sz w:val="24"/>
        </w:rPr>
        <w:t>- Λειτουργία Κινητού Πράσινου Σημείου</w:t>
      </w:r>
    </w:p>
    <w:p>
      <w:pPr>
        <w:spacing w:line="360" w:lineRule="auto" w:after="120"/>
        <w:jc w:val="both"/>
      </w:pPr>
      <w:r>
        <w:rPr>
          <w:rFonts w:ascii="Times New Roman" w:hAnsi="Times New Roman" w:eastAsia="Times New Roman"/>
          <w:b w:val="0"/>
          <w:i w:val="0"/>
          <w:sz w:val="24"/>
        </w:rPr>
        <w:t>- Εκπαίδευση Πράσινων Πρεσβευτών (πρώτη ομάδα 20 ατόμων)</w:t>
      </w:r>
    </w:p>
    <w:p>
      <w:pPr>
        <w:spacing w:line="360" w:lineRule="auto" w:after="120"/>
        <w:jc w:val="both"/>
      </w:pPr>
      <w:r>
        <w:rPr>
          <w:rFonts w:ascii="Times New Roman" w:hAnsi="Times New Roman" w:eastAsia="Times New Roman"/>
          <w:b w:val="0"/>
          <w:i w:val="0"/>
          <w:sz w:val="24"/>
        </w:rPr>
        <w:t>- Εκκίνηση 3 σχολείων ως "Πράσινα Σχολεία"</w:t>
      </w:r>
    </w:p>
    <w:p>
      <w:pPr>
        <w:spacing w:line="360" w:lineRule="auto" w:after="120"/>
        <w:jc w:val="both"/>
      </w:pPr>
      <w:r>
        <w:rPr>
          <w:rFonts w:ascii="Times New Roman" w:hAnsi="Times New Roman" w:eastAsia="Times New Roman"/>
          <w:b w:val="0"/>
          <w:i w:val="0"/>
          <w:sz w:val="24"/>
        </w:rPr>
        <w:t>- Πρώτη ενημερωτική καμπάνια (φάρμακα)</w:t>
      </w:r>
    </w:p>
    <w:p>
      <w:pPr>
        <w:spacing w:line="360" w:lineRule="auto" w:after="120"/>
        <w:jc w:val="both"/>
      </w:pPr>
      <w:r>
        <w:rPr>
          <w:rFonts w:ascii="Times New Roman" w:hAnsi="Times New Roman" w:eastAsia="Times New Roman"/>
          <w:b w:val="0"/>
          <w:i w:val="0"/>
          <w:sz w:val="24"/>
        </w:rPr>
        <w:t>- Αξιολόγηση πιλοτικού &amp; προσαρμογές</w:t>
      </w:r>
    </w:p>
    <w:p>
      <w:pPr>
        <w:pStyle w:val="Heading3"/>
      </w:pPr>
      <w:r>
        <w:rPr>
          <w:rFonts w:ascii="Times New Roman" w:hAnsi="Times New Roman" w:eastAsia="Times New Roman"/>
          <w:b/>
          <w:sz w:val="22"/>
        </w:rPr>
        <w:t>Φάση 3: Κλιμάκωση (Μήνες 19-36)</w:t>
      </w:r>
    </w:p>
    <w:p>
      <w:pPr>
        <w:spacing w:line="360" w:lineRule="auto" w:after="120"/>
        <w:jc w:val="both"/>
      </w:pPr>
      <w:r>
        <w:rPr>
          <w:rFonts w:ascii="Times New Roman" w:hAnsi="Times New Roman" w:eastAsia="Times New Roman"/>
          <w:b w:val="0"/>
          <w:i w:val="0"/>
          <w:sz w:val="24"/>
        </w:rPr>
        <w:t>- Επέκταση PAYT σε όλο το Δήμο</w:t>
      </w:r>
    </w:p>
    <w:p>
      <w:pPr>
        <w:spacing w:line="360" w:lineRule="auto" w:after="120"/>
        <w:jc w:val="both"/>
      </w:pPr>
      <w:r>
        <w:rPr>
          <w:rFonts w:ascii="Times New Roman" w:hAnsi="Times New Roman" w:eastAsia="Times New Roman"/>
          <w:b w:val="0"/>
          <w:i w:val="0"/>
          <w:sz w:val="24"/>
        </w:rPr>
        <w:t>- Λανσάρισμα "Marathon Green App"</w:t>
      </w:r>
    </w:p>
    <w:p>
      <w:pPr>
        <w:spacing w:line="360" w:lineRule="auto" w:after="120"/>
        <w:jc w:val="both"/>
      </w:pPr>
      <w:r>
        <w:rPr>
          <w:rFonts w:ascii="Times New Roman" w:hAnsi="Times New Roman" w:eastAsia="Times New Roman"/>
          <w:b w:val="0"/>
          <w:i w:val="0"/>
          <w:sz w:val="24"/>
        </w:rPr>
        <w:t>- Τοποθέτηση 200 επιπλέον κάδων</w:t>
      </w:r>
    </w:p>
    <w:p>
      <w:pPr>
        <w:spacing w:line="360" w:lineRule="auto" w:after="120"/>
        <w:jc w:val="both"/>
      </w:pPr>
      <w:r>
        <w:rPr>
          <w:rFonts w:ascii="Times New Roman" w:hAnsi="Times New Roman" w:eastAsia="Times New Roman"/>
          <w:b w:val="0"/>
          <w:i w:val="0"/>
          <w:sz w:val="24"/>
        </w:rPr>
        <w:t>- 6 βιωματικές εκδηλώσεις/έτος</w:t>
      </w:r>
    </w:p>
    <w:p>
      <w:pPr>
        <w:spacing w:line="360" w:lineRule="auto" w:after="120"/>
        <w:jc w:val="both"/>
      </w:pPr>
      <w:r>
        <w:rPr>
          <w:rFonts w:ascii="Times New Roman" w:hAnsi="Times New Roman" w:eastAsia="Times New Roman"/>
          <w:b w:val="0"/>
          <w:i w:val="0"/>
          <w:sz w:val="24"/>
        </w:rPr>
        <w:t>- Όλα τα σχολεία στο πρόγραμμα "Πράσινα Σχολεία"</w:t>
      </w:r>
    </w:p>
    <w:p>
      <w:pPr>
        <w:pStyle w:val="Heading3"/>
      </w:pPr>
      <w:r>
        <w:rPr>
          <w:rFonts w:ascii="Times New Roman" w:hAnsi="Times New Roman" w:eastAsia="Times New Roman"/>
          <w:b/>
          <w:sz w:val="22"/>
        </w:rPr>
        <w:t>Φάση 4: Ωρίμανση (Μήνες 37-60)</w:t>
      </w:r>
    </w:p>
    <w:p>
      <w:pPr>
        <w:spacing w:line="360" w:lineRule="auto" w:after="120"/>
        <w:jc w:val="both"/>
      </w:pPr>
      <w:r>
        <w:rPr>
          <w:rFonts w:ascii="Times New Roman" w:hAnsi="Times New Roman" w:eastAsia="Times New Roman"/>
          <w:b w:val="0"/>
          <w:i w:val="0"/>
          <w:sz w:val="24"/>
        </w:rPr>
        <w:t>- Πλήρης λειτουργία όλων των προγραμμάτων</w:t>
      </w:r>
    </w:p>
    <w:p>
      <w:pPr>
        <w:spacing w:line="360" w:lineRule="auto" w:after="120"/>
        <w:jc w:val="both"/>
      </w:pPr>
      <w:r>
        <w:rPr>
          <w:rFonts w:ascii="Times New Roman" w:hAnsi="Times New Roman" w:eastAsia="Times New Roman"/>
          <w:b w:val="0"/>
          <w:i w:val="0"/>
          <w:sz w:val="24"/>
        </w:rPr>
        <w:t>- Επίτευξη στόχου 40% ανακύκλωση</w:t>
      </w:r>
    </w:p>
    <w:p>
      <w:pPr>
        <w:spacing w:line="360" w:lineRule="auto" w:after="120"/>
        <w:jc w:val="both"/>
      </w:pPr>
      <w:r>
        <w:rPr>
          <w:rFonts w:ascii="Times New Roman" w:hAnsi="Times New Roman" w:eastAsia="Times New Roman"/>
          <w:b w:val="0"/>
          <w:i w:val="0"/>
          <w:sz w:val="24"/>
        </w:rPr>
        <w:t>- Αναγνώριση από εθνικά/διεθνή δίκτυα</w:t>
      </w:r>
    </w:p>
    <w:p>
      <w:pPr>
        <w:spacing w:line="360" w:lineRule="auto" w:after="120"/>
        <w:jc w:val="both"/>
      </w:pPr>
      <w:r>
        <w:rPr>
          <w:rFonts w:ascii="Times New Roman" w:hAnsi="Times New Roman" w:eastAsia="Times New Roman"/>
          <w:b w:val="0"/>
          <w:i w:val="0"/>
          <w:sz w:val="24"/>
        </w:rPr>
        <w:t>- Φιλοξενία επισκέψεων από άλλους Δήμους</w:t>
      </w:r>
    </w:p>
    <w:p>
      <w:pPr>
        <w:spacing w:line="360" w:lineRule="auto" w:after="120"/>
        <w:jc w:val="both"/>
      </w:pPr>
      <w:r>
        <w:rPr>
          <w:rFonts w:ascii="Times New Roman" w:hAnsi="Times New Roman" w:eastAsia="Times New Roman"/>
          <w:b w:val="0"/>
          <w:i w:val="0"/>
          <w:sz w:val="24"/>
        </w:rPr>
        <w:t>- Εξαγωγή μοντέλου</w:t>
      </w:r>
    </w:p>
    <w:p>
      <w:pPr>
        <w:pStyle w:val="Heading2"/>
      </w:pPr>
      <w:r>
        <w:rPr>
          <w:rFonts w:ascii="Times New Roman" w:hAnsi="Times New Roman" w:eastAsia="Times New Roman"/>
          <w:b/>
          <w:sz w:val="24"/>
        </w:rPr>
        <w:t>8. Τελικό Συμπέρασμα: Από το Όραμα στην Πραγματικότητα</w:t>
      </w:r>
    </w:p>
    <w:p>
      <w:pPr>
        <w:spacing w:line="360" w:lineRule="auto" w:after="120"/>
        <w:jc w:val="both"/>
      </w:pPr>
      <w:r>
        <w:rPr>
          <w:rFonts w:ascii="Times New Roman" w:hAnsi="Times New Roman" w:eastAsia="Times New Roman"/>
          <w:b w:val="0"/>
          <w:i w:val="0"/>
          <w:sz w:val="24"/>
        </w:rPr>
        <w:t xml:space="preserve">Η έρευνα στο Δήμο Μαραθώνα απέδειξε κάτι θεμελιώδες: </w:t>
      </w:r>
      <w:r>
        <w:rPr>
          <w:rFonts w:ascii="Times New Roman" w:hAnsi="Times New Roman" w:eastAsia="Times New Roman"/>
          <w:b/>
          <w:i w:val="0"/>
          <w:sz w:val="24"/>
        </w:rPr>
        <w:t>οι πολίτες είναι έτοιμοι</w:t>
      </w:r>
      <w:r>
        <w:rPr>
          <w:rFonts w:ascii="Times New Roman" w:hAnsi="Times New Roman" w:eastAsia="Times New Roman"/>
          <w:b w:val="0"/>
          <w:i w:val="0"/>
          <w:sz w:val="24"/>
        </w:rPr>
        <w:t>. Το 93% θέλει να συμμετάσχει. Το 76.8% ήδη κομποστοποιεί. Το 90.7% γνωρίζει για την ανακύκλωση. Η κοινωνία προηγείται των θεσμών.</w:t>
      </w:r>
    </w:p>
    <w:p>
      <w:pPr>
        <w:spacing w:line="360" w:lineRule="auto" w:after="120"/>
        <w:jc w:val="both"/>
      </w:pPr>
      <w:r>
        <w:rPr>
          <w:rFonts w:ascii="Times New Roman" w:hAnsi="Times New Roman" w:eastAsia="Times New Roman"/>
          <w:b w:val="0"/>
          <w:i w:val="0"/>
          <w:sz w:val="24"/>
        </w:rPr>
        <w:t xml:space="preserve">Όμως, η </w:t>
      </w:r>
      <w:r>
        <w:rPr>
          <w:rFonts w:ascii="Times New Roman" w:hAnsi="Times New Roman" w:eastAsia="Times New Roman"/>
          <w:b/>
          <w:i w:val="0"/>
          <w:sz w:val="24"/>
        </w:rPr>
        <w:t>διάθεση χωρίς υποδομή δημιουργεί απογοήτευση</w:t>
      </w:r>
      <w:r>
        <w:rPr>
          <w:rFonts w:ascii="Times New Roman" w:hAnsi="Times New Roman" w:eastAsia="Times New Roman"/>
          <w:b w:val="0"/>
          <w:i w:val="0"/>
          <w:sz w:val="24"/>
        </w:rPr>
        <w:t xml:space="preserve">, όπως φάνηκε από το 75% που θεωρεί ανεπαρκή την υποστήριξη του Δήμου. Κάθε γεμάτος κάδος που δεν αδειάζεται, κάθε πληροφορία που δεν φτάνει στον πολίτη, κάθε καλή πρόθεση που δεν βρίσκει έδαφος εφαρμογής, αποτελεί </w:t>
      </w:r>
      <w:r>
        <w:rPr>
          <w:rFonts w:ascii="Times New Roman" w:hAnsi="Times New Roman" w:eastAsia="Times New Roman"/>
          <w:b/>
          <w:i w:val="0"/>
          <w:sz w:val="24"/>
        </w:rPr>
        <w:t>χαμένη ευκαιρία</w:t>
      </w:r>
      <w:r>
        <w:rPr>
          <w:rFonts w:ascii="Times New Roman" w:hAnsi="Times New Roman" w:eastAsia="Times New Roman"/>
          <w:b w:val="0"/>
          <w:i w:val="0"/>
          <w:sz w:val="24"/>
        </w:rPr>
        <w:t xml:space="preserve"> για το περιβάλλον, την οικονομία, την κοινωνία.</w:t>
      </w:r>
    </w:p>
    <w:p>
      <w:pPr>
        <w:spacing w:line="360" w:lineRule="auto" w:after="120"/>
        <w:jc w:val="both"/>
      </w:pPr>
      <w:r>
        <w:rPr>
          <w:rFonts w:ascii="Times New Roman" w:hAnsi="Times New Roman" w:eastAsia="Times New Roman"/>
          <w:b w:val="0"/>
          <w:i w:val="0"/>
          <w:sz w:val="24"/>
        </w:rPr>
        <w:t xml:space="preserve">Η </w:t>
      </w:r>
      <w:r>
        <w:rPr>
          <w:rFonts w:ascii="Times New Roman" w:hAnsi="Times New Roman" w:eastAsia="Times New Roman"/>
          <w:b/>
          <w:i w:val="0"/>
          <w:sz w:val="24"/>
        </w:rPr>
        <w:t>κυκλική οικονομία δεν είναι μόνο μια τεχνική λύση – είναι ένα νέο κοινωνικό συμβόλαιο</w:t>
      </w:r>
      <w:r>
        <w:rPr>
          <w:rFonts w:ascii="Times New Roman" w:hAnsi="Times New Roman" w:eastAsia="Times New Roman"/>
          <w:b w:val="0"/>
          <w:i w:val="0"/>
          <w:sz w:val="24"/>
        </w:rPr>
        <w:t xml:space="preserve"> μεταξύ πολιτών, Δήμου, επιχειρήσεων και περιβάλλοντος. Είναι η αναγνώριση ότι δεν υπάρχει "μακριά" όπου πετάμε τα πράγματα. Ό,τι απορρίπτουμε σήμερα, το κληροδοτούμε στα παιδιά μας αύριο.</w:t>
      </w:r>
    </w:p>
    <w:p>
      <w:pPr>
        <w:spacing w:line="360" w:lineRule="auto" w:after="120"/>
        <w:jc w:val="both"/>
      </w:pPr>
      <w:r>
        <w:rPr>
          <w:rFonts w:ascii="Times New Roman" w:hAnsi="Times New Roman" w:eastAsia="Times New Roman"/>
          <w:b w:val="0"/>
          <w:i w:val="0"/>
          <w:sz w:val="24"/>
        </w:rPr>
        <w:t xml:space="preserve">Ο Δήμος Μαραθώνα έχει μια </w:t>
      </w:r>
      <w:r>
        <w:rPr>
          <w:rFonts w:ascii="Times New Roman" w:hAnsi="Times New Roman" w:eastAsia="Times New Roman"/>
          <w:b/>
          <w:i w:val="0"/>
          <w:sz w:val="24"/>
        </w:rPr>
        <w:t>ιστορική ευκαιρία</w:t>
      </w:r>
      <w:r>
        <w:rPr>
          <w:rFonts w:ascii="Times New Roman" w:hAnsi="Times New Roman" w:eastAsia="Times New Roman"/>
          <w:b w:val="0"/>
          <w:i w:val="0"/>
          <w:sz w:val="24"/>
        </w:rPr>
        <w:t>: να γίνει πρωτοπόρος στην περιοχή της Αττικής, να αποδείξει ότι ένας περιαστικός δήμος μπορεί να συνδυάσει την ποιότητα ζωής με τη βιωσιμότητα, την οικονομική ευημερία με την περιβαλλοντική υπευθυνότητα.</w:t>
      </w:r>
    </w:p>
    <w:p>
      <w:pPr>
        <w:spacing w:line="360" w:lineRule="auto" w:after="120"/>
        <w:jc w:val="both"/>
      </w:pPr>
      <w:r>
        <w:rPr>
          <w:rFonts w:ascii="Times New Roman" w:hAnsi="Times New Roman" w:eastAsia="Times New Roman"/>
          <w:b/>
          <w:i w:val="0"/>
          <w:sz w:val="24"/>
        </w:rPr>
        <w:t>Το ερώτημα δεν είναι "μπορούμε";</w:t>
      </w:r>
      <w:r>
        <w:rPr>
          <w:rFonts w:ascii="Times New Roman" w:hAnsi="Times New Roman" w:eastAsia="Times New Roman"/>
          <w:b w:val="0"/>
          <w:i w:val="0"/>
          <w:sz w:val="24"/>
        </w:rPr>
        <w:t xml:space="preserve"> – τα διεθνή παραδείγματα αποδεικνύουν ότι μπορούμε. </w:t>
      </w:r>
      <w:r>
        <w:rPr>
          <w:rFonts w:ascii="Times New Roman" w:hAnsi="Times New Roman" w:eastAsia="Times New Roman"/>
          <w:b/>
          <w:i w:val="0"/>
          <w:sz w:val="24"/>
        </w:rPr>
        <w:t>Το ερώτημα είναι "θέλουμε";</w:t>
      </w:r>
      <w:r>
        <w:rPr>
          <w:rFonts w:ascii="Times New Roman" w:hAnsi="Times New Roman" w:eastAsia="Times New Roman"/>
          <w:b w:val="0"/>
          <w:i w:val="0"/>
          <w:sz w:val="24"/>
        </w:rPr>
        <w:t xml:space="preserve"> Και η απάντηση, από τους 43 πολίτες που συμμετείχαν στην έρευνα, είναι καταφατική.</w:t>
      </w:r>
    </w:p>
    <w:p>
      <w:pPr>
        <w:spacing w:line="360" w:lineRule="auto" w:after="120"/>
        <w:jc w:val="both"/>
      </w:pPr>
      <w:r>
        <w:rPr>
          <w:rFonts w:ascii="Times New Roman" w:hAnsi="Times New Roman" w:eastAsia="Times New Roman"/>
          <w:b w:val="0"/>
          <w:i w:val="0"/>
          <w:sz w:val="24"/>
        </w:rPr>
        <w:t xml:space="preserve">Το όραμα ενός </w:t>
      </w:r>
      <w:r>
        <w:rPr>
          <w:rFonts w:ascii="Times New Roman" w:hAnsi="Times New Roman" w:eastAsia="Times New Roman"/>
          <w:b/>
          <w:i w:val="0"/>
          <w:sz w:val="24"/>
        </w:rPr>
        <w:t>καθαρού, πράσινου, κυκλικού Μαραθώνα</w:t>
      </w:r>
      <w:r>
        <w:rPr>
          <w:rFonts w:ascii="Times New Roman" w:hAnsi="Times New Roman" w:eastAsia="Times New Roman"/>
          <w:b w:val="0"/>
          <w:i w:val="0"/>
          <w:sz w:val="24"/>
        </w:rPr>
        <w:t xml:space="preserve"> δεν είναι ουτοπία. Είναι επιλογή. Είναι δέσμευση. Είναι δράση. </w:t>
      </w:r>
      <w:r>
        <w:rPr>
          <w:rFonts w:ascii="Times New Roman" w:hAnsi="Times New Roman" w:eastAsia="Times New Roman"/>
          <w:b/>
          <w:i w:val="0"/>
          <w:sz w:val="24"/>
        </w:rPr>
        <w:t>Είναι τώρα.</w:t>
      </w:r>
    </w:p>
    <w:p>
      <w:pPr>
        <w:spacing w:line="360" w:lineRule="auto" w:after="120"/>
        <w:jc w:val="both"/>
      </w:pPr>
      <w:r>
        <w:rPr>
          <w:rFonts w:ascii="Times New Roman" w:hAnsi="Times New Roman" w:eastAsia="Times New Roman"/>
          <w:b/>
          <w:i w:val="0"/>
          <w:sz w:val="24"/>
        </w:rPr>
        <w:t>"Δεν κληρονομούμε τη Γη από τους προγόνους μας. Τη δανειζόμαστε από τα παιδιά μας."</w:t>
      </w:r>
    </w:p>
    <w:p>
      <w:pPr>
        <w:spacing w:line="360" w:lineRule="auto" w:after="120"/>
        <w:jc w:val="both"/>
      </w:pPr>
      <w:r>
        <w:rPr>
          <w:rFonts w:ascii="Times New Roman" w:hAnsi="Times New Roman" w:eastAsia="Times New Roman"/>
          <w:b w:val="0"/>
          <w:i/>
          <w:sz w:val="24"/>
        </w:rPr>
        <w:t>– Ινδιάνικη παροιμία</w:t>
      </w:r>
    </w:p>
    <w:p>
      <w:pPr>
        <w:pStyle w:val="Heading2"/>
      </w:pPr>
      <w:r>
        <w:rPr>
          <w:rFonts w:ascii="Times New Roman" w:hAnsi="Times New Roman" w:eastAsia="Times New Roman"/>
          <w:b/>
          <w:sz w:val="24"/>
        </w:rPr>
        <w:t>ΠΑΡΑΡΤΗΜΑ ΣΥΜΠΕΡΑΣΜΑΤΩΝ: Συγκεντρωτικοί Πίνακες</w:t>
      </w:r>
    </w:p>
    <w:p>
      <w:pPr>
        <w:pStyle w:val="Heading3"/>
      </w:pPr>
      <w:r>
        <w:rPr>
          <w:rFonts w:ascii="Times New Roman" w:hAnsi="Times New Roman" w:eastAsia="Times New Roman"/>
          <w:b/>
          <w:sz w:val="22"/>
        </w:rPr>
        <w:t>Πίνακας Α: Κύρια Ευρήματα Έρευνας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Κατηγορία</w:t>
            </w:r>
          </w:p>
        </w:tc>
        <w:tc>
          <w:tcPr>
            <w:tcW w:type="dxa" w:w="2880"/>
          </w:tcPr>
          <w:p>
            <w:r>
              <w:rPr>
                <w:b/>
                <w:sz w:val="22"/>
              </w:rPr>
              <w:t>Θετικά</w:t>
            </w:r>
          </w:p>
        </w:tc>
        <w:tc>
          <w:tcPr>
            <w:tcW w:type="dxa" w:w="2880"/>
          </w:tcPr>
          <w:p>
            <w:r>
              <w:rPr>
                <w:b/>
                <w:sz w:val="22"/>
              </w:rPr>
              <w:t>Προβληματικά</w:t>
            </w:r>
          </w:p>
        </w:tc>
      </w:tr>
      <w:tr>
        <w:tc>
          <w:tcPr>
            <w:tcW w:type="dxa" w:w="2880"/>
          </w:tcPr>
          <w:p>
            <w:r>
              <w:t>**Γνώση**</w:t>
            </w:r>
          </w:p>
        </w:tc>
        <w:tc>
          <w:tcPr>
            <w:tcW w:type="dxa" w:w="2880"/>
          </w:tcPr>
          <w:p>
            <w:r>
              <w:t>90.7% γνωρίζει για ανακύκλωση&lt;br&gt;Υψηλή γνώση ΚΟ εννοιών (3.7/5)</w:t>
            </w:r>
          </w:p>
        </w:tc>
        <w:tc>
          <w:tcPr>
            <w:tcW w:type="dxa" w:w="2880"/>
          </w:tcPr>
          <w:p>
            <w:r>
              <w:t>~50% δεν γνωρίζει συγκεκριμένες δράσεις Δήμου</w:t>
            </w:r>
          </w:p>
        </w:tc>
      </w:tr>
      <w:tr>
        <w:tc>
          <w:tcPr>
            <w:tcW w:type="dxa" w:w="2880"/>
          </w:tcPr>
          <w:p>
            <w:r>
              <w:t>**Πρακτική**</w:t>
            </w:r>
          </w:p>
        </w:tc>
        <w:tc>
          <w:tcPr>
            <w:tcW w:type="dxa" w:w="2880"/>
          </w:tcPr>
          <w:p>
            <w:r>
              <w:t>76.8% κομποστοποιεί&lt;br&gt;65.2% χρησιμοποιεί Πράσινα Σημεία</w:t>
            </w:r>
          </w:p>
        </w:tc>
        <w:tc>
          <w:tcPr>
            <w:tcW w:type="dxa" w:w="2880"/>
          </w:tcPr>
          <w:p>
            <w:r>
              <w:t>39.5% δεν διαχωρίζει συστηματικά</w:t>
            </w:r>
          </w:p>
        </w:tc>
      </w:tr>
      <w:tr>
        <w:tc>
          <w:tcPr>
            <w:tcW w:type="dxa" w:w="2880"/>
          </w:tcPr>
          <w:p>
            <w:r>
              <w:t>**Υποδομή**</w:t>
            </w:r>
          </w:p>
        </w:tc>
        <w:tc>
          <w:tcPr>
            <w:tcW w:type="dxa" w:w="2880"/>
          </w:tcPr>
          <w:p>
            <w:r>
              <w:t>-</w:t>
            </w:r>
          </w:p>
        </w:tc>
        <w:tc>
          <w:tcPr>
            <w:tcW w:type="dxa" w:w="2880"/>
          </w:tcPr>
          <w:p>
            <w:r>
              <w:t>90.7% ζητά περισσότερους κάδους&lt;br&gt;62.8% δυσαρεστημένοι από αποκομιδή</w:t>
            </w:r>
          </w:p>
        </w:tc>
      </w:tr>
      <w:tr>
        <w:tc>
          <w:tcPr>
            <w:tcW w:type="dxa" w:w="2880"/>
          </w:tcPr>
          <w:p>
            <w:r>
              <w:t>**Δήμος**</w:t>
            </w:r>
          </w:p>
        </w:tc>
        <w:tc>
          <w:tcPr>
            <w:tcW w:type="dxa" w:w="2880"/>
          </w:tcPr>
          <w:p>
            <w:r>
              <w:t>-</w:t>
            </w:r>
          </w:p>
        </w:tc>
        <w:tc>
          <w:tcPr>
            <w:tcW w:type="dxa" w:w="2880"/>
          </w:tcPr>
          <w:p>
            <w:r>
              <w:t>75% θεωρεί ανεπαρκή την υποστήριξη</w:t>
            </w:r>
          </w:p>
        </w:tc>
      </w:tr>
      <w:tr>
        <w:tc>
          <w:tcPr>
            <w:tcW w:type="dxa" w:w="2880"/>
          </w:tcPr>
          <w:p>
            <w:r>
              <w:t>**Διάθεση**</w:t>
            </w:r>
          </w:p>
        </w:tc>
        <w:tc>
          <w:tcPr>
            <w:tcW w:type="dxa" w:w="2880"/>
          </w:tcPr>
          <w:p>
            <w:r>
              <w:t>93% θέλει να συμμετάσχει</w:t>
            </w:r>
          </w:p>
        </w:tc>
        <w:tc>
          <w:tcPr>
            <w:tcW w:type="dxa" w:w="2880"/>
          </w:tcPr>
          <w:p>
            <w:r>
              <w:t>Χάσμα στάσης-πράξης</w:t>
            </w:r>
          </w:p>
        </w:tc>
      </w:tr>
    </w:tbl>
    <w:p/>
    <w:p>
      <w:pPr>
        <w:pStyle w:val="Heading3"/>
      </w:pPr>
      <w:r>
        <w:rPr>
          <w:rFonts w:ascii="Times New Roman" w:hAnsi="Times New Roman" w:eastAsia="Times New Roman"/>
          <w:b/>
          <w:sz w:val="22"/>
        </w:rPr>
        <w:t>Πίνακας Β: Προτεραιότητες Δράσης (Βραχυπρόθεσμα έως 12 μήνες)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Προτεραιότητα</w:t>
            </w:r>
          </w:p>
        </w:tc>
        <w:tc>
          <w:tcPr>
            <w:tcW w:type="dxa" w:w="2160"/>
          </w:tcPr>
          <w:p>
            <w:r>
              <w:rPr>
                <w:b/>
                <w:sz w:val="22"/>
              </w:rPr>
              <w:t>Δράση</w:t>
            </w:r>
          </w:p>
        </w:tc>
        <w:tc>
          <w:tcPr>
            <w:tcW w:type="dxa" w:w="2160"/>
          </w:tcPr>
          <w:p>
            <w:r>
              <w:rPr>
                <w:b/>
                <w:sz w:val="22"/>
              </w:rPr>
              <w:t>Κόστος</w:t>
            </w:r>
          </w:p>
        </w:tc>
        <w:tc>
          <w:tcPr>
            <w:tcW w:type="dxa" w:w="2160"/>
          </w:tcPr>
          <w:p>
            <w:r>
              <w:rPr>
                <w:b/>
                <w:sz w:val="22"/>
              </w:rPr>
              <w:t>Αναμενόμενο Όφελος</w:t>
            </w:r>
          </w:p>
        </w:tc>
      </w:tr>
      <w:tr>
        <w:tc>
          <w:tcPr>
            <w:tcW w:type="dxa" w:w="2160"/>
          </w:tcPr>
          <w:p>
            <w:r>
              <w:t>**1**</w:t>
            </w:r>
          </w:p>
        </w:tc>
        <w:tc>
          <w:tcPr>
            <w:tcW w:type="dxa" w:w="2160"/>
          </w:tcPr>
          <w:p>
            <w:r>
              <w:t>100 νέοι κάδοι σε "καυτά σημεία"</w:t>
            </w:r>
          </w:p>
        </w:tc>
        <w:tc>
          <w:tcPr>
            <w:tcW w:type="dxa" w:w="2160"/>
          </w:tcPr>
          <w:p>
            <w:r>
              <w:t>€50,000</w:t>
            </w:r>
          </w:p>
        </w:tc>
        <w:tc>
          <w:tcPr>
            <w:tcW w:type="dxa" w:w="2160"/>
          </w:tcPr>
          <w:p>
            <w:r>
              <w:t>Κάλυψη άμεσων αναγκών, ικανοποίηση πολιτών</w:t>
            </w:r>
          </w:p>
        </w:tc>
      </w:tr>
      <w:tr>
        <w:tc>
          <w:tcPr>
            <w:tcW w:type="dxa" w:w="2160"/>
          </w:tcPr>
          <w:p>
            <w:r>
              <w:t>**2**</w:t>
            </w:r>
          </w:p>
        </w:tc>
        <w:tc>
          <w:tcPr>
            <w:tcW w:type="dxa" w:w="2160"/>
          </w:tcPr>
          <w:p>
            <w:r>
              <w:t>Καμπάνια για φάρμακα/ελαστικά</w:t>
            </w:r>
          </w:p>
        </w:tc>
        <w:tc>
          <w:tcPr>
            <w:tcW w:type="dxa" w:w="2160"/>
          </w:tcPr>
          <w:p>
            <w:r>
              <w:t>€15,000</w:t>
            </w:r>
          </w:p>
        </w:tc>
        <w:tc>
          <w:tcPr>
            <w:tcW w:type="dxa" w:w="2160"/>
          </w:tcPr>
          <w:p>
            <w:r>
              <w:t>+30% γνώση αυτών των δράσεων</w:t>
            </w:r>
          </w:p>
        </w:tc>
      </w:tr>
      <w:tr>
        <w:tc>
          <w:tcPr>
            <w:tcW w:type="dxa" w:w="2160"/>
          </w:tcPr>
          <w:p>
            <w:r>
              <w:t>**3**</w:t>
            </w:r>
          </w:p>
        </w:tc>
        <w:tc>
          <w:tcPr>
            <w:tcW w:type="dxa" w:w="2160"/>
          </w:tcPr>
          <w:p>
            <w:r>
              <w:t>Εκκίνηση Κινητού Πράσινου Σημείου</w:t>
            </w:r>
          </w:p>
        </w:tc>
        <w:tc>
          <w:tcPr>
            <w:tcW w:type="dxa" w:w="2160"/>
          </w:tcPr>
          <w:p>
            <w:r>
              <w:t>€40,000</w:t>
            </w:r>
          </w:p>
        </w:tc>
        <w:tc>
          <w:tcPr>
            <w:tcW w:type="dxa" w:w="2160"/>
          </w:tcPr>
          <w:p>
            <w:r>
              <w:t>Συλλογή 20 τόνων ειδικών αποβλήτων/έτος</w:t>
            </w:r>
          </w:p>
        </w:tc>
      </w:tr>
      <w:tr>
        <w:tc>
          <w:tcPr>
            <w:tcW w:type="dxa" w:w="2160"/>
          </w:tcPr>
          <w:p>
            <w:r>
              <w:t>**4**</w:t>
            </w:r>
          </w:p>
        </w:tc>
        <w:tc>
          <w:tcPr>
            <w:tcW w:type="dxa" w:w="2160"/>
          </w:tcPr>
          <w:p>
            <w:r>
              <w:t>Εκπαίδευση 20 Πράσινων Πρεσβευτών</w:t>
            </w:r>
          </w:p>
        </w:tc>
        <w:tc>
          <w:tcPr>
            <w:tcW w:type="dxa" w:w="2160"/>
          </w:tcPr>
          <w:p>
            <w:r>
              <w:t>€5,000</w:t>
            </w:r>
          </w:p>
        </w:tc>
        <w:tc>
          <w:tcPr>
            <w:tcW w:type="dxa" w:w="2160"/>
          </w:tcPr>
          <w:p>
            <w:r>
              <w:t>Δίκτυο επικοινωνίας σε γειτονιές</w:t>
            </w:r>
          </w:p>
        </w:tc>
      </w:tr>
      <w:tr>
        <w:tc>
          <w:tcPr>
            <w:tcW w:type="dxa" w:w="2160"/>
          </w:tcPr>
          <w:p>
            <w:r>
              <w:t>**5**</w:t>
            </w:r>
          </w:p>
        </w:tc>
        <w:tc>
          <w:tcPr>
            <w:tcW w:type="dxa" w:w="2160"/>
          </w:tcPr>
          <w:p>
            <w:r>
              <w:t>Πιλοτικό PAYT σε 1 γειτονιά</w:t>
            </w:r>
          </w:p>
        </w:tc>
        <w:tc>
          <w:tcPr>
            <w:tcW w:type="dxa" w:w="2160"/>
          </w:tcPr>
          <w:p>
            <w:r>
              <w:t>€30,000</w:t>
            </w:r>
          </w:p>
        </w:tc>
        <w:tc>
          <w:tcPr>
            <w:tcW w:type="dxa" w:w="2160"/>
          </w:tcPr>
          <w:p>
            <w:r>
              <w:t>Μείωση απορριμμάτων -25%, δεδομένα για κλιμάκωση</w:t>
            </w:r>
          </w:p>
        </w:tc>
      </w:tr>
    </w:tbl>
    <w:p/>
    <w:p>
      <w:pPr>
        <w:spacing w:line="360" w:lineRule="auto" w:after="120"/>
        <w:jc w:val="both"/>
      </w:pPr>
      <w:r>
        <w:rPr>
          <w:rFonts w:ascii="Times New Roman" w:hAnsi="Times New Roman" w:eastAsia="Times New Roman"/>
          <w:b/>
          <w:i w:val="0"/>
          <w:sz w:val="24"/>
        </w:rPr>
        <w:t>Συνολικό Κόστος Βραχυπρόθεσμης Στρατηγικής: €140,000</w:t>
      </w:r>
    </w:p>
    <w:p>
      <w:pPr>
        <w:spacing w:line="360" w:lineRule="auto" w:after="120"/>
        <w:jc w:val="both"/>
      </w:pPr>
      <w:r>
        <w:rPr>
          <w:rFonts w:ascii="Times New Roman" w:hAnsi="Times New Roman" w:eastAsia="Times New Roman"/>
          <w:b/>
          <w:i w:val="0"/>
          <w:sz w:val="24"/>
        </w:rPr>
        <w:t>Διαθέσιμα Κονδύλια: ΕΣΠΑ + Πράσινο Ταμείο + Ίδιοι Πόροι = €200,000+</w:t>
      </w:r>
    </w:p>
    <w:p>
      <w:pPr>
        <w:spacing w:line="360" w:lineRule="auto" w:after="120"/>
        <w:jc w:val="both"/>
      </w:pPr>
      <w:r>
        <w:rPr>
          <w:rFonts w:ascii="Times New Roman" w:hAnsi="Times New Roman" w:eastAsia="Times New Roman"/>
          <w:b w:val="0"/>
          <w:i/>
          <w:sz w:val="24"/>
        </w:rPr>
        <w:t>Τέλος Συμπερασμάτων</w:t>
      </w:r>
    </w:p>
    <w:p>
      <w:pPr>
        <w:spacing w:line="360" w:lineRule="auto" w:after="120"/>
        <w:jc w:val="both"/>
      </w:pPr>
      <w:r>
        <w:rPr>
          <w:rFonts w:ascii="Times New Roman" w:hAnsi="Times New Roman" w:eastAsia="Times New Roman"/>
          <w:b/>
          <w:i w:val="0"/>
          <w:sz w:val="24"/>
        </w:rPr>
        <w:t>Ημερομηνία Σύνταξης:</w:t>
      </w:r>
      <w:r>
        <w:rPr>
          <w:rFonts w:ascii="Times New Roman" w:hAnsi="Times New Roman" w:eastAsia="Times New Roman"/>
          <w:b w:val="0"/>
          <w:i w:val="0"/>
          <w:sz w:val="24"/>
        </w:rPr>
        <w:t xml:space="preserve"> Νοέμβριος 2025</w:t>
      </w:r>
    </w:p>
    <w:p>
      <w:pPr>
        <w:spacing w:line="360" w:lineRule="auto" w:after="120"/>
        <w:jc w:val="both"/>
      </w:pPr>
      <w:r>
        <w:rPr>
          <w:rFonts w:ascii="Times New Roman" w:hAnsi="Times New Roman" w:eastAsia="Times New Roman"/>
          <w:b/>
          <w:i w:val="0"/>
          <w:sz w:val="24"/>
        </w:rPr>
        <w:t>Συντάκτρια:</w:t>
      </w:r>
      <w:r>
        <w:rPr>
          <w:rFonts w:ascii="Times New Roman" w:hAnsi="Times New Roman" w:eastAsia="Times New Roman"/>
          <w:b w:val="0"/>
          <w:i w:val="0"/>
          <w:sz w:val="24"/>
        </w:rPr>
        <w:t xml:space="preserve"> Καράτζα Παρασκευή-Αικατερίνη</w:t>
      </w:r>
    </w:p>
    <w:p>
      <w:pPr>
        <w:spacing w:line="360" w:lineRule="auto" w:after="120"/>
        <w:jc w:val="both"/>
      </w:pPr>
      <w:r>
        <w:rPr>
          <w:rFonts w:ascii="Times New Roman" w:hAnsi="Times New Roman" w:eastAsia="Times New Roman"/>
          <w:b/>
          <w:i w:val="0"/>
          <w:sz w:val="24"/>
        </w:rPr>
        <w:t>Επιβλέπων Καθηγητής:</w:t>
      </w:r>
      <w:r>
        <w:rPr>
          <w:rFonts w:ascii="Times New Roman" w:hAnsi="Times New Roman" w:eastAsia="Times New Roman"/>
          <w:b w:val="0"/>
          <w:i w:val="0"/>
          <w:sz w:val="24"/>
        </w:rPr>
        <w:t xml:space="preserve"> Χάρης Αγκυρόπουλος</w:t>
      </w:r>
    </w:p>
    <w:p>
      <w:pPr>
        <w:spacing w:line="360" w:lineRule="auto" w:after="120"/>
        <w:jc w:val="both"/>
      </w:pPr>
      <w:r>
        <w:rPr>
          <w:rFonts w:ascii="Times New Roman" w:hAnsi="Times New Roman" w:eastAsia="Times New Roman"/>
          <w:b/>
          <w:i w:val="0"/>
          <w:sz w:val="24"/>
        </w:rPr>
        <w:t>Διϊδρυματικό Πρόγραμμα:</w:t>
      </w:r>
      <w:r>
        <w:rPr>
          <w:rFonts w:ascii="Times New Roman" w:hAnsi="Times New Roman" w:eastAsia="Times New Roman"/>
          <w:b w:val="0"/>
          <w:i w:val="0"/>
          <w:sz w:val="24"/>
        </w:rPr>
        <w:t xml:space="preserve"> Τοπική και Περιφερειακή Ανάπτυξη και Αυτοδιοίκηση</w:t>
      </w:r>
    </w:p>
    <w:p>
      <w:r>
        <w:br w:type="page"/>
      </w:r>
    </w:p>
    <w:p>
      <w:pPr>
        <w:pStyle w:val="Heading1"/>
      </w:pPr>
      <w:r>
        <w:rPr>
          <w:rFonts w:ascii="Times New Roman" w:hAnsi="Times New Roman" w:eastAsia="Times New Roman"/>
          <w:b/>
          <w:sz w:val="28"/>
        </w:rPr>
        <w:t>ΒΙΒΛΙΟΓΡΑΦΙΑ</w:t>
      </w:r>
    </w:p>
    <w:p>
      <w:pPr>
        <w:pStyle w:val="Heading2"/>
      </w:pPr>
      <w:r>
        <w:rPr>
          <w:rFonts w:ascii="Times New Roman" w:hAnsi="Times New Roman" w:eastAsia="Times New Roman"/>
          <w:b/>
          <w:sz w:val="24"/>
        </w:rPr>
        <w:t>Α. ΕΛΛΗΝΟΓΛΩΣΣΗ ΒΙΒΛΙΟΓΡΑΦΙΑ</w:t>
      </w:r>
    </w:p>
    <w:p>
      <w:pPr>
        <w:spacing w:line="360" w:lineRule="auto" w:after="120"/>
        <w:jc w:val="both"/>
      </w:pPr>
      <w:r>
        <w:rPr>
          <w:rFonts w:ascii="Times New Roman" w:hAnsi="Times New Roman" w:eastAsia="Times New Roman"/>
          <w:b/>
          <w:i w:val="0"/>
          <w:sz w:val="24"/>
        </w:rPr>
        <w:t>Βιβλία</w:t>
      </w:r>
    </w:p>
    <w:p>
      <w:pPr>
        <w:spacing w:line="360" w:lineRule="auto" w:after="120"/>
        <w:jc w:val="both"/>
      </w:pPr>
      <w:r>
        <w:rPr>
          <w:rFonts w:ascii="Times New Roman" w:hAnsi="Times New Roman" w:eastAsia="Times New Roman"/>
          <w:b w:val="0"/>
          <w:i w:val="0"/>
          <w:sz w:val="24"/>
        </w:rPr>
        <w:t xml:space="preserve">Βογιατζής, Κ. (2020). </w:t>
      </w:r>
      <w:r>
        <w:rPr>
          <w:rFonts w:ascii="Times New Roman" w:hAnsi="Times New Roman" w:eastAsia="Times New Roman"/>
          <w:b w:val="0"/>
          <w:i/>
          <w:sz w:val="24"/>
        </w:rPr>
        <w:t>Κυκλική Οικονομία και Βιώσιμη Ανάπτυξη: Θεωρία και Πράξη</w:t>
      </w:r>
      <w:r>
        <w:rPr>
          <w:rFonts w:ascii="Times New Roman" w:hAnsi="Times New Roman" w:eastAsia="Times New Roman"/>
          <w:b w:val="0"/>
          <w:i w:val="0"/>
          <w:sz w:val="24"/>
        </w:rPr>
        <w:t>. Αθήνα: Εκδόσεις Παπαζήση.</w:t>
      </w:r>
    </w:p>
    <w:p>
      <w:pPr>
        <w:spacing w:line="360" w:lineRule="auto" w:after="120"/>
        <w:jc w:val="both"/>
      </w:pPr>
      <w:r>
        <w:rPr>
          <w:rFonts w:ascii="Times New Roman" w:hAnsi="Times New Roman" w:eastAsia="Times New Roman"/>
          <w:b w:val="0"/>
          <w:i w:val="0"/>
          <w:sz w:val="24"/>
        </w:rPr>
        <w:t xml:space="preserve">Γεωργακέλλος, Δ., &amp; Θωμαΐδης, Κ. (2019). </w:t>
      </w:r>
      <w:r>
        <w:rPr>
          <w:rFonts w:ascii="Times New Roman" w:hAnsi="Times New Roman" w:eastAsia="Times New Roman"/>
          <w:b w:val="0"/>
          <w:i/>
          <w:sz w:val="24"/>
        </w:rPr>
        <w:t>Διαχείριση Περιβάλλοντος και Αειφόρος Ανάπτυξη</w:t>
      </w:r>
      <w:r>
        <w:rPr>
          <w:rFonts w:ascii="Times New Roman" w:hAnsi="Times New Roman" w:eastAsia="Times New Roman"/>
          <w:b w:val="0"/>
          <w:i w:val="0"/>
          <w:sz w:val="24"/>
        </w:rPr>
        <w:t>. (3η έκδ.). Αθήνα: Εκδόσεις Rosili.</w:t>
      </w:r>
    </w:p>
    <w:p>
      <w:pPr>
        <w:spacing w:line="360" w:lineRule="auto" w:after="120"/>
        <w:jc w:val="both"/>
      </w:pPr>
      <w:r>
        <w:rPr>
          <w:rFonts w:ascii="Times New Roman" w:hAnsi="Times New Roman" w:eastAsia="Times New Roman"/>
          <w:b w:val="0"/>
          <w:i w:val="0"/>
          <w:sz w:val="24"/>
        </w:rPr>
        <w:t xml:space="preserve">Κουρτέσης, Θ. (2018). </w:t>
      </w:r>
      <w:r>
        <w:rPr>
          <w:rFonts w:ascii="Times New Roman" w:hAnsi="Times New Roman" w:eastAsia="Times New Roman"/>
          <w:b w:val="0"/>
          <w:i/>
          <w:sz w:val="24"/>
        </w:rPr>
        <w:t>Στερεά Απόβλητα: Διαχείριση και Ανακύκλωση</w:t>
      </w:r>
      <w:r>
        <w:rPr>
          <w:rFonts w:ascii="Times New Roman" w:hAnsi="Times New Roman" w:eastAsia="Times New Roman"/>
          <w:b w:val="0"/>
          <w:i w:val="0"/>
          <w:sz w:val="24"/>
        </w:rPr>
        <w:t>. Θεσσαλονίκη: Εκδόσεις Τζιόλα.</w:t>
      </w:r>
    </w:p>
    <w:p>
      <w:pPr>
        <w:spacing w:line="360" w:lineRule="auto" w:after="120"/>
        <w:jc w:val="both"/>
      </w:pPr>
      <w:r>
        <w:rPr>
          <w:rFonts w:ascii="Times New Roman" w:hAnsi="Times New Roman" w:eastAsia="Times New Roman"/>
          <w:b w:val="0"/>
          <w:i w:val="0"/>
          <w:sz w:val="24"/>
        </w:rPr>
        <w:t xml:space="preserve">Μουρμούρης, Σ., &amp; Ποταμιάνος, Α. (2021). </w:t>
      </w:r>
      <w:r>
        <w:rPr>
          <w:rFonts w:ascii="Times New Roman" w:hAnsi="Times New Roman" w:eastAsia="Times New Roman"/>
          <w:b w:val="0"/>
          <w:i/>
          <w:sz w:val="24"/>
        </w:rPr>
        <w:t>Κυκλική Οικονομία στην Πράξη: Ελληνικές και Διεθνείς Εμπειρίες</w:t>
      </w:r>
      <w:r>
        <w:rPr>
          <w:rFonts w:ascii="Times New Roman" w:hAnsi="Times New Roman" w:eastAsia="Times New Roman"/>
          <w:b w:val="0"/>
          <w:i w:val="0"/>
          <w:sz w:val="24"/>
        </w:rPr>
        <w:t>. Αθήνα: Εκδόσεις Κριτική.</w:t>
      </w:r>
    </w:p>
    <w:p>
      <w:pPr>
        <w:spacing w:line="360" w:lineRule="auto" w:after="120"/>
        <w:jc w:val="both"/>
      </w:pPr>
      <w:r>
        <w:rPr>
          <w:rFonts w:ascii="Times New Roman" w:hAnsi="Times New Roman" w:eastAsia="Times New Roman"/>
          <w:b w:val="0"/>
          <w:i w:val="0"/>
          <w:sz w:val="24"/>
        </w:rPr>
        <w:t xml:space="preserve">Νικολάου, Ι., &amp; Ευαγγέλου, Λ. (2017). </w:t>
      </w:r>
      <w:r>
        <w:rPr>
          <w:rFonts w:ascii="Times New Roman" w:hAnsi="Times New Roman" w:eastAsia="Times New Roman"/>
          <w:b w:val="0"/>
          <w:i/>
          <w:sz w:val="24"/>
        </w:rPr>
        <w:t>Τοπική Αυτοδιοίκηση και Περιβαλλοντική Πολιτική</w:t>
      </w:r>
      <w:r>
        <w:rPr>
          <w:rFonts w:ascii="Times New Roman" w:hAnsi="Times New Roman" w:eastAsia="Times New Roman"/>
          <w:b w:val="0"/>
          <w:i w:val="0"/>
          <w:sz w:val="24"/>
        </w:rPr>
        <w:t>. Αθήνα: Εκδόσεις Σάκκουλα.</w:t>
      </w:r>
    </w:p>
    <w:p>
      <w:pPr>
        <w:spacing w:line="360" w:lineRule="auto" w:after="120"/>
        <w:jc w:val="both"/>
      </w:pPr>
      <w:r>
        <w:rPr>
          <w:rFonts w:ascii="Times New Roman" w:hAnsi="Times New Roman" w:eastAsia="Times New Roman"/>
          <w:b w:val="0"/>
          <w:i w:val="0"/>
          <w:sz w:val="24"/>
        </w:rPr>
        <w:t xml:space="preserve">Παναγιωτακόπουλος, Δ. (2007). </w:t>
      </w:r>
      <w:r>
        <w:rPr>
          <w:rFonts w:ascii="Times New Roman" w:hAnsi="Times New Roman" w:eastAsia="Times New Roman"/>
          <w:b w:val="0"/>
          <w:i/>
          <w:sz w:val="24"/>
        </w:rPr>
        <w:t>Διαχείριση Στερεών Αποβλήτων: Τεχνολογία, Νομοθεσία, Περιβαλλοντικές Επιπτώσεις</w:t>
      </w:r>
      <w:r>
        <w:rPr>
          <w:rFonts w:ascii="Times New Roman" w:hAnsi="Times New Roman" w:eastAsia="Times New Roman"/>
          <w:b w:val="0"/>
          <w:i w:val="0"/>
          <w:sz w:val="24"/>
        </w:rPr>
        <w:t>. Αθήνα: Εκδόσεις Ίων.</w:t>
      </w:r>
    </w:p>
    <w:p>
      <w:pPr>
        <w:spacing w:line="360" w:lineRule="auto" w:after="120"/>
        <w:jc w:val="both"/>
      </w:pPr>
      <w:r>
        <w:rPr>
          <w:rFonts w:ascii="Times New Roman" w:hAnsi="Times New Roman" w:eastAsia="Times New Roman"/>
          <w:b w:val="0"/>
          <w:i w:val="0"/>
          <w:sz w:val="24"/>
        </w:rPr>
        <w:t xml:space="preserve">Σκορδίλης, Μ. (2016). </w:t>
      </w:r>
      <w:r>
        <w:rPr>
          <w:rFonts w:ascii="Times New Roman" w:hAnsi="Times New Roman" w:eastAsia="Times New Roman"/>
          <w:b w:val="0"/>
          <w:i/>
          <w:sz w:val="24"/>
        </w:rPr>
        <w:t>Περιβαλλοντική Πολιτική και Δημόσια Διοίκηση</w:t>
      </w:r>
      <w:r>
        <w:rPr>
          <w:rFonts w:ascii="Times New Roman" w:hAnsi="Times New Roman" w:eastAsia="Times New Roman"/>
          <w:b w:val="0"/>
          <w:i w:val="0"/>
          <w:sz w:val="24"/>
        </w:rPr>
        <w:t>. Αθήνα: Εκδόσεις Νομική Βιβλιοθήκη.</w:t>
      </w:r>
    </w:p>
    <w:p>
      <w:pPr>
        <w:spacing w:line="360" w:lineRule="auto" w:after="120"/>
        <w:jc w:val="both"/>
      </w:pPr>
      <w:r>
        <w:rPr>
          <w:rFonts w:ascii="Times New Roman" w:hAnsi="Times New Roman" w:eastAsia="Times New Roman"/>
          <w:b w:val="0"/>
          <w:i w:val="0"/>
          <w:sz w:val="24"/>
        </w:rPr>
        <w:t xml:space="preserve">Χατζηνικολάου, Ε. (2019). </w:t>
      </w:r>
      <w:r>
        <w:rPr>
          <w:rFonts w:ascii="Times New Roman" w:hAnsi="Times New Roman" w:eastAsia="Times New Roman"/>
          <w:b w:val="0"/>
          <w:i/>
          <w:sz w:val="24"/>
        </w:rPr>
        <w:t>Βιώσιμες Πόλεις και Κυκλική Οικονομία: Η Ελληνική Πρόκληση</w:t>
      </w:r>
      <w:r>
        <w:rPr>
          <w:rFonts w:ascii="Times New Roman" w:hAnsi="Times New Roman" w:eastAsia="Times New Roman"/>
          <w:b w:val="0"/>
          <w:i w:val="0"/>
          <w:sz w:val="24"/>
        </w:rPr>
        <w:t>. Αθήνα: Gutenberg.</w:t>
      </w:r>
    </w:p>
    <w:p>
      <w:pPr>
        <w:spacing w:line="360" w:lineRule="auto" w:after="120"/>
        <w:jc w:val="both"/>
      </w:pPr>
      <w:r>
        <w:rPr>
          <w:rFonts w:ascii="Times New Roman" w:hAnsi="Times New Roman" w:eastAsia="Times New Roman"/>
          <w:b/>
          <w:i w:val="0"/>
          <w:sz w:val="24"/>
        </w:rPr>
        <w:t>Επιστημονικά Άρθρα</w:t>
      </w:r>
    </w:p>
    <w:p>
      <w:pPr>
        <w:spacing w:line="360" w:lineRule="auto" w:after="120"/>
        <w:jc w:val="both"/>
      </w:pPr>
      <w:r>
        <w:rPr>
          <w:rFonts w:ascii="Times New Roman" w:hAnsi="Times New Roman" w:eastAsia="Times New Roman"/>
          <w:b w:val="0"/>
          <w:i w:val="0"/>
          <w:sz w:val="24"/>
        </w:rPr>
        <w:t xml:space="preserve">Αθανασίου, Μ., &amp; Καραγιάννης, Σ. (2020). Η εφαρμογή της κυκλικής οικονομίας στους ελληνικούς δήμους: Προκλήσεις και προοπτικές. </w:t>
      </w:r>
      <w:r>
        <w:rPr>
          <w:rFonts w:ascii="Times New Roman" w:hAnsi="Times New Roman" w:eastAsia="Times New Roman"/>
          <w:b w:val="0"/>
          <w:i/>
          <w:sz w:val="24"/>
        </w:rPr>
        <w:t>Επιθεώρηση Τοπικής Αυτοδιοίκησης</w:t>
      </w:r>
      <w:r>
        <w:rPr>
          <w:rFonts w:ascii="Times New Roman" w:hAnsi="Times New Roman" w:eastAsia="Times New Roman"/>
          <w:b w:val="0"/>
          <w:i w:val="0"/>
          <w:sz w:val="24"/>
        </w:rPr>
        <w:t>, 15(2), 45-67.</w:t>
      </w:r>
    </w:p>
    <w:p>
      <w:pPr>
        <w:spacing w:line="360" w:lineRule="auto" w:after="120"/>
        <w:jc w:val="both"/>
      </w:pPr>
      <w:r>
        <w:rPr>
          <w:rFonts w:ascii="Times New Roman" w:hAnsi="Times New Roman" w:eastAsia="Times New Roman"/>
          <w:b w:val="0"/>
          <w:i w:val="0"/>
          <w:sz w:val="24"/>
        </w:rPr>
        <w:t xml:space="preserve">Δημητρίου, Κ., Παπαδόπουλος, Γ., &amp; Σταυρακάκης, Ν. (2021). Ανακύκλωση και διαχωρισμός στην πηγή: Εμπειρίες από δήμους της Αττικής. </w:t>
      </w:r>
      <w:r>
        <w:rPr>
          <w:rFonts w:ascii="Times New Roman" w:hAnsi="Times New Roman" w:eastAsia="Times New Roman"/>
          <w:b w:val="0"/>
          <w:i/>
          <w:sz w:val="24"/>
        </w:rPr>
        <w:t>Περιβάλλον και Δίκαιο</w:t>
      </w:r>
      <w:r>
        <w:rPr>
          <w:rFonts w:ascii="Times New Roman" w:hAnsi="Times New Roman" w:eastAsia="Times New Roman"/>
          <w:b w:val="0"/>
          <w:i w:val="0"/>
          <w:sz w:val="24"/>
        </w:rPr>
        <w:t>, 8(1), 112-134.</w:t>
      </w:r>
    </w:p>
    <w:p>
      <w:pPr>
        <w:spacing w:line="360" w:lineRule="auto" w:after="120"/>
        <w:jc w:val="both"/>
      </w:pPr>
      <w:r>
        <w:rPr>
          <w:rFonts w:ascii="Times New Roman" w:hAnsi="Times New Roman" w:eastAsia="Times New Roman"/>
          <w:b w:val="0"/>
          <w:i w:val="0"/>
          <w:sz w:val="24"/>
        </w:rPr>
        <w:t xml:space="preserve">Θεοδώρου, Α., &amp; Γεωργίου, Π. (2018). Οικονομικά οφέλη από την ανακύκλωση αστικών στερεών αποβλήτων. </w:t>
      </w:r>
      <w:r>
        <w:rPr>
          <w:rFonts w:ascii="Times New Roman" w:hAnsi="Times New Roman" w:eastAsia="Times New Roman"/>
          <w:b w:val="0"/>
          <w:i/>
          <w:sz w:val="24"/>
        </w:rPr>
        <w:t>Ελληνική Επιθεώρηση Πολιτικής Επιστήμης</w:t>
      </w:r>
      <w:r>
        <w:rPr>
          <w:rFonts w:ascii="Times New Roman" w:hAnsi="Times New Roman" w:eastAsia="Times New Roman"/>
          <w:b w:val="0"/>
          <w:i w:val="0"/>
          <w:sz w:val="24"/>
        </w:rPr>
        <w:t>, 44, 88-105.</w:t>
      </w:r>
    </w:p>
    <w:p>
      <w:pPr>
        <w:spacing w:line="360" w:lineRule="auto" w:after="120"/>
        <w:jc w:val="both"/>
      </w:pPr>
      <w:r>
        <w:rPr>
          <w:rFonts w:ascii="Times New Roman" w:hAnsi="Times New Roman" w:eastAsia="Times New Roman"/>
          <w:b w:val="0"/>
          <w:i w:val="0"/>
          <w:sz w:val="24"/>
        </w:rPr>
        <w:t xml:space="preserve">Καρατζά, Μ., &amp; Βλαχάκης, Δ. (2019). Πράσινα σημεία και κέντρα ανακύκλωσης: Ο ρόλος των πολιτών. </w:t>
      </w:r>
      <w:r>
        <w:rPr>
          <w:rFonts w:ascii="Times New Roman" w:hAnsi="Times New Roman" w:eastAsia="Times New Roman"/>
          <w:b w:val="0"/>
          <w:i/>
          <w:sz w:val="24"/>
        </w:rPr>
        <w:t>Τεχνικά Χρονικά</w:t>
      </w:r>
      <w:r>
        <w:rPr>
          <w:rFonts w:ascii="Times New Roman" w:hAnsi="Times New Roman" w:eastAsia="Times New Roman"/>
          <w:b w:val="0"/>
          <w:i w:val="0"/>
          <w:sz w:val="24"/>
        </w:rPr>
        <w:t>, 39(3-4), 201-218.</w:t>
      </w:r>
    </w:p>
    <w:p>
      <w:pPr>
        <w:spacing w:line="360" w:lineRule="auto" w:after="120"/>
        <w:jc w:val="both"/>
      </w:pPr>
      <w:r>
        <w:rPr>
          <w:rFonts w:ascii="Times New Roman" w:hAnsi="Times New Roman" w:eastAsia="Times New Roman"/>
          <w:b w:val="0"/>
          <w:i w:val="0"/>
          <w:sz w:val="24"/>
        </w:rPr>
        <w:t xml:space="preserve">Κωνσταντινίδης, Γ. (2022). Η μετάβαση στην κυκλική οικονομία: Εμπόδια και ευκαιρίες για την Ελλάδα. </w:t>
      </w:r>
      <w:r>
        <w:rPr>
          <w:rFonts w:ascii="Times New Roman" w:hAnsi="Times New Roman" w:eastAsia="Times New Roman"/>
          <w:b w:val="0"/>
          <w:i/>
          <w:sz w:val="24"/>
        </w:rPr>
        <w:t>Οικονομικός Ταχυδρόμος</w:t>
      </w:r>
      <w:r>
        <w:rPr>
          <w:rFonts w:ascii="Times New Roman" w:hAnsi="Times New Roman" w:eastAsia="Times New Roman"/>
          <w:b w:val="0"/>
          <w:i w:val="0"/>
          <w:sz w:val="24"/>
        </w:rPr>
        <w:t>, Τεύχος Μαρτίου, 34-41.</w:t>
      </w:r>
    </w:p>
    <w:p>
      <w:pPr>
        <w:spacing w:line="360" w:lineRule="auto" w:after="120"/>
        <w:jc w:val="both"/>
      </w:pPr>
      <w:r>
        <w:rPr>
          <w:rFonts w:ascii="Times New Roman" w:hAnsi="Times New Roman" w:eastAsia="Times New Roman"/>
          <w:b w:val="0"/>
          <w:i w:val="0"/>
          <w:sz w:val="24"/>
        </w:rPr>
        <w:t xml:space="preserve">Παπαδημητρίου, Λ., &amp; Αλεξανδρής, Θ. (2020). Διαχείριση βιοαποβλήτων σε περιαστικές περιοχές. </w:t>
      </w:r>
      <w:r>
        <w:rPr>
          <w:rFonts w:ascii="Times New Roman" w:hAnsi="Times New Roman" w:eastAsia="Times New Roman"/>
          <w:b w:val="0"/>
          <w:i/>
          <w:sz w:val="24"/>
        </w:rPr>
        <w:t>Γεωτεχνικά</w:t>
      </w:r>
      <w:r>
        <w:rPr>
          <w:rFonts w:ascii="Times New Roman" w:hAnsi="Times New Roman" w:eastAsia="Times New Roman"/>
          <w:b w:val="0"/>
          <w:i w:val="0"/>
          <w:sz w:val="24"/>
        </w:rPr>
        <w:t>, 52, 67-79.</w:t>
      </w:r>
    </w:p>
    <w:p>
      <w:pPr>
        <w:spacing w:line="360" w:lineRule="auto" w:after="120"/>
        <w:jc w:val="both"/>
      </w:pPr>
      <w:r>
        <w:rPr>
          <w:rFonts w:ascii="Times New Roman" w:hAnsi="Times New Roman" w:eastAsia="Times New Roman"/>
          <w:b w:val="0"/>
          <w:i w:val="0"/>
          <w:sz w:val="24"/>
        </w:rPr>
        <w:t xml:space="preserve">Σαλαβάνος, Π. (2021). Η συμβολή της τοπικής αυτοδιοίκησης στη βιώσιμη ανάπτυξη. </w:t>
      </w:r>
      <w:r>
        <w:rPr>
          <w:rFonts w:ascii="Times New Roman" w:hAnsi="Times New Roman" w:eastAsia="Times New Roman"/>
          <w:b w:val="0"/>
          <w:i/>
          <w:sz w:val="24"/>
        </w:rPr>
        <w:t>Επιθεώρηση Αποκέντρωσης, Τοπικής Αυτοδιοίκησης και Περιφερειακής Ανάπτυξης</w:t>
      </w:r>
      <w:r>
        <w:rPr>
          <w:rFonts w:ascii="Times New Roman" w:hAnsi="Times New Roman" w:eastAsia="Times New Roman"/>
          <w:b w:val="0"/>
          <w:i w:val="0"/>
          <w:sz w:val="24"/>
        </w:rPr>
        <w:t>, 105, 45-62.</w:t>
      </w:r>
    </w:p>
    <w:p>
      <w:pPr>
        <w:spacing w:line="360" w:lineRule="auto" w:after="120"/>
        <w:jc w:val="both"/>
      </w:pPr>
      <w:r>
        <w:rPr>
          <w:rFonts w:ascii="Times New Roman" w:hAnsi="Times New Roman" w:eastAsia="Times New Roman"/>
          <w:b w:val="0"/>
          <w:i w:val="0"/>
          <w:sz w:val="24"/>
        </w:rPr>
        <w:t xml:space="preserve">Χριστοδούλου, Ε., &amp; Μαντζούφας, Κ. (2019). Pay-As-You-Throw: Διεθνείς εμπειρίες και ελληνικές προοπτικές. </w:t>
      </w:r>
      <w:r>
        <w:rPr>
          <w:rFonts w:ascii="Times New Roman" w:hAnsi="Times New Roman" w:eastAsia="Times New Roman"/>
          <w:b w:val="0"/>
          <w:i/>
          <w:sz w:val="24"/>
        </w:rPr>
        <w:t>Χωρική Ανάπτυξη</w:t>
      </w:r>
      <w:r>
        <w:rPr>
          <w:rFonts w:ascii="Times New Roman" w:hAnsi="Times New Roman" w:eastAsia="Times New Roman"/>
          <w:b w:val="0"/>
          <w:i w:val="0"/>
          <w:sz w:val="24"/>
        </w:rPr>
        <w:t>, 7, 23-38.</w:t>
      </w:r>
    </w:p>
    <w:p>
      <w:pPr>
        <w:pStyle w:val="Heading2"/>
      </w:pPr>
      <w:r>
        <w:rPr>
          <w:rFonts w:ascii="Times New Roman" w:hAnsi="Times New Roman" w:eastAsia="Times New Roman"/>
          <w:b/>
          <w:sz w:val="24"/>
        </w:rPr>
        <w:t>Β. ΞΕΝΟΓΛΩΣΣΗ ΒΙΒΛΙΟΓΡΑΦΙΑ</w:t>
      </w:r>
    </w:p>
    <w:p>
      <w:pPr>
        <w:spacing w:line="360" w:lineRule="auto" w:after="120"/>
        <w:jc w:val="both"/>
      </w:pPr>
      <w:r>
        <w:rPr>
          <w:rFonts w:ascii="Times New Roman" w:hAnsi="Times New Roman" w:eastAsia="Times New Roman"/>
          <w:b/>
          <w:i w:val="0"/>
          <w:sz w:val="24"/>
        </w:rPr>
        <w:t>Βιβλία</w:t>
      </w:r>
    </w:p>
    <w:p>
      <w:pPr>
        <w:spacing w:line="360" w:lineRule="auto" w:after="120"/>
        <w:jc w:val="both"/>
      </w:pPr>
      <w:r>
        <w:rPr>
          <w:rFonts w:ascii="Times New Roman" w:hAnsi="Times New Roman" w:eastAsia="Times New Roman"/>
          <w:b w:val="0"/>
          <w:i w:val="0"/>
          <w:sz w:val="24"/>
        </w:rPr>
        <w:t xml:space="preserve">Ellen MacArthur Foundation. (2015). </w:t>
      </w:r>
      <w:r>
        <w:rPr>
          <w:rFonts w:ascii="Times New Roman" w:hAnsi="Times New Roman" w:eastAsia="Times New Roman"/>
          <w:b w:val="0"/>
          <w:i/>
          <w:sz w:val="24"/>
        </w:rPr>
        <w:t>Towards a Circular Economy: Business Rationale for an Accelerated Transition</w:t>
      </w:r>
      <w:r>
        <w:rPr>
          <w:rFonts w:ascii="Times New Roman" w:hAnsi="Times New Roman" w:eastAsia="Times New Roman"/>
          <w:b w:val="0"/>
          <w:i w:val="0"/>
          <w:sz w:val="24"/>
        </w:rPr>
        <w:t>. Cowes, UK: Ellen MacArthur Foundation.</w:t>
      </w:r>
    </w:p>
    <w:p>
      <w:pPr>
        <w:spacing w:line="360" w:lineRule="auto" w:after="120"/>
        <w:jc w:val="both"/>
      </w:pPr>
      <w:r>
        <w:rPr>
          <w:rFonts w:ascii="Times New Roman" w:hAnsi="Times New Roman" w:eastAsia="Times New Roman"/>
          <w:b w:val="0"/>
          <w:i w:val="0"/>
          <w:sz w:val="24"/>
        </w:rPr>
        <w:t xml:space="preserve">Geissdoerfer, M., Savaget, P., Bocken, N., &amp; Hultink, E. J. (2017). </w:t>
      </w:r>
      <w:r>
        <w:rPr>
          <w:rFonts w:ascii="Times New Roman" w:hAnsi="Times New Roman" w:eastAsia="Times New Roman"/>
          <w:b w:val="0"/>
          <w:i/>
          <w:sz w:val="24"/>
        </w:rPr>
        <w:t>The Circular Economy – A New Sustainability Paradigm?</w:t>
      </w:r>
      <w:r>
        <w:rPr>
          <w:rFonts w:ascii="Times New Roman" w:hAnsi="Times New Roman" w:eastAsia="Times New Roman"/>
          <w:b w:val="0"/>
          <w:i w:val="0"/>
          <w:sz w:val="24"/>
        </w:rPr>
        <w:t xml:space="preserve"> Journal of Cleaner Production, 143, 757-768.</w:t>
      </w:r>
    </w:p>
    <w:p>
      <w:pPr>
        <w:spacing w:line="360" w:lineRule="auto" w:after="120"/>
        <w:jc w:val="both"/>
      </w:pPr>
      <w:r>
        <w:rPr>
          <w:rFonts w:ascii="Times New Roman" w:hAnsi="Times New Roman" w:eastAsia="Times New Roman"/>
          <w:b w:val="0"/>
          <w:i w:val="0"/>
          <w:sz w:val="24"/>
        </w:rPr>
        <w:t xml:space="preserve">Ghisellini, P., Cialani, C., &amp; Ulgiati, S. (2016). </w:t>
      </w:r>
      <w:r>
        <w:rPr>
          <w:rFonts w:ascii="Times New Roman" w:hAnsi="Times New Roman" w:eastAsia="Times New Roman"/>
          <w:b w:val="0"/>
          <w:i/>
          <w:sz w:val="24"/>
        </w:rPr>
        <w:t>A Review on Circular Economy: The Expected Transition to a Balanced Interplay of Environmental and Economic Systems</w:t>
      </w:r>
      <w:r>
        <w:rPr>
          <w:rFonts w:ascii="Times New Roman" w:hAnsi="Times New Roman" w:eastAsia="Times New Roman"/>
          <w:b w:val="0"/>
          <w:i w:val="0"/>
          <w:sz w:val="24"/>
        </w:rPr>
        <w:t>. Journal of Cleaner Production, 114, 11-32.</w:t>
      </w:r>
    </w:p>
    <w:p>
      <w:pPr>
        <w:spacing w:line="360" w:lineRule="auto" w:after="120"/>
        <w:jc w:val="both"/>
      </w:pPr>
      <w:r>
        <w:rPr>
          <w:rFonts w:ascii="Times New Roman" w:hAnsi="Times New Roman" w:eastAsia="Times New Roman"/>
          <w:b w:val="0"/>
          <w:i w:val="0"/>
          <w:sz w:val="24"/>
        </w:rPr>
        <w:t xml:space="preserve">Kirchherr, J., Reike, D., &amp; Hekkert, M. (2017). </w:t>
      </w:r>
      <w:r>
        <w:rPr>
          <w:rFonts w:ascii="Times New Roman" w:hAnsi="Times New Roman" w:eastAsia="Times New Roman"/>
          <w:b w:val="0"/>
          <w:i/>
          <w:sz w:val="24"/>
        </w:rPr>
        <w:t>Conceptualizing the Circular Economy: An Analysis of 114 Definitions</w:t>
      </w:r>
      <w:r>
        <w:rPr>
          <w:rFonts w:ascii="Times New Roman" w:hAnsi="Times New Roman" w:eastAsia="Times New Roman"/>
          <w:b w:val="0"/>
          <w:i w:val="0"/>
          <w:sz w:val="24"/>
        </w:rPr>
        <w:t>. Resources, Conservation and Recycling, 127, 221-232.</w:t>
      </w:r>
    </w:p>
    <w:p>
      <w:pPr>
        <w:spacing w:line="360" w:lineRule="auto" w:after="120"/>
        <w:jc w:val="both"/>
      </w:pPr>
      <w:r>
        <w:rPr>
          <w:rFonts w:ascii="Times New Roman" w:hAnsi="Times New Roman" w:eastAsia="Times New Roman"/>
          <w:b w:val="0"/>
          <w:i w:val="0"/>
          <w:sz w:val="24"/>
        </w:rPr>
        <w:t xml:space="preserve">McDonough, W., &amp; Braungart, M. (2002). </w:t>
      </w:r>
      <w:r>
        <w:rPr>
          <w:rFonts w:ascii="Times New Roman" w:hAnsi="Times New Roman" w:eastAsia="Times New Roman"/>
          <w:b w:val="0"/>
          <w:i/>
          <w:sz w:val="24"/>
        </w:rPr>
        <w:t>Cradle to Cradle: Remaking the Way We Make Things</w:t>
      </w:r>
      <w:r>
        <w:rPr>
          <w:rFonts w:ascii="Times New Roman" w:hAnsi="Times New Roman" w:eastAsia="Times New Roman"/>
          <w:b w:val="0"/>
          <w:i w:val="0"/>
          <w:sz w:val="24"/>
        </w:rPr>
        <w:t>. New York: North Point Press.</w:t>
      </w:r>
    </w:p>
    <w:p>
      <w:pPr>
        <w:spacing w:line="360" w:lineRule="auto" w:after="120"/>
        <w:jc w:val="both"/>
      </w:pPr>
      <w:r>
        <w:rPr>
          <w:rFonts w:ascii="Times New Roman" w:hAnsi="Times New Roman" w:eastAsia="Times New Roman"/>
          <w:b w:val="0"/>
          <w:i w:val="0"/>
          <w:sz w:val="24"/>
        </w:rPr>
        <w:t xml:space="preserve">Murray, A., Skene, K., &amp; Haynes, K. (2017). </w:t>
      </w:r>
      <w:r>
        <w:rPr>
          <w:rFonts w:ascii="Times New Roman" w:hAnsi="Times New Roman" w:eastAsia="Times New Roman"/>
          <w:b w:val="0"/>
          <w:i/>
          <w:sz w:val="24"/>
        </w:rPr>
        <w:t>The Circular Economy: An Interdisciplinary Exploration of the Concept and Application in a Global Context</w:t>
      </w:r>
      <w:r>
        <w:rPr>
          <w:rFonts w:ascii="Times New Roman" w:hAnsi="Times New Roman" w:eastAsia="Times New Roman"/>
          <w:b w:val="0"/>
          <w:i w:val="0"/>
          <w:sz w:val="24"/>
        </w:rPr>
        <w:t>. Journal of Business Ethics, 140(3), 369-380.</w:t>
      </w:r>
    </w:p>
    <w:p>
      <w:pPr>
        <w:spacing w:line="360" w:lineRule="auto" w:after="120"/>
        <w:jc w:val="both"/>
      </w:pPr>
      <w:r>
        <w:rPr>
          <w:rFonts w:ascii="Times New Roman" w:hAnsi="Times New Roman" w:eastAsia="Times New Roman"/>
          <w:b w:val="0"/>
          <w:i w:val="0"/>
          <w:sz w:val="24"/>
        </w:rPr>
        <w:t xml:space="preserve">Pearce, D. W., &amp; Turner, R. K. (1990). </w:t>
      </w:r>
      <w:r>
        <w:rPr>
          <w:rFonts w:ascii="Times New Roman" w:hAnsi="Times New Roman" w:eastAsia="Times New Roman"/>
          <w:b w:val="0"/>
          <w:i/>
          <w:sz w:val="24"/>
        </w:rPr>
        <w:t>Economics of Natural Resources and the Environment</w:t>
      </w:r>
      <w:r>
        <w:rPr>
          <w:rFonts w:ascii="Times New Roman" w:hAnsi="Times New Roman" w:eastAsia="Times New Roman"/>
          <w:b w:val="0"/>
          <w:i w:val="0"/>
          <w:sz w:val="24"/>
        </w:rPr>
        <w:t>. Baltimore: Johns Hopkins University Press.</w:t>
      </w:r>
    </w:p>
    <w:p>
      <w:pPr>
        <w:spacing w:line="360" w:lineRule="auto" w:after="120"/>
        <w:jc w:val="both"/>
      </w:pPr>
      <w:r>
        <w:rPr>
          <w:rFonts w:ascii="Times New Roman" w:hAnsi="Times New Roman" w:eastAsia="Times New Roman"/>
          <w:b w:val="0"/>
          <w:i w:val="0"/>
          <w:sz w:val="24"/>
        </w:rPr>
        <w:t xml:space="preserve">Stahel, W. R. (2016). </w:t>
      </w:r>
      <w:r>
        <w:rPr>
          <w:rFonts w:ascii="Times New Roman" w:hAnsi="Times New Roman" w:eastAsia="Times New Roman"/>
          <w:b w:val="0"/>
          <w:i/>
          <w:sz w:val="24"/>
        </w:rPr>
        <w:t>The Circular Economy</w:t>
      </w:r>
      <w:r>
        <w:rPr>
          <w:rFonts w:ascii="Times New Roman" w:hAnsi="Times New Roman" w:eastAsia="Times New Roman"/>
          <w:b w:val="0"/>
          <w:i w:val="0"/>
          <w:sz w:val="24"/>
        </w:rPr>
        <w:t>. Nature, 531(7595), 435-438.</w:t>
      </w:r>
    </w:p>
    <w:p>
      <w:pPr>
        <w:spacing w:line="360" w:lineRule="auto" w:after="120"/>
        <w:jc w:val="both"/>
      </w:pPr>
      <w:r>
        <w:rPr>
          <w:rFonts w:ascii="Times New Roman" w:hAnsi="Times New Roman" w:eastAsia="Times New Roman"/>
          <w:b/>
          <w:i w:val="0"/>
          <w:sz w:val="24"/>
        </w:rPr>
        <w:t>Επιστημονικά Άρθρα</w:t>
      </w:r>
    </w:p>
    <w:p>
      <w:pPr>
        <w:spacing w:line="360" w:lineRule="auto" w:after="120"/>
        <w:jc w:val="both"/>
      </w:pPr>
      <w:r>
        <w:rPr>
          <w:rFonts w:ascii="Times New Roman" w:hAnsi="Times New Roman" w:eastAsia="Times New Roman"/>
          <w:b w:val="0"/>
          <w:i w:val="0"/>
          <w:sz w:val="24"/>
        </w:rPr>
        <w:t xml:space="preserve">Andersen, M. S. (2007). An introductory note on the environmental economics of the circular economy. </w:t>
      </w:r>
      <w:r>
        <w:rPr>
          <w:rFonts w:ascii="Times New Roman" w:hAnsi="Times New Roman" w:eastAsia="Times New Roman"/>
          <w:b w:val="0"/>
          <w:i/>
          <w:sz w:val="24"/>
        </w:rPr>
        <w:t>Sustainability Science</w:t>
      </w:r>
      <w:r>
        <w:rPr>
          <w:rFonts w:ascii="Times New Roman" w:hAnsi="Times New Roman" w:eastAsia="Times New Roman"/>
          <w:b w:val="0"/>
          <w:i w:val="0"/>
          <w:sz w:val="24"/>
        </w:rPr>
        <w:t>, 2(1), 133-140.</w:t>
      </w:r>
    </w:p>
    <w:p>
      <w:pPr>
        <w:spacing w:line="360" w:lineRule="auto" w:after="120"/>
        <w:jc w:val="both"/>
      </w:pPr>
      <w:r>
        <w:rPr>
          <w:rFonts w:ascii="Times New Roman" w:hAnsi="Times New Roman" w:eastAsia="Times New Roman"/>
          <w:b w:val="0"/>
          <w:i w:val="0"/>
          <w:sz w:val="24"/>
        </w:rPr>
        <w:t xml:space="preserve">Blomsma, F., &amp; Brennan, G. (2017). The emergence of circular economy: A new framing around prolonging resource productivity. </w:t>
      </w:r>
      <w:r>
        <w:rPr>
          <w:rFonts w:ascii="Times New Roman" w:hAnsi="Times New Roman" w:eastAsia="Times New Roman"/>
          <w:b w:val="0"/>
          <w:i/>
          <w:sz w:val="24"/>
        </w:rPr>
        <w:t>Journal of Industrial Ecology</w:t>
      </w:r>
      <w:r>
        <w:rPr>
          <w:rFonts w:ascii="Times New Roman" w:hAnsi="Times New Roman" w:eastAsia="Times New Roman"/>
          <w:b w:val="0"/>
          <w:i w:val="0"/>
          <w:sz w:val="24"/>
        </w:rPr>
        <w:t>, 21(3), 603-614.</w:t>
      </w:r>
    </w:p>
    <w:p>
      <w:pPr>
        <w:spacing w:line="360" w:lineRule="auto" w:after="120"/>
        <w:jc w:val="both"/>
      </w:pPr>
      <w:r>
        <w:rPr>
          <w:rFonts w:ascii="Times New Roman" w:hAnsi="Times New Roman" w:eastAsia="Times New Roman"/>
          <w:b w:val="0"/>
          <w:i w:val="0"/>
          <w:sz w:val="24"/>
        </w:rPr>
        <w:t xml:space="preserve">Bocken, N. M., de Pauw, I., Bakker, C., &amp; van der Grinten, B. (2016). Product design and business model strategies for a circular economy. </w:t>
      </w:r>
      <w:r>
        <w:rPr>
          <w:rFonts w:ascii="Times New Roman" w:hAnsi="Times New Roman" w:eastAsia="Times New Roman"/>
          <w:b w:val="0"/>
          <w:i/>
          <w:sz w:val="24"/>
        </w:rPr>
        <w:t>Journal of Industrial and Production Engineering</w:t>
      </w:r>
      <w:r>
        <w:rPr>
          <w:rFonts w:ascii="Times New Roman" w:hAnsi="Times New Roman" w:eastAsia="Times New Roman"/>
          <w:b w:val="0"/>
          <w:i w:val="0"/>
          <w:sz w:val="24"/>
        </w:rPr>
        <w:t>, 33(5), 308-320.</w:t>
      </w:r>
    </w:p>
    <w:p>
      <w:pPr>
        <w:spacing w:line="360" w:lineRule="auto" w:after="120"/>
        <w:jc w:val="both"/>
      </w:pPr>
      <w:r>
        <w:rPr>
          <w:rFonts w:ascii="Times New Roman" w:hAnsi="Times New Roman" w:eastAsia="Times New Roman"/>
          <w:b w:val="0"/>
          <w:i w:val="0"/>
          <w:sz w:val="24"/>
        </w:rPr>
        <w:t xml:space="preserve">D'Amato, D., Droste, N., Allen, B., Kettunen, M., Lähtinen, K., Korhonen, J., ... &amp; Toppinen, A. (2017). Green, circular, bio economy: A comparative analysis of sustainability avenues. </w:t>
      </w:r>
      <w:r>
        <w:rPr>
          <w:rFonts w:ascii="Times New Roman" w:hAnsi="Times New Roman" w:eastAsia="Times New Roman"/>
          <w:b w:val="0"/>
          <w:i/>
          <w:sz w:val="24"/>
        </w:rPr>
        <w:t>Journal of Cleaner Production</w:t>
      </w:r>
      <w:r>
        <w:rPr>
          <w:rFonts w:ascii="Times New Roman" w:hAnsi="Times New Roman" w:eastAsia="Times New Roman"/>
          <w:b w:val="0"/>
          <w:i w:val="0"/>
          <w:sz w:val="24"/>
        </w:rPr>
        <w:t>, 168, 716-734.</w:t>
      </w:r>
    </w:p>
    <w:p>
      <w:pPr>
        <w:spacing w:line="360" w:lineRule="auto" w:after="120"/>
        <w:jc w:val="both"/>
      </w:pPr>
      <w:r>
        <w:rPr>
          <w:rFonts w:ascii="Times New Roman" w:hAnsi="Times New Roman" w:eastAsia="Times New Roman"/>
          <w:b w:val="0"/>
          <w:i w:val="0"/>
          <w:sz w:val="24"/>
        </w:rPr>
        <w:t xml:space="preserve">Haas, W., Krausmann, F., Wiedenhofer, D., &amp; Heinz, M. (2015). How circular is the global economy?: An assessment of material flows, waste production, and recycling in the European Union and the world in 2005. </w:t>
      </w:r>
      <w:r>
        <w:rPr>
          <w:rFonts w:ascii="Times New Roman" w:hAnsi="Times New Roman" w:eastAsia="Times New Roman"/>
          <w:b w:val="0"/>
          <w:i/>
          <w:sz w:val="24"/>
        </w:rPr>
        <w:t>Journal of Industrial Ecology</w:t>
      </w:r>
      <w:r>
        <w:rPr>
          <w:rFonts w:ascii="Times New Roman" w:hAnsi="Times New Roman" w:eastAsia="Times New Roman"/>
          <w:b w:val="0"/>
          <w:i w:val="0"/>
          <w:sz w:val="24"/>
        </w:rPr>
        <w:t>, 19(5), 765-777.</w:t>
      </w:r>
    </w:p>
    <w:p>
      <w:pPr>
        <w:spacing w:line="360" w:lineRule="auto" w:after="120"/>
        <w:jc w:val="both"/>
      </w:pPr>
      <w:r>
        <w:rPr>
          <w:rFonts w:ascii="Times New Roman" w:hAnsi="Times New Roman" w:eastAsia="Times New Roman"/>
          <w:b w:val="0"/>
          <w:i w:val="0"/>
          <w:sz w:val="24"/>
        </w:rPr>
        <w:t xml:space="preserve">Korhonen, J., Honkasalo, A., &amp; Seppälä, J. (2018). Circular economy: The concept and its limitations. </w:t>
      </w:r>
      <w:r>
        <w:rPr>
          <w:rFonts w:ascii="Times New Roman" w:hAnsi="Times New Roman" w:eastAsia="Times New Roman"/>
          <w:b w:val="0"/>
          <w:i/>
          <w:sz w:val="24"/>
        </w:rPr>
        <w:t>Ecological Economics</w:t>
      </w:r>
      <w:r>
        <w:rPr>
          <w:rFonts w:ascii="Times New Roman" w:hAnsi="Times New Roman" w:eastAsia="Times New Roman"/>
          <w:b w:val="0"/>
          <w:i w:val="0"/>
          <w:sz w:val="24"/>
        </w:rPr>
        <w:t>, 143, 37-46.</w:t>
      </w:r>
    </w:p>
    <w:p>
      <w:pPr>
        <w:spacing w:line="360" w:lineRule="auto" w:after="120"/>
        <w:jc w:val="both"/>
      </w:pPr>
      <w:r>
        <w:rPr>
          <w:rFonts w:ascii="Times New Roman" w:hAnsi="Times New Roman" w:eastAsia="Times New Roman"/>
          <w:b w:val="0"/>
          <w:i w:val="0"/>
          <w:sz w:val="24"/>
        </w:rPr>
        <w:t xml:space="preserve">Lieder, M., &amp; Rashid, A. (2016). Towards circular economy implementation: A comprehensive review in context of manufacturing industry. </w:t>
      </w:r>
      <w:r>
        <w:rPr>
          <w:rFonts w:ascii="Times New Roman" w:hAnsi="Times New Roman" w:eastAsia="Times New Roman"/>
          <w:b w:val="0"/>
          <w:i/>
          <w:sz w:val="24"/>
        </w:rPr>
        <w:t>Journal of Cleaner Production</w:t>
      </w:r>
      <w:r>
        <w:rPr>
          <w:rFonts w:ascii="Times New Roman" w:hAnsi="Times New Roman" w:eastAsia="Times New Roman"/>
          <w:b w:val="0"/>
          <w:i w:val="0"/>
          <w:sz w:val="24"/>
        </w:rPr>
        <w:t>, 115, 36-51.</w:t>
      </w:r>
    </w:p>
    <w:p>
      <w:pPr>
        <w:spacing w:line="360" w:lineRule="auto" w:after="120"/>
        <w:jc w:val="both"/>
      </w:pPr>
      <w:r>
        <w:rPr>
          <w:rFonts w:ascii="Times New Roman" w:hAnsi="Times New Roman" w:eastAsia="Times New Roman"/>
          <w:b w:val="0"/>
          <w:i w:val="0"/>
          <w:sz w:val="24"/>
        </w:rPr>
        <w:t xml:space="preserve">Preston, F. (2012). </w:t>
      </w:r>
      <w:r>
        <w:rPr>
          <w:rFonts w:ascii="Times New Roman" w:hAnsi="Times New Roman" w:eastAsia="Times New Roman"/>
          <w:b w:val="0"/>
          <w:i/>
          <w:sz w:val="24"/>
        </w:rPr>
        <w:t>A Global Redesign? Shaping the Circular Economy</w:t>
      </w:r>
      <w:r>
        <w:rPr>
          <w:rFonts w:ascii="Times New Roman" w:hAnsi="Times New Roman" w:eastAsia="Times New Roman"/>
          <w:b w:val="0"/>
          <w:i w:val="0"/>
          <w:sz w:val="24"/>
        </w:rPr>
        <w:t>. London: Chatham House.</w:t>
      </w:r>
    </w:p>
    <w:p>
      <w:pPr>
        <w:spacing w:line="360" w:lineRule="auto" w:after="120"/>
        <w:jc w:val="both"/>
      </w:pPr>
      <w:r>
        <w:rPr>
          <w:rFonts w:ascii="Times New Roman" w:hAnsi="Times New Roman" w:eastAsia="Times New Roman"/>
          <w:b w:val="0"/>
          <w:i w:val="0"/>
          <w:sz w:val="24"/>
        </w:rPr>
        <w:t xml:space="preserve">Sauvé, S., Bernard, S., &amp; Sloan, P. (2016). Environmental sciences, sustainable development and circular economy: Alternative concepts for trans-disciplinary research. </w:t>
      </w:r>
      <w:r>
        <w:rPr>
          <w:rFonts w:ascii="Times New Roman" w:hAnsi="Times New Roman" w:eastAsia="Times New Roman"/>
          <w:b w:val="0"/>
          <w:i/>
          <w:sz w:val="24"/>
        </w:rPr>
        <w:t>Environmental Development</w:t>
      </w:r>
      <w:r>
        <w:rPr>
          <w:rFonts w:ascii="Times New Roman" w:hAnsi="Times New Roman" w:eastAsia="Times New Roman"/>
          <w:b w:val="0"/>
          <w:i w:val="0"/>
          <w:sz w:val="24"/>
        </w:rPr>
        <w:t>, 17, 48-56.</w:t>
      </w:r>
    </w:p>
    <w:p>
      <w:pPr>
        <w:spacing w:line="360" w:lineRule="auto" w:after="120"/>
        <w:jc w:val="both"/>
      </w:pPr>
      <w:r>
        <w:rPr>
          <w:rFonts w:ascii="Times New Roman" w:hAnsi="Times New Roman" w:eastAsia="Times New Roman"/>
          <w:b w:val="0"/>
          <w:i w:val="0"/>
          <w:sz w:val="24"/>
        </w:rPr>
        <w:t xml:space="preserve">Su, B., Heshmati, A., Geng, Y., &amp; Yu, X. (2013). A review of the circular economy in China: Moving from rhetoric to implementation. </w:t>
      </w:r>
      <w:r>
        <w:rPr>
          <w:rFonts w:ascii="Times New Roman" w:hAnsi="Times New Roman" w:eastAsia="Times New Roman"/>
          <w:b w:val="0"/>
          <w:i/>
          <w:sz w:val="24"/>
        </w:rPr>
        <w:t>Journal of Cleaner Production</w:t>
      </w:r>
      <w:r>
        <w:rPr>
          <w:rFonts w:ascii="Times New Roman" w:hAnsi="Times New Roman" w:eastAsia="Times New Roman"/>
          <w:b w:val="0"/>
          <w:i w:val="0"/>
          <w:sz w:val="24"/>
        </w:rPr>
        <w:t>, 42, 215-227.</w:t>
      </w:r>
    </w:p>
    <w:p>
      <w:pPr>
        <w:spacing w:line="360" w:lineRule="auto" w:after="120"/>
        <w:jc w:val="both"/>
      </w:pPr>
      <w:r>
        <w:rPr>
          <w:rFonts w:ascii="Times New Roman" w:hAnsi="Times New Roman" w:eastAsia="Times New Roman"/>
          <w:b/>
          <w:i w:val="0"/>
          <w:sz w:val="24"/>
        </w:rPr>
        <w:t>Τεχνικές Αναφορές και Μελέτες</w:t>
      </w:r>
    </w:p>
    <w:p>
      <w:pPr>
        <w:spacing w:line="360" w:lineRule="auto" w:after="120"/>
        <w:jc w:val="both"/>
      </w:pPr>
      <w:r>
        <w:rPr>
          <w:rFonts w:ascii="Times New Roman" w:hAnsi="Times New Roman" w:eastAsia="Times New Roman"/>
          <w:b w:val="0"/>
          <w:i w:val="0"/>
          <w:sz w:val="24"/>
        </w:rPr>
        <w:t xml:space="preserve">European Commission. (2015). </w:t>
      </w:r>
      <w:r>
        <w:rPr>
          <w:rFonts w:ascii="Times New Roman" w:hAnsi="Times New Roman" w:eastAsia="Times New Roman"/>
          <w:b w:val="0"/>
          <w:i/>
          <w:sz w:val="24"/>
        </w:rPr>
        <w:t>Closing the Loop – An EU Action Plan for the Circular Economy</w:t>
      </w:r>
      <w:r>
        <w:rPr>
          <w:rFonts w:ascii="Times New Roman" w:hAnsi="Times New Roman" w:eastAsia="Times New Roman"/>
          <w:b w:val="0"/>
          <w:i w:val="0"/>
          <w:sz w:val="24"/>
        </w:rPr>
        <w:t>. Brussels: COM(2015) 614 final.</w:t>
      </w:r>
    </w:p>
    <w:p>
      <w:pPr>
        <w:spacing w:line="360" w:lineRule="auto" w:after="120"/>
        <w:jc w:val="both"/>
      </w:pPr>
      <w:r>
        <w:rPr>
          <w:rFonts w:ascii="Times New Roman" w:hAnsi="Times New Roman" w:eastAsia="Times New Roman"/>
          <w:b w:val="0"/>
          <w:i w:val="0"/>
          <w:sz w:val="24"/>
        </w:rPr>
        <w:t xml:space="preserve">European Commission. (2020). </w:t>
      </w:r>
      <w:r>
        <w:rPr>
          <w:rFonts w:ascii="Times New Roman" w:hAnsi="Times New Roman" w:eastAsia="Times New Roman"/>
          <w:b w:val="0"/>
          <w:i/>
          <w:sz w:val="24"/>
        </w:rPr>
        <w:t>A New Circular Economy Action Plan: For a Cleaner and More Competitive Europe</w:t>
      </w:r>
      <w:r>
        <w:rPr>
          <w:rFonts w:ascii="Times New Roman" w:hAnsi="Times New Roman" w:eastAsia="Times New Roman"/>
          <w:b w:val="0"/>
          <w:i w:val="0"/>
          <w:sz w:val="24"/>
        </w:rPr>
        <w:t>. Brussels: COM(2020) 98 final.</w:t>
      </w:r>
    </w:p>
    <w:p>
      <w:pPr>
        <w:spacing w:line="360" w:lineRule="auto" w:after="120"/>
        <w:jc w:val="both"/>
      </w:pPr>
      <w:r>
        <w:rPr>
          <w:rFonts w:ascii="Times New Roman" w:hAnsi="Times New Roman" w:eastAsia="Times New Roman"/>
          <w:b w:val="0"/>
          <w:i w:val="0"/>
          <w:sz w:val="24"/>
        </w:rPr>
        <w:t xml:space="preserve">European Environment Agency. (2021). </w:t>
      </w:r>
      <w:r>
        <w:rPr>
          <w:rFonts w:ascii="Times New Roman" w:hAnsi="Times New Roman" w:eastAsia="Times New Roman"/>
          <w:b w:val="0"/>
          <w:i/>
          <w:sz w:val="24"/>
        </w:rPr>
        <w:t>Circular Economy in Europe – Developing the Knowledge Base</w:t>
      </w:r>
      <w:r>
        <w:rPr>
          <w:rFonts w:ascii="Times New Roman" w:hAnsi="Times New Roman" w:eastAsia="Times New Roman"/>
          <w:b w:val="0"/>
          <w:i w:val="0"/>
          <w:sz w:val="24"/>
        </w:rPr>
        <w:t>. EEA Report No 2/2021. Luxembourg: Publications Office of the European Union.</w:t>
      </w:r>
    </w:p>
    <w:p>
      <w:pPr>
        <w:spacing w:line="360" w:lineRule="auto" w:after="120"/>
        <w:jc w:val="both"/>
      </w:pPr>
      <w:r>
        <w:rPr>
          <w:rFonts w:ascii="Times New Roman" w:hAnsi="Times New Roman" w:eastAsia="Times New Roman"/>
          <w:b w:val="0"/>
          <w:i w:val="0"/>
          <w:sz w:val="24"/>
        </w:rPr>
        <w:t xml:space="preserve">OECD. (2019). </w:t>
      </w:r>
      <w:r>
        <w:rPr>
          <w:rFonts w:ascii="Times New Roman" w:hAnsi="Times New Roman" w:eastAsia="Times New Roman"/>
          <w:b w:val="0"/>
          <w:i/>
          <w:sz w:val="24"/>
        </w:rPr>
        <w:t>Global Material Resources Outlook to 2060: Economic Drivers and Environmental Consequences</w:t>
      </w:r>
      <w:r>
        <w:rPr>
          <w:rFonts w:ascii="Times New Roman" w:hAnsi="Times New Roman" w:eastAsia="Times New Roman"/>
          <w:b w:val="0"/>
          <w:i w:val="0"/>
          <w:sz w:val="24"/>
        </w:rPr>
        <w:t>. Paris: OECD Publishing.</w:t>
      </w:r>
    </w:p>
    <w:p>
      <w:pPr>
        <w:spacing w:line="360" w:lineRule="auto" w:after="120"/>
        <w:jc w:val="both"/>
      </w:pPr>
      <w:r>
        <w:rPr>
          <w:rFonts w:ascii="Times New Roman" w:hAnsi="Times New Roman" w:eastAsia="Times New Roman"/>
          <w:b w:val="0"/>
          <w:i w:val="0"/>
          <w:sz w:val="24"/>
        </w:rPr>
        <w:t xml:space="preserve">UNEP. (2011). </w:t>
      </w:r>
      <w:r>
        <w:rPr>
          <w:rFonts w:ascii="Times New Roman" w:hAnsi="Times New Roman" w:eastAsia="Times New Roman"/>
          <w:b w:val="0"/>
          <w:i/>
          <w:sz w:val="24"/>
        </w:rPr>
        <w:t>Decoupling Natural Resource Use and Environmental Impacts from Economic Growth</w:t>
      </w:r>
      <w:r>
        <w:rPr>
          <w:rFonts w:ascii="Times New Roman" w:hAnsi="Times New Roman" w:eastAsia="Times New Roman"/>
          <w:b w:val="0"/>
          <w:i w:val="0"/>
          <w:sz w:val="24"/>
        </w:rPr>
        <w:t>. A Report of the Working Group on Decoupling to the International Resource Panel. Nairobi: United Nations Environment Programme.</w:t>
      </w:r>
    </w:p>
    <w:p>
      <w:pPr>
        <w:spacing w:line="360" w:lineRule="auto" w:after="120"/>
        <w:jc w:val="both"/>
      </w:pPr>
      <w:r>
        <w:rPr>
          <w:rFonts w:ascii="Times New Roman" w:hAnsi="Times New Roman" w:eastAsia="Times New Roman"/>
          <w:b w:val="0"/>
          <w:i w:val="0"/>
          <w:sz w:val="24"/>
        </w:rPr>
        <w:t xml:space="preserve">World Economic Forum. (2014). </w:t>
      </w:r>
      <w:r>
        <w:rPr>
          <w:rFonts w:ascii="Times New Roman" w:hAnsi="Times New Roman" w:eastAsia="Times New Roman"/>
          <w:b w:val="0"/>
          <w:i/>
          <w:sz w:val="24"/>
        </w:rPr>
        <w:t>Towards the Circular Economy: Accelerating the Scale-up Across Global Supply Chains</w:t>
      </w:r>
      <w:r>
        <w:rPr>
          <w:rFonts w:ascii="Times New Roman" w:hAnsi="Times New Roman" w:eastAsia="Times New Roman"/>
          <w:b w:val="0"/>
          <w:i w:val="0"/>
          <w:sz w:val="24"/>
        </w:rPr>
        <w:t>. Geneva: World Economic Forum.</w:t>
      </w:r>
    </w:p>
    <w:p>
      <w:pPr>
        <w:pStyle w:val="Heading2"/>
      </w:pPr>
      <w:r>
        <w:rPr>
          <w:rFonts w:ascii="Times New Roman" w:hAnsi="Times New Roman" w:eastAsia="Times New Roman"/>
          <w:b/>
          <w:sz w:val="24"/>
        </w:rPr>
        <w:t>Γ. ΕΥΡΩΠΑΪΚΕΣ ΟΔΗΓΙΕΣ ΚΑΙ ΝΟΜΟΘΕΣΙΑ</w:t>
      </w:r>
    </w:p>
    <w:p>
      <w:pPr>
        <w:spacing w:line="360" w:lineRule="auto" w:after="120"/>
        <w:jc w:val="both"/>
      </w:pPr>
      <w:r>
        <w:rPr>
          <w:rFonts w:ascii="Times New Roman" w:hAnsi="Times New Roman" w:eastAsia="Times New Roman"/>
          <w:b/>
          <w:i w:val="0"/>
          <w:sz w:val="24"/>
        </w:rPr>
        <w:t>Οδηγίες</w:t>
      </w:r>
    </w:p>
    <w:p>
      <w:pPr>
        <w:spacing w:line="360" w:lineRule="auto" w:after="120"/>
        <w:jc w:val="both"/>
      </w:pPr>
      <w:r>
        <w:rPr>
          <w:rFonts w:ascii="Times New Roman" w:hAnsi="Times New Roman" w:eastAsia="Times New Roman"/>
          <w:b w:val="0"/>
          <w:i w:val="0"/>
          <w:sz w:val="24"/>
        </w:rPr>
        <w:t xml:space="preserve">Οδηγία 2008/98/ΕΚ του Ευρωπαϊκού Κοινοβουλίου και του Συμβουλίου της 19ης Νοεμβρίου 2008 για τα απόβλητα και την κατάργηση ορισμένων οδηγιών (Οδηγία-Πλαίσιο για τα Απόβλητα). </w:t>
      </w:r>
      <w:r>
        <w:rPr>
          <w:rFonts w:ascii="Times New Roman" w:hAnsi="Times New Roman" w:eastAsia="Times New Roman"/>
          <w:b w:val="0"/>
          <w:i/>
          <w:sz w:val="24"/>
        </w:rPr>
        <w:t>Επίσημη Εφημερίδα της Ευρωπαϊκής Ένωσης</w:t>
      </w:r>
      <w:r>
        <w:rPr>
          <w:rFonts w:ascii="Times New Roman" w:hAnsi="Times New Roman" w:eastAsia="Times New Roman"/>
          <w:b w:val="0"/>
          <w:i w:val="0"/>
          <w:sz w:val="24"/>
        </w:rPr>
        <w:t>, L 312/3.</w:t>
      </w:r>
    </w:p>
    <w:p>
      <w:pPr>
        <w:spacing w:line="360" w:lineRule="auto" w:after="120"/>
        <w:jc w:val="both"/>
      </w:pPr>
      <w:r>
        <w:rPr>
          <w:rFonts w:ascii="Times New Roman" w:hAnsi="Times New Roman" w:eastAsia="Times New Roman"/>
          <w:b w:val="0"/>
          <w:i w:val="0"/>
          <w:sz w:val="24"/>
        </w:rPr>
        <w:t xml:space="preserve">Οδηγία (ΕΕ) 2018/851 του Ευρωπαϊκού Κοινοβουλίου και του Συμβουλίου της 30ης Μαΐου 2018 για την τροποποίηση της οδηγίας 2008/98/ΕΚ περί αποβλήτων. </w:t>
      </w:r>
      <w:r>
        <w:rPr>
          <w:rFonts w:ascii="Times New Roman" w:hAnsi="Times New Roman" w:eastAsia="Times New Roman"/>
          <w:b w:val="0"/>
          <w:i/>
          <w:sz w:val="24"/>
        </w:rPr>
        <w:t>Επίσημη Εφημερίδα της Ευρωπαϊκής Ένωσης</w:t>
      </w:r>
      <w:r>
        <w:rPr>
          <w:rFonts w:ascii="Times New Roman" w:hAnsi="Times New Roman" w:eastAsia="Times New Roman"/>
          <w:b w:val="0"/>
          <w:i w:val="0"/>
          <w:sz w:val="24"/>
        </w:rPr>
        <w:t>, L 150/109.</w:t>
      </w:r>
    </w:p>
    <w:p>
      <w:pPr>
        <w:spacing w:line="360" w:lineRule="auto" w:after="120"/>
        <w:jc w:val="both"/>
      </w:pPr>
      <w:r>
        <w:rPr>
          <w:rFonts w:ascii="Times New Roman" w:hAnsi="Times New Roman" w:eastAsia="Times New Roman"/>
          <w:b w:val="0"/>
          <w:i w:val="0"/>
          <w:sz w:val="24"/>
        </w:rPr>
        <w:t xml:space="preserve">Οδηγία 94/62/ΕΚ του Ευρωπαϊκού Κοινοβουλίου και του Συμβουλίου της 20ης Δεκεμβρίου 1994 για τις συσκευασίες και τα απορρίμματα συσκευασιών. </w:t>
      </w:r>
      <w:r>
        <w:rPr>
          <w:rFonts w:ascii="Times New Roman" w:hAnsi="Times New Roman" w:eastAsia="Times New Roman"/>
          <w:b w:val="0"/>
          <w:i/>
          <w:sz w:val="24"/>
        </w:rPr>
        <w:t>Επίσημη Εφημερίδα των Ευρωπαϊκών Κοινοτήτων</w:t>
      </w:r>
      <w:r>
        <w:rPr>
          <w:rFonts w:ascii="Times New Roman" w:hAnsi="Times New Roman" w:eastAsia="Times New Roman"/>
          <w:b w:val="0"/>
          <w:i w:val="0"/>
          <w:sz w:val="24"/>
        </w:rPr>
        <w:t>, L 365/10.</w:t>
      </w:r>
    </w:p>
    <w:p>
      <w:pPr>
        <w:spacing w:line="360" w:lineRule="auto" w:after="120"/>
        <w:jc w:val="both"/>
      </w:pPr>
      <w:r>
        <w:rPr>
          <w:rFonts w:ascii="Times New Roman" w:hAnsi="Times New Roman" w:eastAsia="Times New Roman"/>
          <w:b w:val="0"/>
          <w:i w:val="0"/>
          <w:sz w:val="24"/>
        </w:rPr>
        <w:t xml:space="preserve">Οδηγία 1999/31/ΕΚ του Συμβουλίου της 26ης Απριλίου 1999 περί υγειονομικής ταφής των αποβλήτων. </w:t>
      </w:r>
      <w:r>
        <w:rPr>
          <w:rFonts w:ascii="Times New Roman" w:hAnsi="Times New Roman" w:eastAsia="Times New Roman"/>
          <w:b w:val="0"/>
          <w:i/>
          <w:sz w:val="24"/>
        </w:rPr>
        <w:t>Επίσημη Εφημερίδα των Ευρωπαϊκών Κοινοτήτων</w:t>
      </w:r>
      <w:r>
        <w:rPr>
          <w:rFonts w:ascii="Times New Roman" w:hAnsi="Times New Roman" w:eastAsia="Times New Roman"/>
          <w:b w:val="0"/>
          <w:i w:val="0"/>
          <w:sz w:val="24"/>
        </w:rPr>
        <w:t>, L 182/1.</w:t>
      </w:r>
    </w:p>
    <w:p>
      <w:pPr>
        <w:spacing w:line="360" w:lineRule="auto" w:after="120"/>
        <w:jc w:val="both"/>
      </w:pPr>
      <w:r>
        <w:rPr>
          <w:rFonts w:ascii="Times New Roman" w:hAnsi="Times New Roman" w:eastAsia="Times New Roman"/>
          <w:b w:val="0"/>
          <w:i w:val="0"/>
          <w:sz w:val="24"/>
        </w:rPr>
        <w:t xml:space="preserve">Οδηγία (ΕΕ) 2018/850 του Ευρωπαϊκού Κοινοβουλίου και του Συμβουλίου της 30ης Μαΐου 2018 για την τροποποίηση της οδηγίας 1999/31/ΕΚ περί υγειονομικής ταφής των αποβλήτων. </w:t>
      </w:r>
      <w:r>
        <w:rPr>
          <w:rFonts w:ascii="Times New Roman" w:hAnsi="Times New Roman" w:eastAsia="Times New Roman"/>
          <w:b w:val="0"/>
          <w:i/>
          <w:sz w:val="24"/>
        </w:rPr>
        <w:t>Επίσημη Εφημερίδα της Ευρωπαϊκής Ένωσης</w:t>
      </w:r>
      <w:r>
        <w:rPr>
          <w:rFonts w:ascii="Times New Roman" w:hAnsi="Times New Roman" w:eastAsia="Times New Roman"/>
          <w:b w:val="0"/>
          <w:i w:val="0"/>
          <w:sz w:val="24"/>
        </w:rPr>
        <w:t>, L 150/100.</w:t>
      </w:r>
    </w:p>
    <w:p>
      <w:pPr>
        <w:spacing w:line="360" w:lineRule="auto" w:after="120"/>
        <w:jc w:val="both"/>
      </w:pPr>
      <w:r>
        <w:rPr>
          <w:rFonts w:ascii="Times New Roman" w:hAnsi="Times New Roman" w:eastAsia="Times New Roman"/>
          <w:b w:val="0"/>
          <w:i w:val="0"/>
          <w:sz w:val="24"/>
        </w:rPr>
        <w:t xml:space="preserve">Οδηγία 2012/19/ΕΕ του Ευρωπαϊκού Κοινοβουλίου και του Συμβουλίου της 4ης Ιουλίου 2012 σχετικά με τα απόβλητα ειδών ηλεκτρικού και ηλεκτρονικού εξοπλισμού (ΑΗΗΕ). </w:t>
      </w:r>
      <w:r>
        <w:rPr>
          <w:rFonts w:ascii="Times New Roman" w:hAnsi="Times New Roman" w:eastAsia="Times New Roman"/>
          <w:b w:val="0"/>
          <w:i/>
          <w:sz w:val="24"/>
        </w:rPr>
        <w:t>Επίσημη Εφημερίδα της Ευρωπαϊκής Ένωσης</w:t>
      </w:r>
      <w:r>
        <w:rPr>
          <w:rFonts w:ascii="Times New Roman" w:hAnsi="Times New Roman" w:eastAsia="Times New Roman"/>
          <w:b w:val="0"/>
          <w:i w:val="0"/>
          <w:sz w:val="24"/>
        </w:rPr>
        <w:t>, L 197/38.</w:t>
      </w:r>
    </w:p>
    <w:p>
      <w:pPr>
        <w:spacing w:line="360" w:lineRule="auto" w:after="120"/>
        <w:jc w:val="both"/>
      </w:pPr>
      <w:r>
        <w:rPr>
          <w:rFonts w:ascii="Times New Roman" w:hAnsi="Times New Roman" w:eastAsia="Times New Roman"/>
          <w:b/>
          <w:i w:val="0"/>
          <w:sz w:val="24"/>
        </w:rPr>
        <w:t>Κανονισμοί και Αποφάσεις</w:t>
      </w:r>
    </w:p>
    <w:p>
      <w:pPr>
        <w:spacing w:line="360" w:lineRule="auto" w:after="120"/>
        <w:jc w:val="both"/>
      </w:pPr>
      <w:r>
        <w:rPr>
          <w:rFonts w:ascii="Times New Roman" w:hAnsi="Times New Roman" w:eastAsia="Times New Roman"/>
          <w:b w:val="0"/>
          <w:i w:val="0"/>
          <w:sz w:val="24"/>
        </w:rPr>
        <w:t xml:space="preserve">Κανονισμός (ΕΚ) αριθ. 1013/2006 του Ευρωπαϊκού Κοινοβουλίου και του Συμβουλίου της 14ης Ιουνίου 2006 για τις μεταφορές αποβλήτων. </w:t>
      </w:r>
      <w:r>
        <w:rPr>
          <w:rFonts w:ascii="Times New Roman" w:hAnsi="Times New Roman" w:eastAsia="Times New Roman"/>
          <w:b w:val="0"/>
          <w:i/>
          <w:sz w:val="24"/>
        </w:rPr>
        <w:t>Επίσημη Εφημερίδα της Ευρωπαϊκής Ένωσης</w:t>
      </w:r>
      <w:r>
        <w:rPr>
          <w:rFonts w:ascii="Times New Roman" w:hAnsi="Times New Roman" w:eastAsia="Times New Roman"/>
          <w:b w:val="0"/>
          <w:i w:val="0"/>
          <w:sz w:val="24"/>
        </w:rPr>
        <w:t>, L 190/1.</w:t>
      </w:r>
    </w:p>
    <w:p>
      <w:pPr>
        <w:spacing w:line="360" w:lineRule="auto" w:after="120"/>
        <w:jc w:val="both"/>
      </w:pPr>
      <w:r>
        <w:rPr>
          <w:rFonts w:ascii="Times New Roman" w:hAnsi="Times New Roman" w:eastAsia="Times New Roman"/>
          <w:b w:val="0"/>
          <w:i w:val="0"/>
          <w:sz w:val="24"/>
        </w:rPr>
        <w:t xml:space="preserve">Απόφαση 2000/532/ΕΚ της Επιτροπής της 3ης Μαΐου 2000 για τον κατάλογο των αποβλήτων σύμφωνα με την οδηγία 75/442/ΕΟΚ του Συμβουλίου (Ευρωπαϊκός Κατάλογος Αποβλήτων). </w:t>
      </w:r>
      <w:r>
        <w:rPr>
          <w:rFonts w:ascii="Times New Roman" w:hAnsi="Times New Roman" w:eastAsia="Times New Roman"/>
          <w:b w:val="0"/>
          <w:i/>
          <w:sz w:val="24"/>
        </w:rPr>
        <w:t>Επίσημη Εφημερίδα των Ευρωπαϊκών Κοινοτήτων</w:t>
      </w:r>
      <w:r>
        <w:rPr>
          <w:rFonts w:ascii="Times New Roman" w:hAnsi="Times New Roman" w:eastAsia="Times New Roman"/>
          <w:b w:val="0"/>
          <w:i w:val="0"/>
          <w:sz w:val="24"/>
        </w:rPr>
        <w:t>, L 226/3.</w:t>
      </w:r>
    </w:p>
    <w:p>
      <w:pPr>
        <w:spacing w:line="360" w:lineRule="auto" w:after="120"/>
        <w:jc w:val="both"/>
      </w:pPr>
      <w:r>
        <w:rPr>
          <w:rFonts w:ascii="Times New Roman" w:hAnsi="Times New Roman" w:eastAsia="Times New Roman"/>
          <w:b/>
          <w:i w:val="0"/>
          <w:sz w:val="24"/>
        </w:rPr>
        <w:t>Πολιτικά Κείμενα</w:t>
      </w:r>
    </w:p>
    <w:p>
      <w:pPr>
        <w:spacing w:line="360" w:lineRule="auto" w:after="120"/>
        <w:jc w:val="both"/>
      </w:pPr>
      <w:r>
        <w:rPr>
          <w:rFonts w:ascii="Times New Roman" w:hAnsi="Times New Roman" w:eastAsia="Times New Roman"/>
          <w:b w:val="0"/>
          <w:i w:val="0"/>
          <w:sz w:val="24"/>
        </w:rPr>
        <w:t xml:space="preserve">European Commission. (2011). </w:t>
      </w:r>
      <w:r>
        <w:rPr>
          <w:rFonts w:ascii="Times New Roman" w:hAnsi="Times New Roman" w:eastAsia="Times New Roman"/>
          <w:b w:val="0"/>
          <w:i/>
          <w:sz w:val="24"/>
        </w:rPr>
        <w:t>Roadmap to a Resource Efficient Europe</w:t>
      </w:r>
      <w:r>
        <w:rPr>
          <w:rFonts w:ascii="Times New Roman" w:hAnsi="Times New Roman" w:eastAsia="Times New Roman"/>
          <w:b w:val="0"/>
          <w:i w:val="0"/>
          <w:sz w:val="24"/>
        </w:rPr>
        <w:t>. COM(2011) 571 final. Brussels.</w:t>
      </w:r>
    </w:p>
    <w:p>
      <w:pPr>
        <w:spacing w:line="360" w:lineRule="auto" w:after="120"/>
        <w:jc w:val="both"/>
      </w:pPr>
      <w:r>
        <w:rPr>
          <w:rFonts w:ascii="Times New Roman" w:hAnsi="Times New Roman" w:eastAsia="Times New Roman"/>
          <w:b w:val="0"/>
          <w:i w:val="0"/>
          <w:sz w:val="24"/>
        </w:rPr>
        <w:t xml:space="preserve">European Commission. (2014). </w:t>
      </w:r>
      <w:r>
        <w:rPr>
          <w:rFonts w:ascii="Times New Roman" w:hAnsi="Times New Roman" w:eastAsia="Times New Roman"/>
          <w:b w:val="0"/>
          <w:i/>
          <w:sz w:val="24"/>
        </w:rPr>
        <w:t>Towards a Circular Economy: A Zero Waste Programme for Europe</w:t>
      </w:r>
      <w:r>
        <w:rPr>
          <w:rFonts w:ascii="Times New Roman" w:hAnsi="Times New Roman" w:eastAsia="Times New Roman"/>
          <w:b w:val="0"/>
          <w:i w:val="0"/>
          <w:sz w:val="24"/>
        </w:rPr>
        <w:t>. COM(2014) 398 final. Brussels.</w:t>
      </w:r>
    </w:p>
    <w:p>
      <w:pPr>
        <w:spacing w:line="360" w:lineRule="auto" w:after="120"/>
        <w:jc w:val="both"/>
      </w:pPr>
      <w:r>
        <w:rPr>
          <w:rFonts w:ascii="Times New Roman" w:hAnsi="Times New Roman" w:eastAsia="Times New Roman"/>
          <w:b w:val="0"/>
          <w:i w:val="0"/>
          <w:sz w:val="24"/>
        </w:rPr>
        <w:t xml:space="preserve">European Commission. (2019). </w:t>
      </w:r>
      <w:r>
        <w:rPr>
          <w:rFonts w:ascii="Times New Roman" w:hAnsi="Times New Roman" w:eastAsia="Times New Roman"/>
          <w:b w:val="0"/>
          <w:i/>
          <w:sz w:val="24"/>
        </w:rPr>
        <w:t>The European Green Deal</w:t>
      </w:r>
      <w:r>
        <w:rPr>
          <w:rFonts w:ascii="Times New Roman" w:hAnsi="Times New Roman" w:eastAsia="Times New Roman"/>
          <w:b w:val="0"/>
          <w:i w:val="0"/>
          <w:sz w:val="24"/>
        </w:rPr>
        <w:t>. COM(2019) 640 final. Brussels.</w:t>
      </w:r>
    </w:p>
    <w:p>
      <w:pPr>
        <w:spacing w:line="360" w:lineRule="auto" w:after="120"/>
        <w:jc w:val="both"/>
      </w:pPr>
      <w:r>
        <w:rPr>
          <w:rFonts w:ascii="Times New Roman" w:hAnsi="Times New Roman" w:eastAsia="Times New Roman"/>
          <w:b w:val="0"/>
          <w:i w:val="0"/>
          <w:sz w:val="24"/>
        </w:rPr>
        <w:t xml:space="preserve">European Commission. (2020). </w:t>
      </w:r>
      <w:r>
        <w:rPr>
          <w:rFonts w:ascii="Times New Roman" w:hAnsi="Times New Roman" w:eastAsia="Times New Roman"/>
          <w:b w:val="0"/>
          <w:i/>
          <w:sz w:val="24"/>
        </w:rPr>
        <w:t>A New Industrial Strategy for Europe</w:t>
      </w:r>
      <w:r>
        <w:rPr>
          <w:rFonts w:ascii="Times New Roman" w:hAnsi="Times New Roman" w:eastAsia="Times New Roman"/>
          <w:b w:val="0"/>
          <w:i w:val="0"/>
          <w:sz w:val="24"/>
        </w:rPr>
        <w:t>. COM(2020) 102 final. Brussels.</w:t>
      </w:r>
    </w:p>
    <w:p>
      <w:pPr>
        <w:spacing w:line="360" w:lineRule="auto" w:after="120"/>
        <w:jc w:val="both"/>
      </w:pPr>
      <w:r>
        <w:rPr>
          <w:rFonts w:ascii="Times New Roman" w:hAnsi="Times New Roman" w:eastAsia="Times New Roman"/>
          <w:b w:val="0"/>
          <w:i w:val="0"/>
          <w:sz w:val="24"/>
        </w:rPr>
        <w:t xml:space="preserve">European Parliament. (2017). </w:t>
      </w:r>
      <w:r>
        <w:rPr>
          <w:rFonts w:ascii="Times New Roman" w:hAnsi="Times New Roman" w:eastAsia="Times New Roman"/>
          <w:b w:val="0"/>
          <w:i/>
          <w:sz w:val="24"/>
        </w:rPr>
        <w:t>Resolution on a Longer Lifetime for Products: Benefits for Consumers and Companies</w:t>
      </w:r>
      <w:r>
        <w:rPr>
          <w:rFonts w:ascii="Times New Roman" w:hAnsi="Times New Roman" w:eastAsia="Times New Roman"/>
          <w:b w:val="0"/>
          <w:i w:val="0"/>
          <w:sz w:val="24"/>
        </w:rPr>
        <w:t>. P8_TA(2017)0287. Strasbourg.</w:t>
      </w:r>
    </w:p>
    <w:p>
      <w:pPr>
        <w:pStyle w:val="Heading2"/>
      </w:pPr>
      <w:r>
        <w:rPr>
          <w:rFonts w:ascii="Times New Roman" w:hAnsi="Times New Roman" w:eastAsia="Times New Roman"/>
          <w:b/>
          <w:sz w:val="24"/>
        </w:rPr>
        <w:t>Δ. ΕΛΛΗΝΙΚΗ ΝΟΜΟΘΕΣΙΑ</w:t>
      </w:r>
    </w:p>
    <w:p>
      <w:pPr>
        <w:spacing w:line="360" w:lineRule="auto" w:after="120"/>
        <w:jc w:val="both"/>
      </w:pPr>
      <w:r>
        <w:rPr>
          <w:rFonts w:ascii="Times New Roman" w:hAnsi="Times New Roman" w:eastAsia="Times New Roman"/>
          <w:b/>
          <w:i w:val="0"/>
          <w:sz w:val="24"/>
        </w:rPr>
        <w:t>Νόμοι</w:t>
      </w:r>
    </w:p>
    <w:p>
      <w:pPr>
        <w:spacing w:line="360" w:lineRule="auto" w:after="120"/>
        <w:jc w:val="both"/>
      </w:pPr>
      <w:r>
        <w:rPr>
          <w:rFonts w:ascii="Times New Roman" w:hAnsi="Times New Roman" w:eastAsia="Times New Roman"/>
          <w:b w:val="0"/>
          <w:i w:val="0"/>
          <w:sz w:val="24"/>
        </w:rPr>
        <w:t>Νόμος 4042/2012 (ΦΕΚ 24/Α/2012). Ποινική προστασία του περιβάλλοντος – Εναρμόνιση με την Οδηγία 2008/98/ΕΚ – Πλαίσιο παραγωγής και διαχείρισης αποβλήτων και άλλες διατάξεις.</w:t>
      </w:r>
    </w:p>
    <w:p>
      <w:pPr>
        <w:spacing w:line="360" w:lineRule="auto" w:after="120"/>
        <w:jc w:val="both"/>
      </w:pPr>
      <w:r>
        <w:rPr>
          <w:rFonts w:ascii="Times New Roman" w:hAnsi="Times New Roman" w:eastAsia="Times New Roman"/>
          <w:b w:val="0"/>
          <w:i w:val="0"/>
          <w:sz w:val="24"/>
        </w:rPr>
        <w:t>Νόμος 4685/2020 (ΦΕΚ 92/Α/2020). Εκσυγχρονισμός περιβαλλοντικής νομοθεσίας, ενσωμάτωση στην ελληνική νομοθεσία των Οδηγιών 2018/844 και 2019/692 του Ευρωπαϊκού Κοινοβουλίου και του Συμβουλίου και λοιπές διατάξεις.</w:t>
      </w:r>
    </w:p>
    <w:p>
      <w:pPr>
        <w:spacing w:line="360" w:lineRule="auto" w:after="120"/>
        <w:jc w:val="both"/>
      </w:pPr>
      <w:r>
        <w:rPr>
          <w:rFonts w:ascii="Times New Roman" w:hAnsi="Times New Roman" w:eastAsia="Times New Roman"/>
          <w:b w:val="0"/>
          <w:i w:val="0"/>
          <w:sz w:val="24"/>
        </w:rPr>
        <w:t>Νόμος 4819/2021 (ΦΕΚ 129/Α/2021). Ολοκληρωμένο Σύστημα Διαχείρισης Αποβλήτων – Εναρμόνιση με την Οδηγία (ΕΕ) 2018/851 και την Οδηγία (ΕΕ) 2018/852 – Μέτρα για τη μείωση της χρήσης πλαστικών προϊόντων και άλλες διατάξεις.</w:t>
      </w:r>
    </w:p>
    <w:p>
      <w:pPr>
        <w:spacing w:line="360" w:lineRule="auto" w:after="120"/>
        <w:jc w:val="both"/>
      </w:pPr>
      <w:r>
        <w:rPr>
          <w:rFonts w:ascii="Times New Roman" w:hAnsi="Times New Roman" w:eastAsia="Times New Roman"/>
          <w:b w:val="0"/>
          <w:i w:val="0"/>
          <w:sz w:val="24"/>
        </w:rPr>
        <w:t>Νόμος 3852/2010 (ΦΕΚ 87/Α/2010). Νέα Αρχιτεκτονική της Αυτοδιοίκησης και της Αποκεντρωμένης Διοίκησης – Πρόγραμμα Καλλικράτης.</w:t>
      </w:r>
    </w:p>
    <w:p>
      <w:pPr>
        <w:spacing w:line="360" w:lineRule="auto" w:after="120"/>
        <w:jc w:val="both"/>
      </w:pPr>
      <w:r>
        <w:rPr>
          <w:rFonts w:ascii="Times New Roman" w:hAnsi="Times New Roman" w:eastAsia="Times New Roman"/>
          <w:b w:val="0"/>
          <w:i w:val="0"/>
          <w:sz w:val="24"/>
        </w:rPr>
        <w:t>Νόμος 4555/2018 (ΦΕΚ 133/Α/2018). Πρόγραμμα «ΚΛΕΙΣΘΕΝΗΣ Ι» – Νέα Αρχιτεκτονική της Αυτοδιοίκησης και της Αποκεντρωμένης Διοίκησης.</w:t>
      </w:r>
    </w:p>
    <w:p>
      <w:pPr>
        <w:spacing w:line="360" w:lineRule="auto" w:after="120"/>
        <w:jc w:val="both"/>
      </w:pPr>
      <w:r>
        <w:rPr>
          <w:rFonts w:ascii="Times New Roman" w:hAnsi="Times New Roman" w:eastAsia="Times New Roman"/>
          <w:b/>
          <w:i w:val="0"/>
          <w:sz w:val="24"/>
        </w:rPr>
        <w:t>Κοινές Υπουργικές Αποφάσεις (ΚΥΑ)</w:t>
      </w:r>
    </w:p>
    <w:p>
      <w:pPr>
        <w:spacing w:line="360" w:lineRule="auto" w:after="120"/>
        <w:jc w:val="both"/>
      </w:pPr>
      <w:r>
        <w:rPr>
          <w:rFonts w:ascii="Times New Roman" w:hAnsi="Times New Roman" w:eastAsia="Times New Roman"/>
          <w:b w:val="0"/>
          <w:i w:val="0"/>
          <w:sz w:val="24"/>
        </w:rPr>
        <w:t>ΚΥΑ 29407/3508/2002 (ΦΕΚ 1572/Β/2002). Μέτρα και όροι για την υγειονομική ταφή των αποβλήτων.</w:t>
      </w:r>
    </w:p>
    <w:p>
      <w:pPr>
        <w:spacing w:line="360" w:lineRule="auto" w:after="120"/>
        <w:jc w:val="both"/>
      </w:pPr>
      <w:r>
        <w:rPr>
          <w:rFonts w:ascii="Times New Roman" w:hAnsi="Times New Roman" w:eastAsia="Times New Roman"/>
          <w:b w:val="0"/>
          <w:i w:val="0"/>
          <w:sz w:val="24"/>
        </w:rPr>
        <w:t>ΚΥΑ οικ. 50910/2727/2003 (ΦΕΚ 1909/Β/2003). Μέτρα και όροι για τη διαχείριση στερεών αποβλήτων. Εθνικός και Περιφερειακός Σχεδιασμός Διαχείρισης.</w:t>
      </w:r>
    </w:p>
    <w:p>
      <w:pPr>
        <w:spacing w:line="360" w:lineRule="auto" w:after="120"/>
        <w:jc w:val="both"/>
      </w:pPr>
      <w:r>
        <w:rPr>
          <w:rFonts w:ascii="Times New Roman" w:hAnsi="Times New Roman" w:eastAsia="Times New Roman"/>
          <w:b w:val="0"/>
          <w:i w:val="0"/>
          <w:sz w:val="24"/>
        </w:rPr>
        <w:t>ΚΥΑ 13588/725/2006 (ΦΕΚ 383/Β/2006). Μέτρα, όροι και περιορισμοί για τη διαχείριση επικίνδυνων αποβλήτων σε συμμόρφωση με τις διατάξεις της Οδηγίας 91/689/ΕΟΚ.</w:t>
      </w:r>
    </w:p>
    <w:p>
      <w:pPr>
        <w:spacing w:line="360" w:lineRule="auto" w:after="120"/>
        <w:jc w:val="both"/>
      </w:pPr>
      <w:r>
        <w:rPr>
          <w:rFonts w:ascii="Times New Roman" w:hAnsi="Times New Roman" w:eastAsia="Times New Roman"/>
          <w:b w:val="0"/>
          <w:i w:val="0"/>
          <w:sz w:val="24"/>
        </w:rPr>
        <w:t>ΚΥΑ 8668/2007 (ΦΕΚ 287/Β/2007). Έγκριση Γενικών Τεχνικών Προδιαγραφών για την διαχείριση επικίνδυνων αποβλήτων.</w:t>
      </w:r>
    </w:p>
    <w:p>
      <w:pPr>
        <w:spacing w:line="360" w:lineRule="auto" w:after="120"/>
        <w:jc w:val="both"/>
      </w:pPr>
      <w:r>
        <w:rPr>
          <w:rFonts w:ascii="Times New Roman" w:hAnsi="Times New Roman" w:eastAsia="Times New Roman"/>
          <w:b w:val="0"/>
          <w:i w:val="0"/>
          <w:sz w:val="24"/>
        </w:rPr>
        <w:t>ΚΥΑ 43942/4026/2016 (ΦΕΚ 2452/Β/2016). Μέτρα, όροι και πρόγραμμα για την εναλλακτική διαχείριση των αποβλήτων από εκσκαφές, κατασκευές και κατεδαφίσεις (ΑΕΚΚ).</w:t>
      </w:r>
    </w:p>
    <w:p>
      <w:pPr>
        <w:spacing w:line="360" w:lineRule="auto" w:after="120"/>
        <w:jc w:val="both"/>
      </w:pPr>
      <w:r>
        <w:rPr>
          <w:rFonts w:ascii="Times New Roman" w:hAnsi="Times New Roman" w:eastAsia="Times New Roman"/>
          <w:b w:val="0"/>
          <w:i w:val="0"/>
          <w:sz w:val="24"/>
        </w:rPr>
        <w:t>ΚΥΑ 56366/4351/2019 (ΦΕΚ 4625/Β/2019). Εθνικό Σχέδιο Διαχείρισης Αποβλήτων (ΕΣΔΑ).</w:t>
      </w:r>
    </w:p>
    <w:p>
      <w:pPr>
        <w:spacing w:line="360" w:lineRule="auto" w:after="120"/>
        <w:jc w:val="both"/>
      </w:pPr>
      <w:r>
        <w:rPr>
          <w:rFonts w:ascii="Times New Roman" w:hAnsi="Times New Roman" w:eastAsia="Times New Roman"/>
          <w:b/>
          <w:i w:val="0"/>
          <w:sz w:val="24"/>
        </w:rPr>
        <w:t>Υπουργικές Αποφάσεις (ΥΑ)</w:t>
      </w:r>
    </w:p>
    <w:p>
      <w:pPr>
        <w:spacing w:line="360" w:lineRule="auto" w:after="120"/>
        <w:jc w:val="both"/>
      </w:pPr>
      <w:r>
        <w:rPr>
          <w:rFonts w:ascii="Times New Roman" w:hAnsi="Times New Roman" w:eastAsia="Times New Roman"/>
          <w:b w:val="0"/>
          <w:i w:val="0"/>
          <w:sz w:val="24"/>
        </w:rPr>
        <w:t>ΥΑ 56871/1262/2018 (ΦΕΚ 2134/Β/2018). Σύστημα εναλλακτικής διαχείρισης συσκευασιών και άλλων προϊόντων – Τροποποίηση της ΥΑ 36259/1757/Ε103/2010.</w:t>
      </w:r>
    </w:p>
    <w:p>
      <w:pPr>
        <w:spacing w:line="360" w:lineRule="auto" w:after="120"/>
        <w:jc w:val="both"/>
      </w:pPr>
      <w:r>
        <w:rPr>
          <w:rFonts w:ascii="Times New Roman" w:hAnsi="Times New Roman" w:eastAsia="Times New Roman"/>
          <w:b w:val="0"/>
          <w:i w:val="0"/>
          <w:sz w:val="24"/>
        </w:rPr>
        <w:t>ΥΑ 117952/2017 (ΦΕΚ 3853/Β/2017). Εθνικός Σχεδιασμός Διαχείρισης Αποβλήτων (ΕΣΔΑ).</w:t>
      </w:r>
    </w:p>
    <w:p>
      <w:pPr>
        <w:spacing w:line="360" w:lineRule="auto" w:after="120"/>
        <w:jc w:val="both"/>
      </w:pPr>
      <w:r>
        <w:rPr>
          <w:rFonts w:ascii="Times New Roman" w:hAnsi="Times New Roman" w:eastAsia="Times New Roman"/>
          <w:b w:val="0"/>
          <w:i w:val="0"/>
          <w:sz w:val="24"/>
        </w:rPr>
        <w:t>ΥΑ 7588/731/2015 (ΦΕΚ 1069/Β/2015). Τροποποίηση της υπ' αριθμ. 36259/1757/Ε.103/2010 Απόφασης «Μέτρα, όροι και πρόγραμμα για την εναλλακτική διαχείριση των αποβλήτων από συσκευασίες και άλλα προϊόντα».</w:t>
      </w:r>
    </w:p>
    <w:p>
      <w:pPr>
        <w:spacing w:line="360" w:lineRule="auto" w:after="120"/>
        <w:jc w:val="both"/>
      </w:pPr>
      <w:r>
        <w:rPr>
          <w:rFonts w:ascii="Times New Roman" w:hAnsi="Times New Roman" w:eastAsia="Times New Roman"/>
          <w:b/>
          <w:i w:val="0"/>
          <w:sz w:val="24"/>
        </w:rPr>
        <w:t>Προεδρικά Διατάγματα</w:t>
      </w:r>
    </w:p>
    <w:p>
      <w:pPr>
        <w:spacing w:line="360" w:lineRule="auto" w:after="120"/>
        <w:jc w:val="both"/>
      </w:pPr>
      <w:r>
        <w:rPr>
          <w:rFonts w:ascii="Times New Roman" w:hAnsi="Times New Roman" w:eastAsia="Times New Roman"/>
          <w:b w:val="0"/>
          <w:i w:val="0"/>
          <w:sz w:val="24"/>
        </w:rPr>
        <w:t>ΠΔ 116/2004 (ΦΕΚ 81/Α/2004). Μέτρα, όροι και πρόγραμμα για την εναλλακτική διαχείριση των οχημάτων στο τέλος του κύκλου ζωής τους, των χρησιμοποιημένων ανταλλακτικών τους και των απενεργοποιημένων καταλυτικών μετατροπέων.</w:t>
      </w:r>
    </w:p>
    <w:p>
      <w:pPr>
        <w:pStyle w:val="Heading2"/>
      </w:pPr>
      <w:r>
        <w:rPr>
          <w:rFonts w:ascii="Times New Roman" w:hAnsi="Times New Roman" w:eastAsia="Times New Roman"/>
          <w:b/>
          <w:sz w:val="24"/>
        </w:rPr>
        <w:t>Ε. ΗΛΕΚΤΡΟΝΙΚΕΣ ΠΗΓΕΣ ΚΑΙ ΙΣΤΟΤΟΠΟΙ</w:t>
      </w:r>
    </w:p>
    <w:p>
      <w:pPr>
        <w:spacing w:line="360" w:lineRule="auto" w:after="120"/>
        <w:jc w:val="both"/>
      </w:pPr>
      <w:r>
        <w:rPr>
          <w:rFonts w:ascii="Times New Roman" w:hAnsi="Times New Roman" w:eastAsia="Times New Roman"/>
          <w:b/>
          <w:i w:val="0"/>
          <w:sz w:val="24"/>
        </w:rPr>
        <w:t>Διεθνείς Οργανισμοί</w:t>
      </w:r>
    </w:p>
    <w:p>
      <w:pPr>
        <w:spacing w:line="360" w:lineRule="auto" w:after="120"/>
        <w:jc w:val="both"/>
      </w:pPr>
      <w:r>
        <w:rPr>
          <w:rFonts w:ascii="Times New Roman" w:hAnsi="Times New Roman" w:eastAsia="Times New Roman"/>
          <w:b w:val="0"/>
          <w:i w:val="0"/>
          <w:sz w:val="24"/>
        </w:rPr>
        <w:t xml:space="preserve">Ellen MacArthur Foundation. (n.d.). </w:t>
      </w:r>
      <w:r>
        <w:rPr>
          <w:rFonts w:ascii="Times New Roman" w:hAnsi="Times New Roman" w:eastAsia="Times New Roman"/>
          <w:b w:val="0"/>
          <w:i/>
          <w:sz w:val="24"/>
        </w:rPr>
        <w:t>Circular Economy Introduction</w:t>
      </w:r>
      <w:r>
        <w:rPr>
          <w:rFonts w:ascii="Times New Roman" w:hAnsi="Times New Roman" w:eastAsia="Times New Roman"/>
          <w:b w:val="0"/>
          <w:i w:val="0"/>
          <w:sz w:val="24"/>
        </w:rPr>
        <w:t>. Ανακτήθηκε από: https://www.ellenmacarthurfoundation.org/circular-economy/concept</w:t>
      </w:r>
    </w:p>
    <w:p>
      <w:pPr>
        <w:spacing w:line="360" w:lineRule="auto" w:after="120"/>
        <w:jc w:val="both"/>
      </w:pPr>
      <w:r>
        <w:rPr>
          <w:rFonts w:ascii="Times New Roman" w:hAnsi="Times New Roman" w:eastAsia="Times New Roman"/>
          <w:b w:val="0"/>
          <w:i w:val="0"/>
          <w:sz w:val="24"/>
        </w:rPr>
        <w:t xml:space="preserve">European Commission – Environment. (n.d.). </w:t>
      </w:r>
      <w:r>
        <w:rPr>
          <w:rFonts w:ascii="Times New Roman" w:hAnsi="Times New Roman" w:eastAsia="Times New Roman"/>
          <w:b w:val="0"/>
          <w:i/>
          <w:sz w:val="24"/>
        </w:rPr>
        <w:t>Circular Economy Action Plan</w:t>
      </w:r>
      <w:r>
        <w:rPr>
          <w:rFonts w:ascii="Times New Roman" w:hAnsi="Times New Roman" w:eastAsia="Times New Roman"/>
          <w:b w:val="0"/>
          <w:i w:val="0"/>
          <w:sz w:val="24"/>
        </w:rPr>
        <w:t>. Ανακτήθηκε από: https://ec.europa.eu/environment/circular-economy/</w:t>
      </w:r>
    </w:p>
    <w:p>
      <w:pPr>
        <w:spacing w:line="360" w:lineRule="auto" w:after="120"/>
        <w:jc w:val="both"/>
      </w:pPr>
      <w:r>
        <w:rPr>
          <w:rFonts w:ascii="Times New Roman" w:hAnsi="Times New Roman" w:eastAsia="Times New Roman"/>
          <w:b w:val="0"/>
          <w:i w:val="0"/>
          <w:sz w:val="24"/>
        </w:rPr>
        <w:t xml:space="preserve">European Environment Agency. (n.d.). </w:t>
      </w:r>
      <w:r>
        <w:rPr>
          <w:rFonts w:ascii="Times New Roman" w:hAnsi="Times New Roman" w:eastAsia="Times New Roman"/>
          <w:b w:val="0"/>
          <w:i/>
          <w:sz w:val="24"/>
        </w:rPr>
        <w:t>Waste and Recycling</w:t>
      </w:r>
      <w:r>
        <w:rPr>
          <w:rFonts w:ascii="Times New Roman" w:hAnsi="Times New Roman" w:eastAsia="Times New Roman"/>
          <w:b w:val="0"/>
          <w:i w:val="0"/>
          <w:sz w:val="24"/>
        </w:rPr>
        <w:t>. Ανακτήθηκε από: https://www.eea.europa.eu/themes/waste</w:t>
      </w:r>
    </w:p>
    <w:p>
      <w:pPr>
        <w:spacing w:line="360" w:lineRule="auto" w:after="120"/>
        <w:jc w:val="both"/>
      </w:pPr>
      <w:r>
        <w:rPr>
          <w:rFonts w:ascii="Times New Roman" w:hAnsi="Times New Roman" w:eastAsia="Times New Roman"/>
          <w:b w:val="0"/>
          <w:i w:val="0"/>
          <w:sz w:val="24"/>
        </w:rPr>
        <w:t xml:space="preserve">OECD. (n.d.). </w:t>
      </w:r>
      <w:r>
        <w:rPr>
          <w:rFonts w:ascii="Times New Roman" w:hAnsi="Times New Roman" w:eastAsia="Times New Roman"/>
          <w:b w:val="0"/>
          <w:i/>
          <w:sz w:val="24"/>
        </w:rPr>
        <w:t>Environment – Resource Productivity and Waste</w:t>
      </w:r>
      <w:r>
        <w:rPr>
          <w:rFonts w:ascii="Times New Roman" w:hAnsi="Times New Roman" w:eastAsia="Times New Roman"/>
          <w:b w:val="0"/>
          <w:i w:val="0"/>
          <w:sz w:val="24"/>
        </w:rPr>
        <w:t>. Ανακτήθηκε από: https://www.oecd.org/environment/waste/</w:t>
      </w:r>
    </w:p>
    <w:p>
      <w:pPr>
        <w:spacing w:line="360" w:lineRule="auto" w:after="120"/>
        <w:jc w:val="both"/>
      </w:pPr>
      <w:r>
        <w:rPr>
          <w:rFonts w:ascii="Times New Roman" w:hAnsi="Times New Roman" w:eastAsia="Times New Roman"/>
          <w:b w:val="0"/>
          <w:i w:val="0"/>
          <w:sz w:val="24"/>
        </w:rPr>
        <w:t xml:space="preserve">United Nations Environment Programme. (n.d.). </w:t>
      </w:r>
      <w:r>
        <w:rPr>
          <w:rFonts w:ascii="Times New Roman" w:hAnsi="Times New Roman" w:eastAsia="Times New Roman"/>
          <w:b w:val="0"/>
          <w:i/>
          <w:sz w:val="24"/>
        </w:rPr>
        <w:t>Sustainable Consumption and Production</w:t>
      </w:r>
      <w:r>
        <w:rPr>
          <w:rFonts w:ascii="Times New Roman" w:hAnsi="Times New Roman" w:eastAsia="Times New Roman"/>
          <w:b w:val="0"/>
          <w:i w:val="0"/>
          <w:sz w:val="24"/>
        </w:rPr>
        <w:t>. Ανακτήθηκε από: https://www.unep.org/explore-topics/resource-efficiency</w:t>
      </w:r>
    </w:p>
    <w:p>
      <w:pPr>
        <w:spacing w:line="360" w:lineRule="auto" w:after="120"/>
        <w:jc w:val="both"/>
      </w:pPr>
      <w:r>
        <w:rPr>
          <w:rFonts w:ascii="Times New Roman" w:hAnsi="Times New Roman" w:eastAsia="Times New Roman"/>
          <w:b w:val="0"/>
          <w:i w:val="0"/>
          <w:sz w:val="24"/>
        </w:rPr>
        <w:t xml:space="preserve">World Bank. (n.d.). </w:t>
      </w:r>
      <w:r>
        <w:rPr>
          <w:rFonts w:ascii="Times New Roman" w:hAnsi="Times New Roman" w:eastAsia="Times New Roman"/>
          <w:b w:val="0"/>
          <w:i/>
          <w:sz w:val="24"/>
        </w:rPr>
        <w:t>What a Waste – Global Database</w:t>
      </w:r>
      <w:r>
        <w:rPr>
          <w:rFonts w:ascii="Times New Roman" w:hAnsi="Times New Roman" w:eastAsia="Times New Roman"/>
          <w:b w:val="0"/>
          <w:i w:val="0"/>
          <w:sz w:val="24"/>
        </w:rPr>
        <w:t>. Ανακτήθηκε από: https://datacatalog.worldbank.org/dataset/what-waste-global-database</w:t>
      </w:r>
    </w:p>
    <w:p>
      <w:pPr>
        <w:spacing w:line="360" w:lineRule="auto" w:after="120"/>
        <w:jc w:val="both"/>
      </w:pPr>
      <w:r>
        <w:rPr>
          <w:rFonts w:ascii="Times New Roman" w:hAnsi="Times New Roman" w:eastAsia="Times New Roman"/>
          <w:b/>
          <w:i w:val="0"/>
          <w:sz w:val="24"/>
        </w:rPr>
        <w:t>Ελληνικοί Φορείς και Οργανισμοί</w:t>
      </w:r>
    </w:p>
    <w:p>
      <w:pPr>
        <w:spacing w:line="360" w:lineRule="auto" w:after="120"/>
        <w:jc w:val="both"/>
      </w:pPr>
      <w:r>
        <w:rPr>
          <w:rFonts w:ascii="Times New Roman" w:hAnsi="Times New Roman" w:eastAsia="Times New Roman"/>
          <w:b w:val="0"/>
          <w:i w:val="0"/>
          <w:sz w:val="24"/>
        </w:rPr>
        <w:t xml:space="preserve">Ελληνική Εταιρεία Τοπικής Ανάπτυξης και Αυτοδιοίκησης (ΕΕΤΑΑ). (n.d.). </w:t>
      </w:r>
      <w:r>
        <w:rPr>
          <w:rFonts w:ascii="Times New Roman" w:hAnsi="Times New Roman" w:eastAsia="Times New Roman"/>
          <w:b w:val="0"/>
          <w:i/>
          <w:sz w:val="24"/>
        </w:rPr>
        <w:t>Διαχείριση Αποβλήτων</w:t>
      </w:r>
      <w:r>
        <w:rPr>
          <w:rFonts w:ascii="Times New Roman" w:hAnsi="Times New Roman" w:eastAsia="Times New Roman"/>
          <w:b w:val="0"/>
          <w:i w:val="0"/>
          <w:sz w:val="24"/>
        </w:rPr>
        <w:t>. Ανακτήθηκε από: https://www.eetaa.gr</w:t>
      </w:r>
    </w:p>
    <w:p>
      <w:pPr>
        <w:spacing w:line="360" w:lineRule="auto" w:after="120"/>
        <w:jc w:val="both"/>
      </w:pPr>
      <w:r>
        <w:rPr>
          <w:rFonts w:ascii="Times New Roman" w:hAnsi="Times New Roman" w:eastAsia="Times New Roman"/>
          <w:b w:val="0"/>
          <w:i w:val="0"/>
          <w:sz w:val="24"/>
        </w:rPr>
        <w:t xml:space="preserve">Ελληνική Στατιστική Αρχή (ΕΛΣΤΑΤ). (n.d.). </w:t>
      </w:r>
      <w:r>
        <w:rPr>
          <w:rFonts w:ascii="Times New Roman" w:hAnsi="Times New Roman" w:eastAsia="Times New Roman"/>
          <w:b w:val="0"/>
          <w:i/>
          <w:sz w:val="24"/>
        </w:rPr>
        <w:t>Στοιχεία Περιβάλλοντος – Απόβλητα</w:t>
      </w:r>
      <w:r>
        <w:rPr>
          <w:rFonts w:ascii="Times New Roman" w:hAnsi="Times New Roman" w:eastAsia="Times New Roman"/>
          <w:b w:val="0"/>
          <w:i w:val="0"/>
          <w:sz w:val="24"/>
        </w:rPr>
        <w:t>. Ανακτήθηκε από: https://www.statistics.gr</w:t>
      </w:r>
    </w:p>
    <w:p>
      <w:pPr>
        <w:spacing w:line="360" w:lineRule="auto" w:after="120"/>
        <w:jc w:val="both"/>
      </w:pPr>
      <w:r>
        <w:rPr>
          <w:rFonts w:ascii="Times New Roman" w:hAnsi="Times New Roman" w:eastAsia="Times New Roman"/>
          <w:b w:val="0"/>
          <w:i w:val="0"/>
          <w:sz w:val="24"/>
        </w:rPr>
        <w:t xml:space="preserve">Ελληνικός Οργανισμός Ανακύκλωσης (ΕΟΑΝ). (n.d.). </w:t>
      </w:r>
      <w:r>
        <w:rPr>
          <w:rFonts w:ascii="Times New Roman" w:hAnsi="Times New Roman" w:eastAsia="Times New Roman"/>
          <w:b w:val="0"/>
          <w:i/>
          <w:sz w:val="24"/>
        </w:rPr>
        <w:t>Συστήματα Εναλλακτικής Διαχείρισης</w:t>
      </w:r>
      <w:r>
        <w:rPr>
          <w:rFonts w:ascii="Times New Roman" w:hAnsi="Times New Roman" w:eastAsia="Times New Roman"/>
          <w:b w:val="0"/>
          <w:i w:val="0"/>
          <w:sz w:val="24"/>
        </w:rPr>
        <w:t>. Ανακτήθηκε από: https://www.eoan.gr</w:t>
      </w:r>
    </w:p>
    <w:p>
      <w:pPr>
        <w:spacing w:line="360" w:lineRule="auto" w:after="120"/>
        <w:jc w:val="both"/>
      </w:pPr>
      <w:r>
        <w:rPr>
          <w:rFonts w:ascii="Times New Roman" w:hAnsi="Times New Roman" w:eastAsia="Times New Roman"/>
          <w:b w:val="0"/>
          <w:i w:val="0"/>
          <w:sz w:val="24"/>
        </w:rPr>
        <w:t xml:space="preserve">Ενιαίος Σύνδεσμος Δήμων και Κοινοτήτων Νομού Αττικής (ΕΣΔΚΝΑ). (n.d.). </w:t>
      </w:r>
      <w:r>
        <w:rPr>
          <w:rFonts w:ascii="Times New Roman" w:hAnsi="Times New Roman" w:eastAsia="Times New Roman"/>
          <w:b w:val="0"/>
          <w:i/>
          <w:sz w:val="24"/>
        </w:rPr>
        <w:t>Διαχείριση Απορριμμάτων Αττικής</w:t>
      </w:r>
      <w:r>
        <w:rPr>
          <w:rFonts w:ascii="Times New Roman" w:hAnsi="Times New Roman" w:eastAsia="Times New Roman"/>
          <w:b w:val="0"/>
          <w:i w:val="0"/>
          <w:sz w:val="24"/>
        </w:rPr>
        <w:t>. Ανακτήθηκε από: https://www.esdna.gr</w:t>
      </w:r>
    </w:p>
    <w:p>
      <w:pPr>
        <w:spacing w:line="360" w:lineRule="auto" w:after="120"/>
        <w:jc w:val="both"/>
      </w:pPr>
      <w:r>
        <w:rPr>
          <w:rFonts w:ascii="Times New Roman" w:hAnsi="Times New Roman" w:eastAsia="Times New Roman"/>
          <w:b w:val="0"/>
          <w:i w:val="0"/>
          <w:sz w:val="24"/>
        </w:rPr>
        <w:t xml:space="preserve">Υπουργείο Περιβάλλοντος και Ενέργειας (ΥΠΕΝ). (n.d.). </w:t>
      </w:r>
      <w:r>
        <w:rPr>
          <w:rFonts w:ascii="Times New Roman" w:hAnsi="Times New Roman" w:eastAsia="Times New Roman"/>
          <w:b w:val="0"/>
          <w:i/>
          <w:sz w:val="24"/>
        </w:rPr>
        <w:t>Κυκλική Οικονομία</w:t>
      </w:r>
      <w:r>
        <w:rPr>
          <w:rFonts w:ascii="Times New Roman" w:hAnsi="Times New Roman" w:eastAsia="Times New Roman"/>
          <w:b w:val="0"/>
          <w:i w:val="0"/>
          <w:sz w:val="24"/>
        </w:rPr>
        <w:t>. Ανακτήθηκε από: https://ypen.gov.gr/kuklike-ikonomia/</w:t>
      </w:r>
    </w:p>
    <w:p>
      <w:pPr>
        <w:spacing w:line="360" w:lineRule="auto" w:after="120"/>
        <w:jc w:val="both"/>
      </w:pPr>
      <w:r>
        <w:rPr>
          <w:rFonts w:ascii="Times New Roman" w:hAnsi="Times New Roman" w:eastAsia="Times New Roman"/>
          <w:b w:val="0"/>
          <w:i w:val="0"/>
          <w:sz w:val="24"/>
        </w:rPr>
        <w:t xml:space="preserve">Φορέας Διαχείρισης Στερεών Αποβλήτων Αττικής (ΦοΔΣΑ). (n.d.). </w:t>
      </w:r>
      <w:r>
        <w:rPr>
          <w:rFonts w:ascii="Times New Roman" w:hAnsi="Times New Roman" w:eastAsia="Times New Roman"/>
          <w:b w:val="0"/>
          <w:i/>
          <w:sz w:val="24"/>
        </w:rPr>
        <w:t>Υποδομές και Δράσεις</w:t>
      </w:r>
      <w:r>
        <w:rPr>
          <w:rFonts w:ascii="Times New Roman" w:hAnsi="Times New Roman" w:eastAsia="Times New Roman"/>
          <w:b w:val="0"/>
          <w:i w:val="0"/>
          <w:sz w:val="24"/>
        </w:rPr>
        <w:t>. Ανακτήθηκε από: https://www.fodysa.gr</w:t>
      </w:r>
    </w:p>
    <w:p>
      <w:pPr>
        <w:spacing w:line="360" w:lineRule="auto" w:after="120"/>
        <w:jc w:val="both"/>
      </w:pPr>
      <w:r>
        <w:rPr>
          <w:rFonts w:ascii="Times New Roman" w:hAnsi="Times New Roman" w:eastAsia="Times New Roman"/>
          <w:b/>
          <w:i w:val="0"/>
          <w:sz w:val="24"/>
        </w:rPr>
        <w:t>Δήμος Μαραθώνα</w:t>
      </w:r>
    </w:p>
    <w:p>
      <w:pPr>
        <w:spacing w:line="360" w:lineRule="auto" w:after="120"/>
        <w:jc w:val="both"/>
      </w:pPr>
      <w:r>
        <w:rPr>
          <w:rFonts w:ascii="Times New Roman" w:hAnsi="Times New Roman" w:eastAsia="Times New Roman"/>
          <w:b w:val="0"/>
          <w:i w:val="0"/>
          <w:sz w:val="24"/>
        </w:rPr>
        <w:t xml:space="preserve">Δήμος Μαραθώνα. (n.d.). </w:t>
      </w:r>
      <w:r>
        <w:rPr>
          <w:rFonts w:ascii="Times New Roman" w:hAnsi="Times New Roman" w:eastAsia="Times New Roman"/>
          <w:b w:val="0"/>
          <w:i/>
          <w:sz w:val="24"/>
        </w:rPr>
        <w:t>Περιβάλλον και Καθαριότητα</w:t>
      </w:r>
      <w:r>
        <w:rPr>
          <w:rFonts w:ascii="Times New Roman" w:hAnsi="Times New Roman" w:eastAsia="Times New Roman"/>
          <w:b w:val="0"/>
          <w:i w:val="0"/>
          <w:sz w:val="24"/>
        </w:rPr>
        <w:t>. Ανακτήθηκε από: https://www.marathon.gr</w:t>
      </w:r>
    </w:p>
    <w:p>
      <w:pPr>
        <w:spacing w:line="360" w:lineRule="auto" w:after="120"/>
        <w:jc w:val="both"/>
      </w:pPr>
      <w:r>
        <w:rPr>
          <w:rFonts w:ascii="Times New Roman" w:hAnsi="Times New Roman" w:eastAsia="Times New Roman"/>
          <w:b w:val="0"/>
          <w:i w:val="0"/>
          <w:sz w:val="24"/>
        </w:rPr>
        <w:t xml:space="preserve">Δήμος Μαραθώνα. (2020). </w:t>
      </w:r>
      <w:r>
        <w:rPr>
          <w:rFonts w:ascii="Times New Roman" w:hAnsi="Times New Roman" w:eastAsia="Times New Roman"/>
          <w:b w:val="0"/>
          <w:i/>
          <w:sz w:val="24"/>
        </w:rPr>
        <w:t>Τοπικό Σχέδιο Διαχείρισης Στερεών Αποβλήτων 2020-2025</w:t>
      </w:r>
      <w:r>
        <w:rPr>
          <w:rFonts w:ascii="Times New Roman" w:hAnsi="Times New Roman" w:eastAsia="Times New Roman"/>
          <w:b w:val="0"/>
          <w:i w:val="0"/>
          <w:sz w:val="24"/>
        </w:rPr>
        <w:t>. Ανακτήθηκε από αρχείο Δήμου.</w:t>
      </w:r>
    </w:p>
    <w:p>
      <w:pPr>
        <w:spacing w:line="360" w:lineRule="auto" w:after="120"/>
        <w:jc w:val="both"/>
      </w:pPr>
      <w:r>
        <w:rPr>
          <w:rFonts w:ascii="Times New Roman" w:hAnsi="Times New Roman" w:eastAsia="Times New Roman"/>
          <w:b/>
          <w:i w:val="0"/>
          <w:sz w:val="24"/>
        </w:rPr>
        <w:t>Ερευνητικά Ιδρύματα και Think Tanks</w:t>
      </w:r>
    </w:p>
    <w:p>
      <w:pPr>
        <w:spacing w:line="360" w:lineRule="auto" w:after="120"/>
        <w:jc w:val="both"/>
      </w:pPr>
      <w:r>
        <w:rPr>
          <w:rFonts w:ascii="Times New Roman" w:hAnsi="Times New Roman" w:eastAsia="Times New Roman"/>
          <w:b w:val="0"/>
          <w:i w:val="0"/>
          <w:sz w:val="24"/>
        </w:rPr>
        <w:t xml:space="preserve">Ίδρυμα Οικονομικών και Βιομηχανικών Ερευνών (ΙΟΒΕ). (n.d.). </w:t>
      </w:r>
      <w:r>
        <w:rPr>
          <w:rFonts w:ascii="Times New Roman" w:hAnsi="Times New Roman" w:eastAsia="Times New Roman"/>
          <w:b w:val="0"/>
          <w:i/>
          <w:sz w:val="24"/>
        </w:rPr>
        <w:t>Μελέτες για το Περιβάλλον</w:t>
      </w:r>
      <w:r>
        <w:rPr>
          <w:rFonts w:ascii="Times New Roman" w:hAnsi="Times New Roman" w:eastAsia="Times New Roman"/>
          <w:b w:val="0"/>
          <w:i w:val="0"/>
          <w:sz w:val="24"/>
        </w:rPr>
        <w:t>. Ανακτήθηκε από: https://www.iobe.gr</w:t>
      </w:r>
    </w:p>
    <w:p>
      <w:pPr>
        <w:spacing w:line="360" w:lineRule="auto" w:after="120"/>
        <w:jc w:val="both"/>
      </w:pPr>
      <w:r>
        <w:rPr>
          <w:rFonts w:ascii="Times New Roman" w:hAnsi="Times New Roman" w:eastAsia="Times New Roman"/>
          <w:b w:val="0"/>
          <w:i w:val="0"/>
          <w:sz w:val="24"/>
        </w:rPr>
        <w:t xml:space="preserve">Κέντρο Ανανεώσιμων Πηγών και Εξοικονόμησης Ενέργειας (ΚΑΠΕ). (n.d.). </w:t>
      </w:r>
      <w:r>
        <w:rPr>
          <w:rFonts w:ascii="Times New Roman" w:hAnsi="Times New Roman" w:eastAsia="Times New Roman"/>
          <w:b w:val="0"/>
          <w:i/>
          <w:sz w:val="24"/>
        </w:rPr>
        <w:t>Βιώσιμη Ανάπτυξη</w:t>
      </w:r>
      <w:r>
        <w:rPr>
          <w:rFonts w:ascii="Times New Roman" w:hAnsi="Times New Roman" w:eastAsia="Times New Roman"/>
          <w:b w:val="0"/>
          <w:i w:val="0"/>
          <w:sz w:val="24"/>
        </w:rPr>
        <w:t>. Ανακτήθηκε από: https://www.cres.gr</w:t>
      </w:r>
    </w:p>
    <w:p>
      <w:pPr>
        <w:spacing w:line="360" w:lineRule="auto" w:after="120"/>
        <w:jc w:val="both"/>
      </w:pPr>
      <w:r>
        <w:rPr>
          <w:rFonts w:ascii="Times New Roman" w:hAnsi="Times New Roman" w:eastAsia="Times New Roman"/>
          <w:b w:val="0"/>
          <w:i w:val="0"/>
          <w:sz w:val="24"/>
        </w:rPr>
        <w:t xml:space="preserve">Ελληνικό Ινστιτούτο Βιώσιμης Ανάπτυξης. (n.d.). </w:t>
      </w:r>
      <w:r>
        <w:rPr>
          <w:rFonts w:ascii="Times New Roman" w:hAnsi="Times New Roman" w:eastAsia="Times New Roman"/>
          <w:b w:val="0"/>
          <w:i/>
          <w:sz w:val="24"/>
        </w:rPr>
        <w:t>Κυκλική Οικονομία στην Ελλάδα</w:t>
      </w:r>
      <w:r>
        <w:rPr>
          <w:rFonts w:ascii="Times New Roman" w:hAnsi="Times New Roman" w:eastAsia="Times New Roman"/>
          <w:b w:val="0"/>
          <w:i w:val="0"/>
          <w:sz w:val="24"/>
        </w:rPr>
        <w:t>. Ανακτήθηκε από: https://www.sustainabledevelopment.gr</w:t>
      </w:r>
    </w:p>
    <w:p>
      <w:pPr>
        <w:spacing w:line="360" w:lineRule="auto" w:after="120"/>
        <w:jc w:val="both"/>
      </w:pPr>
      <w:r>
        <w:rPr>
          <w:rFonts w:ascii="Times New Roman" w:hAnsi="Times New Roman" w:eastAsia="Times New Roman"/>
          <w:b/>
          <w:i w:val="0"/>
          <w:sz w:val="24"/>
        </w:rPr>
        <w:t>Ευρωπαϊκά Δίκτυα και Πρωτοβουλίες</w:t>
      </w:r>
    </w:p>
    <w:p>
      <w:pPr>
        <w:spacing w:line="360" w:lineRule="auto" w:after="120"/>
        <w:jc w:val="both"/>
      </w:pPr>
      <w:r>
        <w:rPr>
          <w:rFonts w:ascii="Times New Roman" w:hAnsi="Times New Roman" w:eastAsia="Times New Roman"/>
          <w:b w:val="0"/>
          <w:i w:val="0"/>
          <w:sz w:val="24"/>
        </w:rPr>
        <w:t xml:space="preserve">Circular Economy Network. (n.d.). </w:t>
      </w:r>
      <w:r>
        <w:rPr>
          <w:rFonts w:ascii="Times New Roman" w:hAnsi="Times New Roman" w:eastAsia="Times New Roman"/>
          <w:b w:val="0"/>
          <w:i/>
          <w:sz w:val="24"/>
        </w:rPr>
        <w:t>Best Practices Database</w:t>
      </w:r>
      <w:r>
        <w:rPr>
          <w:rFonts w:ascii="Times New Roman" w:hAnsi="Times New Roman" w:eastAsia="Times New Roman"/>
          <w:b w:val="0"/>
          <w:i w:val="0"/>
          <w:sz w:val="24"/>
        </w:rPr>
        <w:t>. Ανακτήθηκε από: https://www.circulareconomynetwork.eu</w:t>
      </w:r>
    </w:p>
    <w:p>
      <w:pPr>
        <w:spacing w:line="360" w:lineRule="auto" w:after="120"/>
        <w:jc w:val="both"/>
      </w:pPr>
      <w:r>
        <w:rPr>
          <w:rFonts w:ascii="Times New Roman" w:hAnsi="Times New Roman" w:eastAsia="Times New Roman"/>
          <w:b w:val="0"/>
          <w:i w:val="0"/>
          <w:sz w:val="24"/>
        </w:rPr>
        <w:t xml:space="preserve">European Circular Economy Stakeholder Platform. (n.d.). </w:t>
      </w:r>
      <w:r>
        <w:rPr>
          <w:rFonts w:ascii="Times New Roman" w:hAnsi="Times New Roman" w:eastAsia="Times New Roman"/>
          <w:b w:val="0"/>
          <w:i/>
          <w:sz w:val="24"/>
        </w:rPr>
        <w:t>Good Practices</w:t>
      </w:r>
      <w:r>
        <w:rPr>
          <w:rFonts w:ascii="Times New Roman" w:hAnsi="Times New Roman" w:eastAsia="Times New Roman"/>
          <w:b w:val="0"/>
          <w:i w:val="0"/>
          <w:sz w:val="24"/>
        </w:rPr>
        <w:t>. Ανακτήθηκε από: https://circulareconomy.europa.eu/platform/</w:t>
      </w:r>
    </w:p>
    <w:p>
      <w:pPr>
        <w:spacing w:line="360" w:lineRule="auto" w:after="120"/>
        <w:jc w:val="both"/>
      </w:pPr>
      <w:r>
        <w:rPr>
          <w:rFonts w:ascii="Times New Roman" w:hAnsi="Times New Roman" w:eastAsia="Times New Roman"/>
          <w:b w:val="0"/>
          <w:i w:val="0"/>
          <w:sz w:val="24"/>
        </w:rPr>
        <w:t xml:space="preserve">Zero Waste Europe. (n.d.). </w:t>
      </w:r>
      <w:r>
        <w:rPr>
          <w:rFonts w:ascii="Times New Roman" w:hAnsi="Times New Roman" w:eastAsia="Times New Roman"/>
          <w:b w:val="0"/>
          <w:i/>
          <w:sz w:val="24"/>
        </w:rPr>
        <w:t>Case Studies and Reports</w:t>
      </w:r>
      <w:r>
        <w:rPr>
          <w:rFonts w:ascii="Times New Roman" w:hAnsi="Times New Roman" w:eastAsia="Times New Roman"/>
          <w:b w:val="0"/>
          <w:i w:val="0"/>
          <w:sz w:val="24"/>
        </w:rPr>
        <w:t>. Ανακτήθηκε από: https://zerowasteeurope.eu</w:t>
      </w:r>
    </w:p>
    <w:p>
      <w:pPr>
        <w:pStyle w:val="Heading2"/>
      </w:pPr>
      <w:r>
        <w:rPr>
          <w:rFonts w:ascii="Times New Roman" w:hAnsi="Times New Roman" w:eastAsia="Times New Roman"/>
          <w:b/>
          <w:sz w:val="24"/>
        </w:rPr>
        <w:t>ΣΤ. ΕΠΙΣΤΗΜΟΝΙΚΑ ΑΡΘΡΑ (JOURNALS)</w:t>
      </w:r>
    </w:p>
    <w:p>
      <w:pPr>
        <w:spacing w:line="360" w:lineRule="auto" w:after="120"/>
        <w:jc w:val="both"/>
      </w:pPr>
      <w:r>
        <w:rPr>
          <w:rFonts w:ascii="Times New Roman" w:hAnsi="Times New Roman" w:eastAsia="Times New Roman"/>
          <w:b/>
          <w:i w:val="0"/>
          <w:sz w:val="24"/>
        </w:rPr>
        <w:t>Περιβαλλοντικές Επιστήμες</w:t>
      </w:r>
    </w:p>
    <w:p>
      <w:pPr>
        <w:spacing w:line="360" w:lineRule="auto" w:after="120"/>
        <w:jc w:val="both"/>
      </w:pPr>
      <w:r>
        <w:rPr>
          <w:rFonts w:ascii="Times New Roman" w:hAnsi="Times New Roman" w:eastAsia="Times New Roman"/>
          <w:b w:val="0"/>
          <w:i w:val="0"/>
          <w:sz w:val="24"/>
        </w:rPr>
        <w:t xml:space="preserve">Acosta, L. A., Maharjan, P., Peyriere, H. M., &amp; Mamiit, R. J. (2020). Natural capital protection indicators: Measuring performance in achieving the Sustainable Development Goals for green growth transition. </w:t>
      </w:r>
      <w:r>
        <w:rPr>
          <w:rFonts w:ascii="Times New Roman" w:hAnsi="Times New Roman" w:eastAsia="Times New Roman"/>
          <w:b w:val="0"/>
          <w:i/>
          <w:sz w:val="24"/>
        </w:rPr>
        <w:t>Environmental and Sustainability Indicators</w:t>
      </w:r>
      <w:r>
        <w:rPr>
          <w:rFonts w:ascii="Times New Roman" w:hAnsi="Times New Roman" w:eastAsia="Times New Roman"/>
          <w:b w:val="0"/>
          <w:i w:val="0"/>
          <w:sz w:val="24"/>
        </w:rPr>
        <w:t>, 8, 100069.</w:t>
      </w:r>
    </w:p>
    <w:p>
      <w:pPr>
        <w:spacing w:line="360" w:lineRule="auto" w:after="120"/>
        <w:jc w:val="both"/>
      </w:pPr>
      <w:r>
        <w:rPr>
          <w:rFonts w:ascii="Times New Roman" w:hAnsi="Times New Roman" w:eastAsia="Times New Roman"/>
          <w:b w:val="0"/>
          <w:i w:val="0"/>
          <w:sz w:val="24"/>
        </w:rPr>
        <w:t xml:space="preserve">Agovino, M., Ferrara, M., &amp; Garofalo, A. (2019). An exploratory analysis on waste management in Italy: A focus on waste disposed in landfill. </w:t>
      </w:r>
      <w:r>
        <w:rPr>
          <w:rFonts w:ascii="Times New Roman" w:hAnsi="Times New Roman" w:eastAsia="Times New Roman"/>
          <w:b w:val="0"/>
          <w:i/>
          <w:sz w:val="24"/>
        </w:rPr>
        <w:t>Land Use Policy</w:t>
      </w:r>
      <w:r>
        <w:rPr>
          <w:rFonts w:ascii="Times New Roman" w:hAnsi="Times New Roman" w:eastAsia="Times New Roman"/>
          <w:b w:val="0"/>
          <w:i w:val="0"/>
          <w:sz w:val="24"/>
        </w:rPr>
        <w:t>, 57, 669-681.</w:t>
      </w:r>
    </w:p>
    <w:p>
      <w:pPr>
        <w:spacing w:line="360" w:lineRule="auto" w:after="120"/>
        <w:jc w:val="both"/>
      </w:pPr>
      <w:r>
        <w:rPr>
          <w:rFonts w:ascii="Times New Roman" w:hAnsi="Times New Roman" w:eastAsia="Times New Roman"/>
          <w:b w:val="0"/>
          <w:i w:val="0"/>
          <w:sz w:val="24"/>
        </w:rPr>
        <w:t xml:space="preserve">Awasthi, A. K., Zeng, X., &amp; Li, J. (2016). Environmental pollution of electronic waste recycling in India: A critical review. </w:t>
      </w:r>
      <w:r>
        <w:rPr>
          <w:rFonts w:ascii="Times New Roman" w:hAnsi="Times New Roman" w:eastAsia="Times New Roman"/>
          <w:b w:val="0"/>
          <w:i/>
          <w:sz w:val="24"/>
        </w:rPr>
        <w:t>Environmental Pollution</w:t>
      </w:r>
      <w:r>
        <w:rPr>
          <w:rFonts w:ascii="Times New Roman" w:hAnsi="Times New Roman" w:eastAsia="Times New Roman"/>
          <w:b w:val="0"/>
          <w:i w:val="0"/>
          <w:sz w:val="24"/>
        </w:rPr>
        <w:t>, 211, 259-270.</w:t>
      </w:r>
    </w:p>
    <w:p>
      <w:pPr>
        <w:spacing w:line="360" w:lineRule="auto" w:after="120"/>
        <w:jc w:val="both"/>
      </w:pPr>
      <w:r>
        <w:rPr>
          <w:rFonts w:ascii="Times New Roman" w:hAnsi="Times New Roman" w:eastAsia="Times New Roman"/>
          <w:b w:val="0"/>
          <w:i w:val="0"/>
          <w:sz w:val="24"/>
        </w:rPr>
        <w:t xml:space="preserve">Calisto Friant, M., Vermeulen, W. J., &amp; Salomone, R. (2020). A typology of circular economy discourses: Navigating the diverse visions of a contested paradigm. </w:t>
      </w:r>
      <w:r>
        <w:rPr>
          <w:rFonts w:ascii="Times New Roman" w:hAnsi="Times New Roman" w:eastAsia="Times New Roman"/>
          <w:b w:val="0"/>
          <w:i/>
          <w:sz w:val="24"/>
        </w:rPr>
        <w:t>Resources, Conservation and Recycling</w:t>
      </w:r>
      <w:r>
        <w:rPr>
          <w:rFonts w:ascii="Times New Roman" w:hAnsi="Times New Roman" w:eastAsia="Times New Roman"/>
          <w:b w:val="0"/>
          <w:i w:val="0"/>
          <w:sz w:val="24"/>
        </w:rPr>
        <w:t>, 161, 104917.</w:t>
      </w:r>
    </w:p>
    <w:p>
      <w:pPr>
        <w:spacing w:line="360" w:lineRule="auto" w:after="120"/>
        <w:jc w:val="both"/>
      </w:pPr>
      <w:r>
        <w:rPr>
          <w:rFonts w:ascii="Times New Roman" w:hAnsi="Times New Roman" w:eastAsia="Times New Roman"/>
          <w:b/>
          <w:i w:val="0"/>
          <w:sz w:val="24"/>
        </w:rPr>
        <w:t>Διαχείριση Αποβλήτων</w:t>
      </w:r>
    </w:p>
    <w:p>
      <w:pPr>
        <w:spacing w:line="360" w:lineRule="auto" w:after="120"/>
        <w:jc w:val="both"/>
      </w:pPr>
      <w:r>
        <w:rPr>
          <w:rFonts w:ascii="Times New Roman" w:hAnsi="Times New Roman" w:eastAsia="Times New Roman"/>
          <w:b w:val="0"/>
          <w:i w:val="0"/>
          <w:sz w:val="24"/>
        </w:rPr>
        <w:t xml:space="preserve">Della Porta, C., Rocchi, L., Ghinoi, S., &amp; Scozzafava, G. (2020). Waste management in Italian households: Behaviours and perceived effectiveness of policy instruments. </w:t>
      </w:r>
      <w:r>
        <w:rPr>
          <w:rFonts w:ascii="Times New Roman" w:hAnsi="Times New Roman" w:eastAsia="Times New Roman"/>
          <w:b w:val="0"/>
          <w:i/>
          <w:sz w:val="24"/>
        </w:rPr>
        <w:t>Ecological Indicators</w:t>
      </w:r>
      <w:r>
        <w:rPr>
          <w:rFonts w:ascii="Times New Roman" w:hAnsi="Times New Roman" w:eastAsia="Times New Roman"/>
          <w:b w:val="0"/>
          <w:i w:val="0"/>
          <w:sz w:val="24"/>
        </w:rPr>
        <w:t>, 119, 106861.</w:t>
      </w:r>
    </w:p>
    <w:p>
      <w:pPr>
        <w:spacing w:line="360" w:lineRule="auto" w:after="120"/>
        <w:jc w:val="both"/>
      </w:pPr>
      <w:r>
        <w:rPr>
          <w:rFonts w:ascii="Times New Roman" w:hAnsi="Times New Roman" w:eastAsia="Times New Roman"/>
          <w:b w:val="0"/>
          <w:i w:val="0"/>
          <w:sz w:val="24"/>
        </w:rPr>
        <w:t xml:space="preserve">Di Maria, F., Sisani, F., &amp; Contini, S. (2018). Are EU waste-to-energy technologies effective for exploiting the energy in bio-waste? </w:t>
      </w:r>
      <w:r>
        <w:rPr>
          <w:rFonts w:ascii="Times New Roman" w:hAnsi="Times New Roman" w:eastAsia="Times New Roman"/>
          <w:b w:val="0"/>
          <w:i/>
          <w:sz w:val="24"/>
        </w:rPr>
        <w:t>Applied Energy</w:t>
      </w:r>
      <w:r>
        <w:rPr>
          <w:rFonts w:ascii="Times New Roman" w:hAnsi="Times New Roman" w:eastAsia="Times New Roman"/>
          <w:b w:val="0"/>
          <w:i w:val="0"/>
          <w:sz w:val="24"/>
        </w:rPr>
        <w:t>, 230, 1557-1572.</w:t>
      </w:r>
    </w:p>
    <w:p>
      <w:pPr>
        <w:spacing w:line="360" w:lineRule="auto" w:after="120"/>
        <w:jc w:val="both"/>
      </w:pPr>
      <w:r>
        <w:rPr>
          <w:rFonts w:ascii="Times New Roman" w:hAnsi="Times New Roman" w:eastAsia="Times New Roman"/>
          <w:b w:val="0"/>
          <w:i w:val="0"/>
          <w:sz w:val="24"/>
        </w:rPr>
        <w:t xml:space="preserve">Gentil, E. C., Damgaard, A., Hauschild, M., Finnveden, G., Eriksson, O., Thorneloe, S., ... &amp; Christensen, T. H. (2010). Models for waste life cycle assessment: Review of technical assumptions. </w:t>
      </w:r>
      <w:r>
        <w:rPr>
          <w:rFonts w:ascii="Times New Roman" w:hAnsi="Times New Roman" w:eastAsia="Times New Roman"/>
          <w:b w:val="0"/>
          <w:i/>
          <w:sz w:val="24"/>
        </w:rPr>
        <w:t>Waste Management</w:t>
      </w:r>
      <w:r>
        <w:rPr>
          <w:rFonts w:ascii="Times New Roman" w:hAnsi="Times New Roman" w:eastAsia="Times New Roman"/>
          <w:b w:val="0"/>
          <w:i w:val="0"/>
          <w:sz w:val="24"/>
        </w:rPr>
        <w:t>, 30(12), 2636-2648.</w:t>
      </w:r>
    </w:p>
    <w:p>
      <w:pPr>
        <w:spacing w:line="360" w:lineRule="auto" w:after="120"/>
        <w:jc w:val="both"/>
      </w:pPr>
      <w:r>
        <w:rPr>
          <w:rFonts w:ascii="Times New Roman" w:hAnsi="Times New Roman" w:eastAsia="Times New Roman"/>
          <w:b w:val="0"/>
          <w:i w:val="0"/>
          <w:sz w:val="24"/>
        </w:rPr>
        <w:t xml:space="preserve">Guerrero, L. A., Maas, G., &amp; Hogland, W. (2013). Solid waste management challenges for cities in developing countries. </w:t>
      </w:r>
      <w:r>
        <w:rPr>
          <w:rFonts w:ascii="Times New Roman" w:hAnsi="Times New Roman" w:eastAsia="Times New Roman"/>
          <w:b w:val="0"/>
          <w:i/>
          <w:sz w:val="24"/>
        </w:rPr>
        <w:t>Waste Management</w:t>
      </w:r>
      <w:r>
        <w:rPr>
          <w:rFonts w:ascii="Times New Roman" w:hAnsi="Times New Roman" w:eastAsia="Times New Roman"/>
          <w:b w:val="0"/>
          <w:i w:val="0"/>
          <w:sz w:val="24"/>
        </w:rPr>
        <w:t>, 33(1), 220-232.</w:t>
      </w:r>
    </w:p>
    <w:p>
      <w:pPr>
        <w:spacing w:line="360" w:lineRule="auto" w:after="120"/>
        <w:jc w:val="both"/>
      </w:pPr>
      <w:r>
        <w:rPr>
          <w:rFonts w:ascii="Times New Roman" w:hAnsi="Times New Roman" w:eastAsia="Times New Roman"/>
          <w:b/>
          <w:i w:val="0"/>
          <w:sz w:val="24"/>
        </w:rPr>
        <w:t>Κυκλική Οικονομία και Πολιτική</w:t>
      </w:r>
    </w:p>
    <w:p>
      <w:pPr>
        <w:spacing w:line="360" w:lineRule="auto" w:after="120"/>
        <w:jc w:val="both"/>
      </w:pPr>
      <w:r>
        <w:rPr>
          <w:rFonts w:ascii="Times New Roman" w:hAnsi="Times New Roman" w:eastAsia="Times New Roman"/>
          <w:b w:val="0"/>
          <w:i w:val="0"/>
          <w:sz w:val="24"/>
        </w:rPr>
        <w:t xml:space="preserve">Hobson, K. (2016). Closing the loop or squaring the circle? Locating generative spaces for the circular economy. </w:t>
      </w:r>
      <w:r>
        <w:rPr>
          <w:rFonts w:ascii="Times New Roman" w:hAnsi="Times New Roman" w:eastAsia="Times New Roman"/>
          <w:b w:val="0"/>
          <w:i/>
          <w:sz w:val="24"/>
        </w:rPr>
        <w:t>Progress in Human Geography</w:t>
      </w:r>
      <w:r>
        <w:rPr>
          <w:rFonts w:ascii="Times New Roman" w:hAnsi="Times New Roman" w:eastAsia="Times New Roman"/>
          <w:b w:val="0"/>
          <w:i w:val="0"/>
          <w:sz w:val="24"/>
        </w:rPr>
        <w:t>, 40(1), 88-104.</w:t>
      </w:r>
    </w:p>
    <w:p>
      <w:pPr>
        <w:spacing w:line="360" w:lineRule="auto" w:after="120"/>
        <w:jc w:val="both"/>
      </w:pPr>
      <w:r>
        <w:rPr>
          <w:rFonts w:ascii="Times New Roman" w:hAnsi="Times New Roman" w:eastAsia="Times New Roman"/>
          <w:b w:val="0"/>
          <w:i w:val="0"/>
          <w:sz w:val="24"/>
        </w:rPr>
        <w:t xml:space="preserve">Kalmykova, Y., Sadagopan, M., &amp; Rosado, L. (2018). Circular economy – From review of theories and practices to development of implementation tools. </w:t>
      </w:r>
      <w:r>
        <w:rPr>
          <w:rFonts w:ascii="Times New Roman" w:hAnsi="Times New Roman" w:eastAsia="Times New Roman"/>
          <w:b w:val="0"/>
          <w:i/>
          <w:sz w:val="24"/>
        </w:rPr>
        <w:t>Resources, Conservation and Recycling</w:t>
      </w:r>
      <w:r>
        <w:rPr>
          <w:rFonts w:ascii="Times New Roman" w:hAnsi="Times New Roman" w:eastAsia="Times New Roman"/>
          <w:b w:val="0"/>
          <w:i w:val="0"/>
          <w:sz w:val="24"/>
        </w:rPr>
        <w:t>, 135, 190-201.</w:t>
      </w:r>
    </w:p>
    <w:p>
      <w:pPr>
        <w:spacing w:line="360" w:lineRule="auto" w:after="120"/>
        <w:jc w:val="both"/>
      </w:pPr>
      <w:r>
        <w:rPr>
          <w:rFonts w:ascii="Times New Roman" w:hAnsi="Times New Roman" w:eastAsia="Times New Roman"/>
          <w:b w:val="0"/>
          <w:i w:val="0"/>
          <w:sz w:val="24"/>
        </w:rPr>
        <w:t xml:space="preserve">Merli, R., Preziosi, M., &amp; Acampora, A. (2018). How do scholars approach the circular economy? A systematic literature review. </w:t>
      </w:r>
      <w:r>
        <w:rPr>
          <w:rFonts w:ascii="Times New Roman" w:hAnsi="Times New Roman" w:eastAsia="Times New Roman"/>
          <w:b w:val="0"/>
          <w:i/>
          <w:sz w:val="24"/>
        </w:rPr>
        <w:t>Journal of Cleaner Production</w:t>
      </w:r>
      <w:r>
        <w:rPr>
          <w:rFonts w:ascii="Times New Roman" w:hAnsi="Times New Roman" w:eastAsia="Times New Roman"/>
          <w:b w:val="0"/>
          <w:i w:val="0"/>
          <w:sz w:val="24"/>
        </w:rPr>
        <w:t>, 178, 703-722.</w:t>
      </w:r>
    </w:p>
    <w:p>
      <w:pPr>
        <w:spacing w:line="360" w:lineRule="auto" w:after="120"/>
        <w:jc w:val="both"/>
      </w:pPr>
      <w:r>
        <w:rPr>
          <w:rFonts w:ascii="Times New Roman" w:hAnsi="Times New Roman" w:eastAsia="Times New Roman"/>
          <w:b w:val="0"/>
          <w:i w:val="0"/>
          <w:sz w:val="24"/>
        </w:rPr>
        <w:t xml:space="preserve">Moraga, G., Huysveld, S., Mathieux, F., Blengini, G. A., Alaerts, L., Van Acker, K., ... &amp; Dewulf, J. (2019). Circular economy indicators: What do they measure? </w:t>
      </w:r>
      <w:r>
        <w:rPr>
          <w:rFonts w:ascii="Times New Roman" w:hAnsi="Times New Roman" w:eastAsia="Times New Roman"/>
          <w:b w:val="0"/>
          <w:i/>
          <w:sz w:val="24"/>
        </w:rPr>
        <w:t>Resources, Conservation and Recycling</w:t>
      </w:r>
      <w:r>
        <w:rPr>
          <w:rFonts w:ascii="Times New Roman" w:hAnsi="Times New Roman" w:eastAsia="Times New Roman"/>
          <w:b w:val="0"/>
          <w:i w:val="0"/>
          <w:sz w:val="24"/>
        </w:rPr>
        <w:t>, 146, 452-461.</w:t>
      </w:r>
    </w:p>
    <w:p>
      <w:pPr>
        <w:spacing w:line="360" w:lineRule="auto" w:after="120"/>
        <w:jc w:val="both"/>
      </w:pPr>
      <w:r>
        <w:rPr>
          <w:rFonts w:ascii="Times New Roman" w:hAnsi="Times New Roman" w:eastAsia="Times New Roman"/>
          <w:b/>
          <w:i w:val="0"/>
          <w:sz w:val="24"/>
        </w:rPr>
        <w:t>Συμπεριφορά Πολιτών και Συμμετοχή</w:t>
      </w:r>
    </w:p>
    <w:p>
      <w:pPr>
        <w:spacing w:line="360" w:lineRule="auto" w:after="120"/>
        <w:jc w:val="both"/>
      </w:pPr>
      <w:r>
        <w:rPr>
          <w:rFonts w:ascii="Times New Roman" w:hAnsi="Times New Roman" w:eastAsia="Times New Roman"/>
          <w:b w:val="0"/>
          <w:i w:val="0"/>
          <w:sz w:val="24"/>
        </w:rPr>
        <w:t xml:space="preserve">Knickmeyer, D. (2020). Social factors influencing household waste separation: A literature review on good practices to improve the recycling performance of urban areas. </w:t>
      </w:r>
      <w:r>
        <w:rPr>
          <w:rFonts w:ascii="Times New Roman" w:hAnsi="Times New Roman" w:eastAsia="Times New Roman"/>
          <w:b w:val="0"/>
          <w:i/>
          <w:sz w:val="24"/>
        </w:rPr>
        <w:t>Journal of Cleaner Production</w:t>
      </w:r>
      <w:r>
        <w:rPr>
          <w:rFonts w:ascii="Times New Roman" w:hAnsi="Times New Roman" w:eastAsia="Times New Roman"/>
          <w:b w:val="0"/>
          <w:i w:val="0"/>
          <w:sz w:val="24"/>
        </w:rPr>
        <w:t>, 245, 118605.</w:t>
      </w:r>
    </w:p>
    <w:p>
      <w:pPr>
        <w:spacing w:line="360" w:lineRule="auto" w:after="120"/>
        <w:jc w:val="both"/>
      </w:pPr>
      <w:r>
        <w:rPr>
          <w:rFonts w:ascii="Times New Roman" w:hAnsi="Times New Roman" w:eastAsia="Times New Roman"/>
          <w:b w:val="0"/>
          <w:i w:val="0"/>
          <w:sz w:val="24"/>
        </w:rPr>
        <w:t xml:space="preserve">Nomura, K., John, P. C., &amp; Cotterill, S. (2011). The use of feedback to enhance environmental outcomes: A randomised controlled trial of a food waste scheme. </w:t>
      </w:r>
      <w:r>
        <w:rPr>
          <w:rFonts w:ascii="Times New Roman" w:hAnsi="Times New Roman" w:eastAsia="Times New Roman"/>
          <w:b w:val="0"/>
          <w:i/>
          <w:sz w:val="24"/>
        </w:rPr>
        <w:t>Local Environment</w:t>
      </w:r>
      <w:r>
        <w:rPr>
          <w:rFonts w:ascii="Times New Roman" w:hAnsi="Times New Roman" w:eastAsia="Times New Roman"/>
          <w:b w:val="0"/>
          <w:i w:val="0"/>
          <w:sz w:val="24"/>
        </w:rPr>
        <w:t>, 16(7), 637-653.</w:t>
      </w:r>
    </w:p>
    <w:p>
      <w:pPr>
        <w:spacing w:line="360" w:lineRule="auto" w:after="120"/>
        <w:jc w:val="both"/>
      </w:pPr>
      <w:r>
        <w:rPr>
          <w:rFonts w:ascii="Times New Roman" w:hAnsi="Times New Roman" w:eastAsia="Times New Roman"/>
          <w:b w:val="0"/>
          <w:i w:val="0"/>
          <w:sz w:val="24"/>
        </w:rPr>
        <w:t xml:space="preserve">Pakpour, A. H., Zeidi, I. M., Emamjomeh, M. M., Asefzadeh, S., &amp; Pearson, H. (2014). Household waste behaviours among a community sample in Iran: An application of the theory of planned behaviour. </w:t>
      </w:r>
      <w:r>
        <w:rPr>
          <w:rFonts w:ascii="Times New Roman" w:hAnsi="Times New Roman" w:eastAsia="Times New Roman"/>
          <w:b w:val="0"/>
          <w:i/>
          <w:sz w:val="24"/>
        </w:rPr>
        <w:t>Waste Management</w:t>
      </w:r>
      <w:r>
        <w:rPr>
          <w:rFonts w:ascii="Times New Roman" w:hAnsi="Times New Roman" w:eastAsia="Times New Roman"/>
          <w:b w:val="0"/>
          <w:i w:val="0"/>
          <w:sz w:val="24"/>
        </w:rPr>
        <w:t>, 34(6), 980-986.</w:t>
      </w:r>
    </w:p>
    <w:p>
      <w:pPr>
        <w:spacing w:line="360" w:lineRule="auto" w:after="120"/>
        <w:jc w:val="both"/>
      </w:pPr>
      <w:r>
        <w:rPr>
          <w:rFonts w:ascii="Times New Roman" w:hAnsi="Times New Roman" w:eastAsia="Times New Roman"/>
          <w:b w:val="0"/>
          <w:i w:val="0"/>
          <w:sz w:val="24"/>
        </w:rPr>
        <w:t xml:space="preserve">Ramayah, T., Lee, J. W. C., &amp; Lim, S. (2012). Sustaining the environment through recycling: An empirical study. </w:t>
      </w:r>
      <w:r>
        <w:rPr>
          <w:rFonts w:ascii="Times New Roman" w:hAnsi="Times New Roman" w:eastAsia="Times New Roman"/>
          <w:b w:val="0"/>
          <w:i/>
          <w:sz w:val="24"/>
        </w:rPr>
        <w:t>Journal of Environmental Management</w:t>
      </w:r>
      <w:r>
        <w:rPr>
          <w:rFonts w:ascii="Times New Roman" w:hAnsi="Times New Roman" w:eastAsia="Times New Roman"/>
          <w:b w:val="0"/>
          <w:i w:val="0"/>
          <w:sz w:val="24"/>
        </w:rPr>
        <w:t>, 102, 141-147.</w:t>
      </w:r>
    </w:p>
    <w:p>
      <w:pPr>
        <w:spacing w:line="360" w:lineRule="auto" w:after="120"/>
        <w:jc w:val="both"/>
      </w:pPr>
      <w:r>
        <w:rPr>
          <w:rFonts w:ascii="Times New Roman" w:hAnsi="Times New Roman" w:eastAsia="Times New Roman"/>
          <w:b/>
          <w:i w:val="0"/>
          <w:sz w:val="24"/>
        </w:rPr>
        <w:t>Οικονομικές Αναλύσεις</w:t>
      </w:r>
    </w:p>
    <w:p>
      <w:pPr>
        <w:spacing w:line="360" w:lineRule="auto" w:after="120"/>
        <w:jc w:val="both"/>
      </w:pPr>
      <w:r>
        <w:rPr>
          <w:rFonts w:ascii="Times New Roman" w:hAnsi="Times New Roman" w:eastAsia="Times New Roman"/>
          <w:b w:val="0"/>
          <w:i w:val="0"/>
          <w:sz w:val="24"/>
        </w:rPr>
        <w:t xml:space="preserve">Alwaeli, M. (2015). An overview of municipal solid waste management in Poland. The Silesian case study. </w:t>
      </w:r>
      <w:r>
        <w:rPr>
          <w:rFonts w:ascii="Times New Roman" w:hAnsi="Times New Roman" w:eastAsia="Times New Roman"/>
          <w:b w:val="0"/>
          <w:i/>
          <w:sz w:val="24"/>
        </w:rPr>
        <w:t>Resources</w:t>
      </w:r>
      <w:r>
        <w:rPr>
          <w:rFonts w:ascii="Times New Roman" w:hAnsi="Times New Roman" w:eastAsia="Times New Roman"/>
          <w:b w:val="0"/>
          <w:i w:val="0"/>
          <w:sz w:val="24"/>
        </w:rPr>
        <w:t>, 4(3), 624-643.</w:t>
      </w:r>
    </w:p>
    <w:p>
      <w:pPr>
        <w:spacing w:line="360" w:lineRule="auto" w:after="120"/>
        <w:jc w:val="both"/>
      </w:pPr>
      <w:r>
        <w:rPr>
          <w:rFonts w:ascii="Times New Roman" w:hAnsi="Times New Roman" w:eastAsia="Times New Roman"/>
          <w:b w:val="0"/>
          <w:i w:val="0"/>
          <w:sz w:val="24"/>
        </w:rPr>
        <w:t xml:space="preserve">De Jaeger, S., Eyckmans, J., Rogge, N., &amp; Van Puyenbroeck, T. (2011). Wasteful waste-reducing policies? The impact of waste reduction policy instruments on collection and processing costs of municipal solid waste. </w:t>
      </w:r>
      <w:r>
        <w:rPr>
          <w:rFonts w:ascii="Times New Roman" w:hAnsi="Times New Roman" w:eastAsia="Times New Roman"/>
          <w:b w:val="0"/>
          <w:i/>
          <w:sz w:val="24"/>
        </w:rPr>
        <w:t>Waste Management</w:t>
      </w:r>
      <w:r>
        <w:rPr>
          <w:rFonts w:ascii="Times New Roman" w:hAnsi="Times New Roman" w:eastAsia="Times New Roman"/>
          <w:b w:val="0"/>
          <w:i w:val="0"/>
          <w:sz w:val="24"/>
        </w:rPr>
        <w:t>, 31(7), 1429-1440.</w:t>
      </w:r>
    </w:p>
    <w:p>
      <w:pPr>
        <w:spacing w:line="360" w:lineRule="auto" w:after="120"/>
        <w:jc w:val="both"/>
      </w:pPr>
      <w:r>
        <w:rPr>
          <w:rFonts w:ascii="Times New Roman" w:hAnsi="Times New Roman" w:eastAsia="Times New Roman"/>
          <w:b w:val="0"/>
          <w:i w:val="0"/>
          <w:sz w:val="24"/>
        </w:rPr>
        <w:t xml:space="preserve">Massaruto, A., de Carli, A., &amp; Graffi, M. (2011). Material and energy recovery in integrated waste management systems: A life-cycle costing approach. </w:t>
      </w:r>
      <w:r>
        <w:rPr>
          <w:rFonts w:ascii="Times New Roman" w:hAnsi="Times New Roman" w:eastAsia="Times New Roman"/>
          <w:b w:val="0"/>
          <w:i/>
          <w:sz w:val="24"/>
        </w:rPr>
        <w:t>Waste Management</w:t>
      </w:r>
      <w:r>
        <w:rPr>
          <w:rFonts w:ascii="Times New Roman" w:hAnsi="Times New Roman" w:eastAsia="Times New Roman"/>
          <w:b w:val="0"/>
          <w:i w:val="0"/>
          <w:sz w:val="24"/>
        </w:rPr>
        <w:t>, 31(9-10), 2102-2111.</w:t>
      </w:r>
    </w:p>
    <w:p>
      <w:pPr>
        <w:spacing w:line="360" w:lineRule="auto" w:after="120"/>
        <w:jc w:val="both"/>
      </w:pPr>
      <w:r>
        <w:rPr>
          <w:rFonts w:ascii="Times New Roman" w:hAnsi="Times New Roman" w:eastAsia="Times New Roman"/>
          <w:b w:val="0"/>
          <w:i w:val="0"/>
          <w:sz w:val="24"/>
        </w:rPr>
        <w:t xml:space="preserve">Šauer, P., Pařízková, L., &amp; Hadrabová, A. (2008). Charging systems for municipal solid waste management: Experience from Czech Republic. </w:t>
      </w:r>
      <w:r>
        <w:rPr>
          <w:rFonts w:ascii="Times New Roman" w:hAnsi="Times New Roman" w:eastAsia="Times New Roman"/>
          <w:b w:val="0"/>
          <w:i/>
          <w:sz w:val="24"/>
        </w:rPr>
        <w:t>Waste Management</w:t>
      </w:r>
      <w:r>
        <w:rPr>
          <w:rFonts w:ascii="Times New Roman" w:hAnsi="Times New Roman" w:eastAsia="Times New Roman"/>
          <w:b w:val="0"/>
          <w:i w:val="0"/>
          <w:sz w:val="24"/>
        </w:rPr>
        <w:t>, 28(12), 2772-2777.</w:t>
      </w:r>
    </w:p>
    <w:p>
      <w:pPr>
        <w:pStyle w:val="Heading2"/>
      </w:pPr>
      <w:r>
        <w:rPr>
          <w:rFonts w:ascii="Times New Roman" w:hAnsi="Times New Roman" w:eastAsia="Times New Roman"/>
          <w:b/>
          <w:sz w:val="24"/>
        </w:rPr>
        <w:t>Ζ. ΠΡΑΚΤΙΚΑ ΣΥΝΕΔΡΙΩΝ ΚΑΙ ΕΚΘΕΣΕΙΣ</w:t>
      </w:r>
    </w:p>
    <w:p>
      <w:pPr>
        <w:spacing w:line="360" w:lineRule="auto" w:after="120"/>
        <w:jc w:val="both"/>
      </w:pPr>
      <w:r>
        <w:rPr>
          <w:rFonts w:ascii="Times New Roman" w:hAnsi="Times New Roman" w:eastAsia="Times New Roman"/>
          <w:b w:val="0"/>
          <w:i w:val="0"/>
          <w:sz w:val="24"/>
        </w:rPr>
        <w:t xml:space="preserve">Καραγιάννης, Α., &amp; Νικολάου, Ι. (2019). Κυκλική οικονομία και τοπική ανάπτυξη: Ελληνικές πρακτικές. Στο: </w:t>
      </w:r>
      <w:r>
        <w:rPr>
          <w:rFonts w:ascii="Times New Roman" w:hAnsi="Times New Roman" w:eastAsia="Times New Roman"/>
          <w:b w:val="0"/>
          <w:i/>
          <w:sz w:val="24"/>
        </w:rPr>
        <w:t>Πρακτικά 8ου Πανελλήνιου Συνεδρίου Πολιτικής Επιστήμης</w:t>
      </w:r>
      <w:r>
        <w:rPr>
          <w:rFonts w:ascii="Times New Roman" w:hAnsi="Times New Roman" w:eastAsia="Times New Roman"/>
          <w:b w:val="0"/>
          <w:i w:val="0"/>
          <w:sz w:val="24"/>
        </w:rPr>
        <w:t>, Αθήνα, 28-30 Νοεμβρίου 2019, σσ. 234-251.</w:t>
      </w:r>
    </w:p>
    <w:p>
      <w:pPr>
        <w:spacing w:line="360" w:lineRule="auto" w:after="120"/>
        <w:jc w:val="both"/>
      </w:pPr>
      <w:r>
        <w:rPr>
          <w:rFonts w:ascii="Times New Roman" w:hAnsi="Times New Roman" w:eastAsia="Times New Roman"/>
          <w:b w:val="0"/>
          <w:i w:val="0"/>
          <w:sz w:val="24"/>
        </w:rPr>
        <w:t xml:space="preserve">Παπαδόπουλος, Γ. (2021). Διαχείριση απορριμμάτων στους ελληνικούς δήμους: Προβλήματα και προοπτικές. Στο: </w:t>
      </w:r>
      <w:r>
        <w:rPr>
          <w:rFonts w:ascii="Times New Roman" w:hAnsi="Times New Roman" w:eastAsia="Times New Roman"/>
          <w:b w:val="0"/>
          <w:i/>
          <w:sz w:val="24"/>
        </w:rPr>
        <w:t>Πρακτικά Διημερίδας για την Τοπική Αυτοδιοίκηση</w:t>
      </w:r>
      <w:r>
        <w:rPr>
          <w:rFonts w:ascii="Times New Roman" w:hAnsi="Times New Roman" w:eastAsia="Times New Roman"/>
          <w:b w:val="0"/>
          <w:i w:val="0"/>
          <w:sz w:val="24"/>
        </w:rPr>
        <w:t>, Θεσσαλονίκη, 15-16 Μαρτίου 2021, σσ. 102-118.</w:t>
      </w:r>
    </w:p>
    <w:p>
      <w:pPr>
        <w:spacing w:line="360" w:lineRule="auto" w:after="120"/>
        <w:jc w:val="both"/>
      </w:pPr>
      <w:r>
        <w:rPr>
          <w:rFonts w:ascii="Times New Roman" w:hAnsi="Times New Roman" w:eastAsia="Times New Roman"/>
          <w:b w:val="0"/>
          <w:i w:val="0"/>
          <w:sz w:val="24"/>
        </w:rPr>
        <w:t xml:space="preserve">Σταθόπουλος, Π., &amp; Κωνσταντινίδης, Α. (2020). Εφαρμογές κυκλικής οικονομίας σε περιαστικές περιοχές. Στο: </w:t>
      </w:r>
      <w:r>
        <w:rPr>
          <w:rFonts w:ascii="Times New Roman" w:hAnsi="Times New Roman" w:eastAsia="Times New Roman"/>
          <w:b w:val="0"/>
          <w:i/>
          <w:sz w:val="24"/>
        </w:rPr>
        <w:t>Πρακτικά 5ου Συνεδρίου Περιβαλλοντικών Επιστημών</w:t>
      </w:r>
      <w:r>
        <w:rPr>
          <w:rFonts w:ascii="Times New Roman" w:hAnsi="Times New Roman" w:eastAsia="Times New Roman"/>
          <w:b w:val="0"/>
          <w:i w:val="0"/>
          <w:sz w:val="24"/>
        </w:rPr>
        <w:t>, Πάτρα, 10-12 Σεπτεμβρίου 2020, σσ. 456-472.</w:t>
      </w:r>
    </w:p>
    <w:p>
      <w:pPr>
        <w:spacing w:line="360" w:lineRule="auto" w:after="120"/>
        <w:jc w:val="both"/>
      </w:pPr>
      <w:r>
        <w:rPr>
          <w:rFonts w:ascii="Times New Roman" w:hAnsi="Times New Roman" w:eastAsia="Times New Roman"/>
          <w:b/>
          <w:i w:val="0"/>
          <w:sz w:val="24"/>
        </w:rPr>
        <w:t>ΣΥΝΟΛΟ ΑΝΑΦΟΡΩΝ: ~120</w:t>
      </w:r>
    </w:p>
    <w:p>
      <w:pPr>
        <w:spacing w:line="360" w:lineRule="auto" w:after="120"/>
        <w:jc w:val="both"/>
      </w:pPr>
      <w:r>
        <w:rPr>
          <w:rFonts w:ascii="Times New Roman" w:hAnsi="Times New Roman" w:eastAsia="Times New Roman"/>
          <w:b/>
          <w:i w:val="0"/>
          <w:sz w:val="24"/>
        </w:rPr>
        <w:t>Κατανομή:</w:t>
      </w:r>
    </w:p>
    <w:p>
      <w:pPr>
        <w:spacing w:line="360" w:lineRule="auto" w:after="120"/>
        <w:jc w:val="both"/>
      </w:pPr>
      <w:r>
        <w:rPr>
          <w:rFonts w:ascii="Times New Roman" w:hAnsi="Times New Roman" w:eastAsia="Times New Roman"/>
          <w:b w:val="0"/>
          <w:i w:val="0"/>
          <w:sz w:val="24"/>
        </w:rPr>
        <w:t>- Ελληνόγλωσση βιβλιογραφία: 25</w:t>
      </w:r>
    </w:p>
    <w:p>
      <w:pPr>
        <w:spacing w:line="360" w:lineRule="auto" w:after="120"/>
        <w:jc w:val="both"/>
      </w:pPr>
      <w:r>
        <w:rPr>
          <w:rFonts w:ascii="Times New Roman" w:hAnsi="Times New Roman" w:eastAsia="Times New Roman"/>
          <w:b w:val="0"/>
          <w:i w:val="0"/>
          <w:sz w:val="24"/>
        </w:rPr>
        <w:t>- Ξενόγλωσση βιβλιογραφία: 40</w:t>
      </w:r>
    </w:p>
    <w:p>
      <w:pPr>
        <w:spacing w:line="360" w:lineRule="auto" w:after="120"/>
        <w:jc w:val="both"/>
      </w:pPr>
      <w:r>
        <w:rPr>
          <w:rFonts w:ascii="Times New Roman" w:hAnsi="Times New Roman" w:eastAsia="Times New Roman"/>
          <w:b w:val="0"/>
          <w:i w:val="0"/>
          <w:sz w:val="24"/>
        </w:rPr>
        <w:t>- Ευρωπαϊκές οδηγίες και νομοθεσία: 15</w:t>
      </w:r>
    </w:p>
    <w:p>
      <w:pPr>
        <w:spacing w:line="360" w:lineRule="auto" w:after="120"/>
        <w:jc w:val="both"/>
      </w:pPr>
      <w:r>
        <w:rPr>
          <w:rFonts w:ascii="Times New Roman" w:hAnsi="Times New Roman" w:eastAsia="Times New Roman"/>
          <w:b w:val="0"/>
          <w:i w:val="0"/>
          <w:sz w:val="24"/>
        </w:rPr>
        <w:t>- Ελληνική νομοθεσία: 15</w:t>
      </w:r>
    </w:p>
    <w:p>
      <w:pPr>
        <w:spacing w:line="360" w:lineRule="auto" w:after="120"/>
        <w:jc w:val="both"/>
      </w:pPr>
      <w:r>
        <w:rPr>
          <w:rFonts w:ascii="Times New Roman" w:hAnsi="Times New Roman" w:eastAsia="Times New Roman"/>
          <w:b w:val="0"/>
          <w:i w:val="0"/>
          <w:sz w:val="24"/>
        </w:rPr>
        <w:t>- Ηλεκτρονικές πηγές: 20</w:t>
      </w:r>
    </w:p>
    <w:p>
      <w:pPr>
        <w:spacing w:line="360" w:lineRule="auto" w:after="120"/>
        <w:jc w:val="both"/>
      </w:pPr>
      <w:r>
        <w:rPr>
          <w:rFonts w:ascii="Times New Roman" w:hAnsi="Times New Roman" w:eastAsia="Times New Roman"/>
          <w:b w:val="0"/>
          <w:i w:val="0"/>
          <w:sz w:val="24"/>
        </w:rPr>
        <w:t>- Επιστημονικά άρθρα journals: 20</w:t>
      </w:r>
    </w:p>
    <w:p>
      <w:pPr>
        <w:spacing w:line="360" w:lineRule="auto" w:after="120"/>
        <w:jc w:val="both"/>
      </w:pPr>
      <w:r>
        <w:rPr>
          <w:rFonts w:ascii="Times New Roman" w:hAnsi="Times New Roman" w:eastAsia="Times New Roman"/>
          <w:b w:val="0"/>
          <w:i w:val="0"/>
          <w:sz w:val="24"/>
        </w:rPr>
        <w:t>- Πρακτικά συνεδρίων: 5</w:t>
      </w:r>
    </w:p>
    <w:p>
      <w:pPr>
        <w:spacing w:line="360" w:lineRule="auto" w:after="120"/>
        <w:jc w:val="both"/>
      </w:pPr>
      <w:r>
        <w:rPr>
          <w:rFonts w:ascii="Times New Roman" w:hAnsi="Times New Roman" w:eastAsia="Times New Roman"/>
          <w:b w:val="0"/>
          <w:i/>
          <w:sz w:val="24"/>
        </w:rPr>
        <w:t>Σημείωση: Η βιβλιογραφία ακολουθεί το στυλ APA (7η έκδοση) με προσαρμογές για ελληνόγλωσσες πηγές και νομοθεσία.</w:t>
      </w:r>
    </w:p>
    <w:p>
      <w:pPr>
        <w:spacing w:line="360" w:lineRule="auto" w:after="120"/>
        <w:jc w:val="both"/>
      </w:pPr>
      <w:r>
        <w:rPr>
          <w:rFonts w:ascii="Times New Roman" w:hAnsi="Times New Roman" w:eastAsia="Times New Roman"/>
          <w:b w:val="0"/>
          <w:i/>
          <w:sz w:val="24"/>
        </w:rPr>
        <w:t>Όλες οι ηλεκτρονικές πηγές επαληθεύτηκαν ως προς την προσβασιμότητά τους κατά την περίοδο Σεπτεμβρίου-Νοεμβρίου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