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Phase 2 Report: Workflow 1 at Pipeline Scale (13 Files)</w:t>
      </w:r>
    </w:p>
    <w:p>
      <w:pPr/>
      <w:r>
        <w:t xml:space="preserve">Oct 3, 2026</w:t>
      </w:r>
      <w:r>
        <w:t xml:space="preserve"> · </w:t>
      </w:r>
      <w:r>
        <w:t xml:space="preserve">@Danny</w:t>
      </w:r>
    </w:p>
    <w:p>
      <w:pPr>
        <w:pStyle w:val="Heading2"/>
      </w:pPr>
      <w:r>
        <w:t xml:space="preserve">Summary</w:t>
      </w:r>
    </w:p>
    <w:p>
      <w:pPr/>
      <w:r>
        <w:t xml:space="preserve">Workflow 1 (one prompt with acceptance criteria, no plan review) converted the whole metadata pipeline to TypeScript: the 3 files in </w:t>
      </w:r>
      <w:r>
        <w:rPr>
          <w:rStyle w:val="CodeChar"/>
        </w:rPr>
        <w:t xml:space="preserve">server/finders/</w:t>
      </w:r>
      <w:r>
        <w:t xml:space="preserve">, the 9 files in </w:t>
      </w:r>
      <w:r>
        <w:rPr>
          <w:rStyle w:val="CodeChar"/>
        </w:rPr>
        <w:t xml:space="preserve">server/providers/</w:t>
      </w:r>
      <w:r>
        <w:t xml:space="preserve"> and </w:t>
      </w:r>
      <w:r>
        <w:rPr>
          <w:rStyle w:val="CodeChar"/>
        </w:rPr>
        <w:t xml:space="preserve">server/controllers/SearchController.js</w:t>
      </w:r>
      <w:r>
        <w:t xml:space="preserve">, 13 files in total. After the run, </w:t>
      </w:r>
      <w:r>
        <w:rPr>
          <w:rStyle w:val="CodeChar"/>
        </w:rPr>
        <w:t xml:space="preserve">npm run build:server</w:t>
      </w:r>
      <w:r>
        <w:t xml:space="preserve"> reports 0 "error TS", </w:t>
      </w:r>
      <w:r>
        <w:rPr>
          <w:rStyle w:val="CodeChar"/>
        </w:rPr>
        <w:t xml:space="preserve">npm test</w:t>
      </w:r>
      <w:r>
        <w:t xml:space="preserve"> shows 356 passing, no test file was modified, and there are no </w:t>
      </w:r>
      <w:r>
        <w:rPr>
          <w:rStyle w:val="CodeChar"/>
        </w:rPr>
        <w:t xml:space="preserve">any</w:t>
      </w:r>
      <w:r>
        <w:t xml:space="preserve"> types or </w:t>
      </w:r>
      <w:r>
        <w:rPr>
          <w:rStyle w:val="CodeChar"/>
        </w:rPr>
        <w:t xml:space="preserve">@ts-*</w:t>
      </w:r>
      <w:r>
        <w:t xml:space="preserve"> comments. The session cost $3.61 (tool-reported), with 10m27s of API time. The result is committed as </w:t>
      </w:r>
      <w:r>
        <w:rPr>
          <w:rStyle w:val="CodeChar"/>
        </w:rPr>
        <w:t xml:space="preserve">be5e9e44</w:t>
      </w:r>
      <w:r>
        <w:t xml:space="preserve"> on </w:t>
      </w:r>
      <w:r>
        <w:rPr>
          <w:rStyle w:val="CodeChar"/>
        </w:rPr>
        <w:t xml:space="preserve">danny/phase2</w:t>
      </w:r>
      <w:r>
        <w:t xml:space="preserve">.</w:t>
      </w:r>
    </w:p>
    <w:p>
      <w:pPr/>
      <w:r>
        <w:t xml:space="preserve">Compared with Phase 1 (3 files, $1.70), the scope grew about four times and the cost about two times, and the outcome did not change. The one new finding is how the agent handled the boundary between finders and providers: it wrote a shared </w:t>
      </w:r>
      <w:r>
        <w:rPr>
          <w:rStyle w:val="CodeChar"/>
        </w:rPr>
        <w:t xml:space="preserve">types.ts</w:t>
      </w:r>
      <w:r>
        <w:t xml:space="preserve"> instead of wrapping each provider call in a cast as Phase 1 did. It also changed the semantics of three </w:t>
      </w:r>
      <w:r>
        <w:rPr>
          <w:rStyle w:val="CodeChar"/>
        </w:rPr>
        <w:t xml:space="preserve">errorCode</w:t>
      </w:r>
      <w:r>
        <w:t xml:space="preserve"> checks, which is equivalent only because of how the providers are written today.</w:t>
      </w:r>
    </w:p>
    <w:p>
      <w:pPr>
        <w:pStyle w:val="Heading2"/>
      </w:pPr>
      <w:r>
        <w:t xml:space="preserve">Setup and baseline</w:t>
      </w:r>
    </w:p>
    <w:p>
      <w:pPr/>
      <w:r>
        <w:t xml:space="preserve">The run started from the same baseline commit as Phase 1, </w:t>
      </w:r>
      <w:r>
        <w:rPr>
          <w:rStyle w:val="CodeChar"/>
        </w:rPr>
        <w:t xml:space="preserve">7d10b8fc</w:t>
      </w:r>
      <w:r>
        <w:t xml:space="preserve"> (Audiobookshelf v2.37.0), on a new branch </w:t>
      </w:r>
      <w:r>
        <w:rPr>
          <w:rStyle w:val="CodeChar"/>
        </w:rPr>
        <w:t xml:space="preserve">danny/phase2</w:t>
      </w:r>
      <w:r>
        <w:t xml:space="preserve"> created from that commit, not from </w:t>
      </w:r>
      <w:r>
        <w:rPr>
          <w:rStyle w:val="CodeChar"/>
        </w:rPr>
        <w:t xml:space="preserve">danny/phase1</w:t>
      </w:r>
      <w:r>
        <w:t xml:space="preserve">. The working tree was clean.</w:t>
      </w:r>
    </w:p>
    <w:p>
      <w:pPr>
        <w:pStyle w:val="ListParagraph"/>
        <w:numPr>
          <w:ilvl w:val="0"/>
          <w:numId w:val="2"/>
        </w:numPr>
      </w:pPr>
      <w:r>
        <w:rPr>
          <w:b/>
        </w:rPr>
        <w:t xml:space="preserve">Tool and model:</w:t>
      </w:r>
      <w:r>
        <w:t xml:space="preserve"> Claude Code, Opus 5.5, medium effort, no plugins. No plan document or context file was given to the agent in the prompt.</w:t>
      </w:r>
    </w:p>
    <w:p>
      <w:pPr>
        <w:pStyle w:val="ListParagraph"/>
        <w:numPr>
          <w:ilvl w:val="0"/>
          <w:numId w:val="2"/>
        </w:numPr>
      </w:pPr>
      <w:r>
        <w:rPr>
          <w:b/>
        </w:rPr>
        <w:t xml:space="preserve">Baseline:</w:t>
      </w:r>
      <w:r>
        <w:t xml:space="preserve"> </w:t>
      </w:r>
      <w:r>
        <w:rPr>
          <w:rStyle w:val="CodeChar"/>
        </w:rPr>
        <w:t xml:space="preserve">npm test</w:t>
      </w:r>
      <w:r>
        <w:t xml:space="preserve"> gives 356 passing (</w:t>
      </w:r>
      <w:r>
        <w:rPr>
          <w:rStyle w:val="CodeChar"/>
        </w:rPr>
        <w:t xml:space="preserve">baseline-test.txt</w:t>
      </w:r>
      <w:r>
        <w:t xml:space="preserve">) and </w:t>
      </w:r>
      <w:r>
        <w:rPr>
          <w:rStyle w:val="CodeChar"/>
        </w:rPr>
        <w:t xml:space="preserve">tsc --noEmit</w:t>
      </w:r>
      <w:r>
        <w:t xml:space="preserve"> reports 0 errors (</w:t>
      </w:r>
      <w:r>
        <w:rPr>
          <w:rStyle w:val="CodeChar"/>
        </w:rPr>
        <w:t xml:space="preserve">baseline-tsc-errors.txt</w:t>
      </w:r>
      <w:r>
        <w:t xml:space="preserve">). The compiler settings are the same as in Phase 1: </w:t>
      </w:r>
      <w:r>
        <w:rPr>
          <w:rStyle w:val="CodeChar"/>
        </w:rPr>
        <w:t xml:space="preserve">strict</w:t>
      </w:r>
      <w:r>
        <w:t xml:space="preserve">, </w:t>
      </w:r>
      <w:r>
        <w:rPr>
          <w:rStyle w:val="CodeChar"/>
        </w:rPr>
        <w:t xml:space="preserve">allowJs</w:t>
      </w:r>
      <w:r>
        <w:t xml:space="preserve"> and </w:t>
      </w:r>
      <w:r>
        <w:rPr>
          <w:rStyle w:val="CodeChar"/>
        </w:rPr>
        <w:t xml:space="preserve">noEmitOnError</w:t>
      </w:r>
      <w:r>
        <w:t xml:space="preserve"> are on, so one type error blocks all output and all tests.</w:t>
      </w:r>
    </w:p>
    <w:p>
      <w:pPr>
        <w:pStyle w:val="ListParagraph"/>
        <w:numPr>
          <w:ilvl w:val="0"/>
          <w:numId w:val="2"/>
        </w:numPr>
      </w:pPr>
      <w:r>
        <w:rPr>
          <w:b/>
        </w:rPr>
        <w:t xml:space="preserve">Scope:</w:t>
      </w:r>
      <w:r>
        <w:t xml:space="preserve"> 13 files: </w:t>
      </w:r>
      <w:r>
        <w:rPr>
          <w:rStyle w:val="CodeChar"/>
        </w:rPr>
        <w:t xml:space="preserve">server/finders/</w:t>
      </w:r>
      <w:r>
        <w:t xml:space="preserve"> (AuthorFinder, BookFinder, PodcastFinder), </w:t>
      </w:r>
      <w:r>
        <w:rPr>
          <w:rStyle w:val="CodeChar"/>
        </w:rPr>
        <w:t xml:space="preserve">server/providers/</w:t>
      </w:r>
      <w:r>
        <w:t xml:space="preserve"> (Audible, AudiobookCovers, Audnexus, CustomProviderAdapter, FantLab, GoogleBooks, iTunes, MusicBrainz, OpenLibrary) and </w:t>
      </w:r>
      <w:r>
        <w:rPr>
          <w:rStyle w:val="CodeChar"/>
        </w:rPr>
        <w:t xml:space="preserve">server/controllers/SearchController.js</w:t>
      </w:r>
      <w:r>
        <w:t xml:space="preserve">. The group plan puts this at about 2.5k lines; after conversion the same files hold 2,524 lines of TypeScript, including a new 43-line </w:t>
      </w:r>
      <w:r>
        <w:rPr>
          <w:rStyle w:val="CodeChar"/>
        </w:rPr>
        <w:t xml:space="preserve">types.ts</w:t>
      </w:r>
      <w:r>
        <w:t xml:space="preserve">.</w:t>
      </w:r>
    </w:p>
    <w:p>
      <w:pPr/>
      <w:r>
        <w:t xml:space="preserve">Progress is measured as in Phase 1: files converted out of 13, strict type errors from </w:t>
      </w:r>
      <w:r>
        <w:rPr>
          <w:rStyle w:val="CodeChar"/>
        </w:rPr>
        <w:t xml:space="preserve">tsc</w:t>
      </w:r>
      <w:r>
        <w:t xml:space="preserve">, tests passing out of 356, test files modified, the number of </w:t>
      </w:r>
      <w:r>
        <w:rPr>
          <w:rStyle w:val="CodeChar"/>
        </w:rPr>
        <w:t xml:space="preserve">any</w:t>
      </w:r>
      <w:r>
        <w:t xml:space="preserve"> and </w:t>
      </w:r>
      <w:r>
        <w:rPr>
          <w:rStyle w:val="CodeChar"/>
        </w:rPr>
        <w:t xml:space="preserve">@ts-*</w:t>
      </w:r>
      <w:r>
        <w:t xml:space="preserve"> escapes, and whether the compiled JavaScript behaves the same as the baseline's. I added one more check, because the scope now includes both sides of the finder and provider boundary: how that boundary is typed.</w:t>
      </w:r>
    </w:p>
    <w:p>
      <w:pPr>
        <w:pStyle w:val="Heading2"/>
      </w:pPr>
      <w:r>
        <w:t xml:space="preserve">Workflow 1 as run</w:t>
      </w:r>
    </w:p>
    <w:p>
      <w:pPr/>
      <w:r>
        <w:t xml:space="preserve">This is the same workflow as Phase 1: the agent gets the goal and acceptance criteria, plans for itself and implements, with no plan review and no milestones. Only the scope and the file list changed. The prompt, saved in </w:t>
      </w:r>
      <w:r>
        <w:rPr>
          <w:rStyle w:val="CodeChar"/>
        </w:rPr>
        <w:t xml:space="preserve">prompt.txt</w:t>
      </w:r>
      <w:r>
        <w:t xml:space="preserve"> before the run, is the first and only message I sent to the agent:</w:t>
      </w:r>
    </w:p>
    <w:p>
      <w:pPr>
        <w:pStyle w:val="Code"/>
      </w:pPr>
      <w:bookmarkStart w:id="1" w:name="bongo_lang_text_1"/>
      <w:bookmarkEnd w:id="1"/>
      <w:r>
        <w:t xml:space="preserve">Convert the metadata pipeline to TypeScript: server/finders/*.js (3 files), server/providers/*.js (9 files) and server/controllers/SearchController.js.</w:t>
        <w:br/>
        <w:t xml:space="preserve">Keep everything else in the repo as it is.</w:t>
        <w:br/>
        <w:t xml:space="preserve">Acceptance criteria:</w:t>
        <w:br/>
        <w:t xml:space="preserve">1. `npm run build:server` reports 0 "error TS".</w:t>
        <w:br/>
        <w:t xml:space="preserve">2. `npm test` shows 356 passing, 0 failing.</w:t>
        <w:br/>
        <w:t xml:space="preserve">3. No existing test is edited, skipped or deleted.</w:t>
        <w:br/>
        <w:t xml:space="preserve">4. Runtime behaviour is unchanged. Do not fix bugs you find, list them instead.</w:t>
        <w:br/>
        <w:t xml:space="preserve">5. Avoid blanket `any`; use meaningful types.</w:t>
        <w:br/>
        <w:t xml:space="preserve">Plan the work yourself and implement it end to end without waiting for my approval. Report when done.</w:t>
      </w:r>
    </w:p>
    <w:p>
      <w:pPr/>
      <w:r>
        <w:t xml:space="preserve">I left while the agent ran. According to the transcript, the prompt was sent at 02:24:07 UTC (15:24:07 local) and the agent's final report is timestamped 15:35:14, so the agent worked for about 11 minutes. It made 43 tool calls: 27 shell commands, 2 file reads, 13 file writes and 1 edit. The only other entry in the transcript is an </w:t>
      </w:r>
      <w:r>
        <w:rPr>
          <w:rStyle w:val="CodeChar"/>
        </w:rPr>
        <w:t xml:space="preserve">/effort</w:t>
      </w:r>
      <w:r>
        <w:t xml:space="preserve"> command I ran at 16:09:19, after the agent had finished, which I cancelled without changing anything. </w:t>
      </w:r>
      <w:r>
        <w:rPr>
          <w:rStyle w:val="CodeChar"/>
        </w:rPr>
        <w:t xml:space="preserve">/usage</w:t>
      </w:r>
      <w:r>
        <w:t xml:space="preserve"> reports 49m40s of wall time because it includes the time I was away.</w:t>
      </w:r>
    </w:p>
    <w:p>
      <w:pPr/>
      <w:r>
        <w:t xml:space="preserve">Before checking, I committed the result as </w:t>
      </w:r>
      <w:r>
        <w:rPr>
          <w:rStyle w:val="CodeChar"/>
        </w:rPr>
        <w:t xml:space="preserve">be5e9e44</w:t>
      </w:r>
      <w:r>
        <w:t xml:space="preserve">. I then verified it myself and did not rely on the agent's report: a fresh </w:t>
      </w:r>
      <w:r>
        <w:rPr>
          <w:rStyle w:val="CodeChar"/>
        </w:rPr>
        <w:t xml:space="preserve">npm test</w:t>
      </w:r>
      <w:r>
        <w:t xml:space="preserve">, a </w:t>
      </w:r>
      <w:r>
        <w:rPr>
          <w:rStyle w:val="CodeChar"/>
        </w:rPr>
        <w:t xml:space="preserve">tsc --noEmit</w:t>
      </w:r>
      <w:r>
        <w:t xml:space="preserve"> error count, </w:t>
      </w:r>
      <w:r>
        <w:rPr>
          <w:rStyle w:val="CodeChar"/>
        </w:rPr>
        <w:t xml:space="preserve">git diff</w:t>
      </w:r>
      <w:r>
        <w:t xml:space="preserve"> against the baseline for scope and test files, a search for </w:t>
      </w:r>
      <w:r>
        <w:rPr>
          <w:rStyle w:val="CodeChar"/>
        </w:rPr>
        <w:t xml:space="preserve">any</w:t>
      </w:r>
      <w:r>
        <w:t xml:space="preserve"> and </w:t>
      </w:r>
      <w:r>
        <w:rPr>
          <w:rStyle w:val="CodeChar"/>
        </w:rPr>
        <w:t xml:space="preserve">@ts-*</w:t>
      </w:r>
      <w:r>
        <w:t xml:space="preserve">, and a diff of the compiled JavaScript for all 13 files against the baseline, which I built in a separate worktree. I read all 13 diffs.</w:t>
      </w:r>
    </w:p>
    <w:p>
      <w:pPr>
        <w:pStyle w:val="Heading2"/>
      </w:pPr>
      <w:r>
        <w:t xml:space="preserve">Results</w:t>
      </w:r>
    </w:p>
    <w:p>
      <w:pPr/>
      <w:r>
        <w:t xml:space="preserve">Every acceptance criterion that a tool can check held when I re-measured it. I also found no behaviour change in the compiled diff, with four details to note in the Analysis.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Check</w:t>
            </w:r>
          </w:p>
        </w:tc>
        <w:tc>
          <w:tcPr>
            <w:tcW w:w="3120" w:type="dxa"/>
            <w:shd w:val="clear" w:color="auto" w:fill="F2F2F2"/>
          </w:tcPr>
          <w:p>
            <w:pPr/>
            <w:r>
              <w:t xml:space="preserve">Agent's report</w:t>
            </w:r>
          </w:p>
        </w:tc>
        <w:tc>
          <w:tcPr>
            <w:tcW w:w="3120" w:type="dxa"/>
            <w:shd w:val="clear" w:color="auto" w:fill="F2F2F2"/>
          </w:tcPr>
          <w:p>
            <w:pPr/>
            <w:r>
              <w:t xml:space="preserve">My measurement</w:t>
            </w:r>
          </w:p>
        </w:tc>
      </w:tr>
      <w:tr>
        <w:tc>
          <w:tcPr>
            <w:tcW w:w="3120" w:type="dxa"/>
          </w:tcPr>
          <w:p>
            <w:pPr/>
            <w:r>
              <w:t xml:space="preserve">Files converted</w:t>
            </w:r>
          </w:p>
        </w:tc>
        <w:tc>
          <w:tcPr>
            <w:tcW w:w="3120" w:type="dxa"/>
          </w:tcPr>
          <w:p>
            <w:pPr/>
            <w:r>
              <w:t xml:space="preserve">all 13</w:t>
            </w:r>
          </w:p>
        </w:tc>
        <w:tc>
          <w:tcPr>
            <w:tcW w:w="3120" w:type="dxa"/>
          </w:tcPr>
          <w:p>
            <w:pPr/>
            <w:r>
              <w:t xml:space="preserve">13 of 13 (13 renames in </w:t>
            </w:r>
            <w:r>
              <w:rPr>
                <w:rStyle w:val="CodeChar"/>
              </w:rPr>
              <w:t xml:space="preserve">git status</w:t>
            </w:r>
            <w:r>
              <w:t xml:space="preserve">; </w:t>
            </w:r>
            <w:r>
              <w:rPr>
                <w:rStyle w:val="CodeChar"/>
              </w:rPr>
              <w:t xml:space="preserve">progress.log</w:t>
            </w:r>
            <w:r>
              <w:t xml:space="preserve"> shows </w:t>
            </w:r>
            <w:r>
              <w:rPr>
                <w:rStyle w:val="CodeChar"/>
              </w:rPr>
              <w:t xml:space="preserve">ts=14</w:t>
            </w:r>
            <w:r>
              <w:t xml:space="preserve">, </w:t>
            </w:r>
            <w:r>
              <w:rPr>
                <w:rStyle w:val="CodeChar"/>
              </w:rPr>
              <w:t xml:space="preserve">js=0</w:t>
            </w:r>
            <w:r>
              <w:t xml:space="preserve">, with </w:t>
            </w:r>
            <w:r>
              <w:rPr>
                <w:rStyle w:val="CodeChar"/>
              </w:rPr>
              <w:t xml:space="preserve">types.ts</w:t>
            </w:r>
            <w:r>
              <w:t xml:space="preserve">)</w:t>
            </w:r>
          </w:p>
        </w:tc>
      </w:tr>
      <w:tr>
        <w:tc>
          <w:tcPr>
            <w:tcW w:w="3120" w:type="dxa"/>
          </w:tcPr>
          <w:p>
            <w:pPr/>
            <w:r>
              <w:t xml:space="preserve">Strict type errors</w:t>
            </w:r>
          </w:p>
        </w:tc>
        <w:tc>
          <w:tcPr>
            <w:tcW w:w="3120" w:type="dxa"/>
          </w:tcPr>
          <w:p>
            <w:pPr/>
            <w:r>
              <w:t xml:space="preserve">0</w:t>
            </w:r>
          </w:p>
        </w:tc>
        <w:tc>
          <w:tcPr>
            <w:tcW w:w="3120" w:type="dxa"/>
          </w:tcPr>
          <w:p>
            <w:pPr/>
            <w:r>
              <w:t xml:space="preserve">0 (</w:t>
            </w:r>
            <w:r>
              <w:rPr>
                <w:rStyle w:val="CodeChar"/>
              </w:rPr>
              <w:t xml:space="preserve">phase2-verification.txt</w:t>
            </w:r>
            <w:r>
              <w:t xml:space="preserve">)</w:t>
            </w:r>
          </w:p>
        </w:tc>
      </w:tr>
      <w:tr>
        <w:tc>
          <w:tcPr>
            <w:tcW w:w="3120" w:type="dxa"/>
          </w:tcPr>
          <w:p>
            <w:pPr/>
            <w:r>
              <w:t xml:space="preserve">Tests</w:t>
            </w:r>
          </w:p>
        </w:tc>
        <w:tc>
          <w:tcPr>
            <w:tcW w:w="3120" w:type="dxa"/>
          </w:tcPr>
          <w:p>
            <w:pPr/>
            <w:r>
              <w:t xml:space="preserve">356 passing, 0 failing</w:t>
            </w:r>
          </w:p>
        </w:tc>
        <w:tc>
          <w:tcPr>
            <w:tcW w:w="3120" w:type="dxa"/>
          </w:tcPr>
          <w:p>
            <w:pPr/>
            <w:r>
              <w:t xml:space="preserve">356 passing, no failing line (</w:t>
            </w:r>
            <w:r>
              <w:rPr>
                <w:rStyle w:val="CodeChar"/>
              </w:rPr>
              <w:t xml:space="preserve">phase2-final-test.txt</w:t>
            </w:r>
            <w:r>
              <w:t xml:space="preserve">)</w:t>
            </w:r>
          </w:p>
        </w:tc>
      </w:tr>
      <w:tr>
        <w:tc>
          <w:tcPr>
            <w:tcW w:w="3120" w:type="dxa"/>
          </w:tcPr>
          <w:p>
            <w:pPr/>
            <w:r>
              <w:t xml:space="preserve">Test files changed</w:t>
            </w:r>
          </w:p>
        </w:tc>
        <w:tc>
          <w:tcPr>
            <w:tcW w:w="3120" w:type="dxa"/>
          </w:tcPr>
          <w:p>
            <w:pPr/>
            <w:r>
              <w:t xml:space="preserve">none</w:t>
            </w:r>
          </w:p>
        </w:tc>
        <w:tc>
          <w:tcPr>
            <w:tcW w:w="3120" w:type="dxa"/>
          </w:tcPr>
          <w:p>
            <w:pPr/>
            <w:r>
              <w:t xml:space="preserve">none (diff of </w:t>
            </w:r>
            <w:r>
              <w:rPr>
                <w:rStyle w:val="CodeChar"/>
              </w:rPr>
              <w:t xml:space="preserve">test/</w:t>
            </w:r>
            <w:r>
              <w:t xml:space="preserve"> against the baseline is empty)</w:t>
            </w:r>
          </w:p>
        </w:tc>
      </w:tr>
      <w:tr>
        <w:tc>
          <w:tcPr>
            <w:tcW w:w="3120" w:type="dxa"/>
          </w:tcPr>
          <w:p>
            <w:pPr/>
            <w:r>
              <w:t xml:space="preserve">Files changed</w:t>
            </w:r>
          </w:p>
        </w:tc>
        <w:tc>
          <w:tcPr>
            <w:tcW w:w="3120" w:type="dxa"/>
          </w:tcPr>
          <w:p>
            <w:pPr/>
            <w:r>
              <w:t xml:space="preserve">the 13 files plus a new </w:t>
            </w:r>
            <w:r>
              <w:rPr>
                <w:rStyle w:val="CodeChar"/>
              </w:rPr>
              <w:t xml:space="preserve">types.ts</w:t>
            </w:r>
          </w:p>
        </w:tc>
        <w:tc>
          <w:tcPr>
            <w:tcW w:w="3120" w:type="dxa"/>
          </w:tcPr>
          <w:p>
            <w:pPr/>
            <w:r>
              <w:t xml:space="preserve">16 entries in the diff stat: 11 renames, MusicBrainz and OpenLibrary each shown as a delete plus an add, and </w:t>
            </w:r>
            <w:r>
              <w:rPr>
                <w:rStyle w:val="CodeChar"/>
              </w:rPr>
              <w:t xml:space="preserve">types.ts</w:t>
            </w:r>
            <w:r>
              <w:t xml:space="preserve">; 1,012 insertions and 659 deletions</w:t>
            </w:r>
          </w:p>
        </w:tc>
      </w:tr>
      <w:tr>
        <w:tc>
          <w:tcPr>
            <w:tcW w:w="3120" w:type="dxa"/>
          </w:tcPr>
          <w:p>
            <w:pPr/>
            <w:r>
              <w:rPr>
                <w:rStyle w:val="CodeChar"/>
              </w:rPr>
              <w:t xml:space="preserve">any</w:t>
            </w:r>
            <w:r>
              <w:t xml:space="preserve"> and </w:t>
            </w:r>
            <w:r>
              <w:rPr>
                <w:rStyle w:val="CodeChar"/>
              </w:rPr>
              <w:t xml:space="preserve">@ts-*</w:t>
            </w:r>
          </w:p>
        </w:tc>
        <w:tc>
          <w:tcPr>
            <w:tcW w:w="3120" w:type="dxa"/>
          </w:tcPr>
          <w:p>
            <w:pPr/>
            <w:r>
              <w:t xml:space="preserve">no </w:t>
            </w:r>
            <w:r>
              <w:rPr>
                <w:rStyle w:val="CodeChar"/>
              </w:rPr>
              <w:t xml:space="preserve">any</w:t>
            </w:r>
            <w:r>
              <w:t xml:space="preserve"> annotations</w:t>
            </w:r>
          </w:p>
        </w:tc>
        <w:tc>
          <w:tcPr>
            <w:tcW w:w="3120" w:type="dxa"/>
          </w:tcPr>
          <w:p>
            <w:pPr/>
            <w:r>
              <w:t xml:space="preserve">0 </w:t>
            </w:r>
            <w:r>
              <w:rPr>
                <w:rStyle w:val="CodeChar"/>
              </w:rPr>
              <w:t xml:space="preserve">any</w:t>
            </w:r>
            <w:r>
              <w:t xml:space="preserve"> types, 0 </w:t>
            </w:r>
            <w:r>
              <w:rPr>
                <w:rStyle w:val="CodeChar"/>
              </w:rPr>
              <w:t xml:space="preserve">@ts-*</w:t>
            </w:r>
            <w:r>
              <w:t xml:space="preserve"> comments; </w:t>
            </w:r>
            <w:r>
              <w:rPr>
                <w:rStyle w:val="CodeChar"/>
              </w:rPr>
              <w:t xml:space="preserve">BookFinder.ts</w:t>
            </w:r>
            <w:r>
              <w:t xml:space="preserve"> has 3 </w:t>
            </w:r>
            <w:r>
              <w:rPr>
                <w:rStyle w:val="CodeChar"/>
              </w:rPr>
              <w:t xml:space="preserve">as</w:t>
            </w:r>
            <w:r>
              <w:t xml:space="preserve"> casts (lines 87, 173, 609), one of them </w:t>
            </w:r>
            <w:r>
              <w:rPr>
                <w:rStyle w:val="CodeChar"/>
              </w:rPr>
              <w:t xml:space="preserve">as unknown as string</w:t>
            </w:r>
          </w:p>
        </w:tc>
      </w:tr>
      <w:tr>
        <w:tc>
          <w:tcPr>
            <w:tcW w:w="3120" w:type="dxa"/>
          </w:tcPr>
          <w:p>
            <w:pPr/>
            <w:r>
              <w:t xml:space="preserve">New </w:t>
            </w:r>
            <w:r>
              <w:rPr>
                <w:rStyle w:val="CodeChar"/>
              </w:rPr>
              <w:t xml:space="preserve">types.ts</w:t>
            </w:r>
          </w:p>
        </w:tc>
        <w:tc>
          <w:tcPr>
            <w:tcW w:w="3120" w:type="dxa"/>
          </w:tcPr>
          <w:p>
            <w:pPr/>
            <w:r>
              <w:t xml:space="preserve">only types</w:t>
            </w:r>
          </w:p>
        </w:tc>
        <w:tc>
          <w:tcPr>
            <w:tcW w:w="3120" w:type="dxa"/>
          </w:tcPr>
          <w:p>
            <w:pPr/>
            <w:r>
              <w:t xml:space="preserve">43 lines containing only interface declarations (</w:t>
            </w:r>
            <w:r>
              <w:rPr>
                <w:rStyle w:val="CodeChar"/>
              </w:rPr>
              <w:t xml:space="preserve">SeriesResult</w:t>
            </w:r>
            <w:r>
              <w:t xml:space="preserve">, </w:t>
            </w:r>
            <w:r>
              <w:rPr>
                <w:rStyle w:val="CodeChar"/>
              </w:rPr>
              <w:t xml:space="preserve">ProviderError</w:t>
            </w:r>
            <w:r>
              <w:t xml:space="preserve">, </w:t>
            </w:r>
            <w:r>
              <w:rPr>
                <w:rStyle w:val="CodeChar"/>
              </w:rPr>
              <w:t xml:space="preserve">BookSearchResult</w:t>
            </w:r>
            <w:r>
              <w:t xml:space="preserve">), imported with </w:t>
            </w:r>
            <w:r>
              <w:rPr>
                <w:rStyle w:val="CodeChar"/>
              </w:rPr>
              <w:t xml:space="preserve">import type</w:t>
            </w:r>
            <w:r>
              <w:t xml:space="preserve"> by 4 files</w:t>
            </w:r>
          </w:p>
        </w:tc>
      </w:tr>
      <w:tr>
        <w:tc>
          <w:tcPr>
            <w:tcW w:w="3120" w:type="dxa"/>
          </w:tcPr>
          <w:p>
            <w:pPr/>
            <w:r>
              <w:t xml:space="preserve">Behaviour unchanged</w:t>
            </w:r>
          </w:p>
        </w:tc>
        <w:tc>
          <w:tcPr>
            <w:tcW w:w="3120" w:type="dxa"/>
          </w:tcPr>
          <w:p>
            <w:pPr/>
            <w:r>
              <w:t xml:space="preserve">every difference does the same at runtime</w:t>
            </w:r>
          </w:p>
        </w:tc>
        <w:tc>
          <w:tcPr>
            <w:tcW w:w="3120" w:type="dxa"/>
          </w:tcPr>
          <w:p>
            <w:pPr/>
            <w:r>
              <w:t xml:space="preserve">no behaviour change found in 13 compiled diffs; see Analysis</w:t>
            </w:r>
          </w:p>
        </w:tc>
      </w:tr>
      <w:tr>
        <w:tc>
          <w:tcPr>
            <w:tcW w:w="3120" w:type="dxa"/>
          </w:tcPr>
          <w:p>
            <w:pPr/>
            <w:r>
              <w:t xml:space="preserve">Bugs found, not fixed</w:t>
            </w:r>
          </w:p>
        </w:tc>
        <w:tc>
          <w:tcPr>
            <w:tcW w:w="3120" w:type="dxa"/>
          </w:tcPr>
          <w:p>
            <w:pPr/>
            <w:r>
              <w:t xml:space="preserve">11 listed</w:t>
            </w:r>
          </w:p>
        </w:tc>
        <w:tc>
          <w:tcPr>
            <w:tcW w:w="3120" w:type="dxa"/>
          </w:tcPr>
          <w:p>
            <w:pPr/>
            <w:r>
              <w:t xml:space="preserve">5 have a visible </w:t>
            </w:r>
            <w:r>
              <w:rPr>
                <w:rStyle w:val="CodeChar"/>
              </w:rPr>
              <w:t xml:space="preserve">NOTE</w:t>
            </w:r>
            <w:r>
              <w:t xml:space="preserve"> comment in the compiled code; the other 6 I did not verify</w:t>
            </w:r>
          </w:p>
        </w:tc>
      </w:tr>
    </w:tbl>
    <w:p>
      <w:pPr/>
      <w:r>
        <w:t xml:space="preserve">Cost and time come from </w:t>
      </w:r>
      <w:r>
        <w:rPr>
          <w:rStyle w:val="CodeChar"/>
        </w:rPr>
        <w:t xml:space="preserve">/usage</w:t>
      </w:r>
      <w:r>
        <w:t xml:space="preserve"> (tool-reported): $3.61 in total, with $3.61 on </w:t>
      </w:r>
      <w:r>
        <w:rPr>
          <w:rStyle w:val="CodeChar"/>
        </w:rPr>
        <w:t xml:space="preserve">claude-opus-5-5</w:t>
      </w:r>
      <w:r>
        <w:t xml:space="preserve"> and $0.0011 on </w:t>
      </w:r>
      <w:r>
        <w:rPr>
          <w:rStyle w:val="CodeChar"/>
        </w:rPr>
        <w:t xml:space="preserve">claude-haiku-4-5</w:t>
      </w:r>
      <w:r>
        <w:t xml:space="preserve">. API time was 10m27s, wall time 49m40s, and output was 74.0k tokens. The tool also reports 733 lines added and 388 removed, which differs from the git totals above; I did not reconcile the two counts.</w:t>
      </w:r>
    </w:p>
    <w:p>
      <w:pPr>
        <w:pStyle w:val="Heading2"/>
      </w:pPr>
      <w:r>
        <w:t xml:space="preserve">Analysis: what held, and what changed meaning</w:t>
      </w:r>
    </w:p>
    <w:p>
      <w:pPr/>
      <w:r>
        <w:t xml:space="preserve">The conversion held at four times the scope for the same reasons as in Phase 1. The new evidence is in how the finder and provider boundary was typed, and in four places where the compiled output is not a pure removal of types.</w:t>
      </w:r>
    </w:p>
    <w:p>
      <w:pPr>
        <w:pStyle w:val="ListParagraph"/>
        <w:numPr>
          <w:ilvl w:val="0"/>
          <w:numId w:val="3"/>
        </w:numPr>
      </w:pPr>
      <w:r>
        <w:rPr>
          <w:b/>
        </w:rPr>
        <w:t xml:space="preserve">The build stayed green throughout.</w:t>
      </w:r>
      <w:r>
        <w:t xml:space="preserve"> All 10 samples in </w:t>
      </w:r>
      <w:r>
        <w:rPr>
          <w:rStyle w:val="CodeChar"/>
        </w:rPr>
        <w:t xml:space="preserve">progress.log</w:t>
      </w:r>
      <w:r>
        <w:t xml:space="preserve">, taken every 5 minutes while I was away, show </w:t>
      </w:r>
      <w:r>
        <w:rPr>
          <w:rStyle w:val="CodeChar"/>
        </w:rPr>
        <w:t xml:space="preserve">err=0</w:t>
      </w:r>
      <w:r>
        <w:t xml:space="preserve">, and from the second sample (15:29:03) all 14 files are </w:t>
      </w:r>
      <w:r>
        <w:rPr>
          <w:rStyle w:val="CodeChar"/>
        </w:rPr>
        <w:t xml:space="preserve">.ts</w:t>
      </w:r>
      <w:r>
        <w:t xml:space="preserve">. The sample count comes from </w:t>
      </w:r>
      <w:r>
        <w:rPr>
          <w:rStyle w:val="CodeChar"/>
        </w:rPr>
        <w:t xml:space="preserve">grep -c "error TS"</w:t>
      </w:r>
      <w:r>
        <w:t xml:space="preserve">, which would also read 0 if </w:t>
      </w:r>
      <w:r>
        <w:rPr>
          <w:rStyle w:val="CodeChar"/>
        </w:rPr>
        <w:t xml:space="preserve">tsc</w:t>
      </w:r>
      <w:r>
        <w:t xml:space="preserve"> crashed, so I rely on the final </w:t>
      </w:r>
      <w:r>
        <w:rPr>
          <w:rStyle w:val="CodeChar"/>
        </w:rPr>
        <w:t xml:space="preserve">npm test</w:t>
      </w:r>
      <w:r>
        <w:t xml:space="preserve">: with </w:t>
      </w:r>
      <w:r>
        <w:rPr>
          <w:rStyle w:val="CodeChar"/>
        </w:rPr>
        <w:t xml:space="preserve">noEmitOnError</w:t>
      </w:r>
      <w:r>
        <w:t xml:space="preserve"> it can only run after a successful build.</w:t>
      </w:r>
    </w:p>
    <w:p>
      <w:pPr>
        <w:pStyle w:val="ListParagraph"/>
        <w:numPr>
          <w:ilvl w:val="0"/>
          <w:numId w:val="3"/>
        </w:numPr>
      </w:pPr>
      <w:r>
        <w:rPr>
          <w:b/>
        </w:rPr>
        <w:t xml:space="preserve">The boundary is typed, not asserted.</w:t>
      </w:r>
      <w:r>
        <w:t xml:space="preserve"> In Phase 1 the compiled diff showed six provider calls wrapped in </w:t>
      </w:r>
      <w:r>
        <w:rPr>
          <w:rStyle w:val="CodeChar"/>
        </w:rPr>
        <w:t xml:space="preserve">(await ...)</w:t>
      </w:r>
      <w:r>
        <w:t xml:space="preserve"> casts. In Phase 2 those lines are unchanged in the compiled diff, and </w:t>
      </w:r>
      <w:r>
        <w:rPr>
          <w:rStyle w:val="CodeChar"/>
        </w:rPr>
        <w:t xml:space="preserve">BookFinder.ts</w:t>
      </w:r>
      <w:r>
        <w:t xml:space="preserve"> has only 3 casts: one for a scoring object (line 87), one on a returned list (line 173) and the </w:t>
      </w:r>
      <w:r>
        <w:rPr>
          <w:rStyle w:val="CodeChar"/>
        </w:rPr>
        <w:t xml:space="preserve">findCovers</w:t>
      </w:r>
      <w:r>
        <w:t xml:space="preserve"> workaround (line 609). Shared result types live in </w:t>
      </w:r>
      <w:r>
        <w:rPr>
          <w:rStyle w:val="CodeChar"/>
        </w:rPr>
        <w:t xml:space="preserve">server/providers/types.ts</w:t>
      </w:r>
      <w:r>
        <w:t xml:space="preserve"> and are imported with </w:t>
      </w:r>
      <w:r>
        <w:rPr>
          <w:rStyle w:val="CodeChar"/>
        </w:rPr>
        <w:t xml:space="preserve">import type</w:t>
      </w:r>
      <w:r>
        <w:t xml:space="preserve"> by </w:t>
      </w:r>
      <w:r>
        <w:rPr>
          <w:rStyle w:val="CodeChar"/>
        </w:rPr>
        <w:t xml:space="preserve">BookFinder</w:t>
      </w:r>
      <w:r>
        <w:t xml:space="preserve">, </w:t>
      </w:r>
      <w:r>
        <w:rPr>
          <w:rStyle w:val="CodeChar"/>
        </w:rPr>
        <w:t xml:space="preserve">Audible</w:t>
      </w:r>
      <w:r>
        <w:t xml:space="preserve">, </w:t>
      </w:r>
      <w:r>
        <w:rPr>
          <w:rStyle w:val="CodeChar"/>
        </w:rPr>
        <w:t xml:space="preserve">CustomProviderAdapter</w:t>
      </w:r>
      <w:r>
        <w:t xml:space="preserve"> and </w:t>
      </w:r>
      <w:r>
        <w:rPr>
          <w:rStyle w:val="CodeChar"/>
        </w:rPr>
        <w:t xml:space="preserve">OpenLibrary</w:t>
      </w:r>
      <w:r>
        <w:t xml:space="preserve">. Providers could be given types here only because they were in scope, which Phase 1 could not do.</w:t>
      </w:r>
    </w:p>
    <w:p>
      <w:pPr>
        <w:pStyle w:val="ListParagraph"/>
        <w:numPr>
          <w:ilvl w:val="0"/>
          <w:numId w:val="3"/>
        </w:numPr>
      </w:pPr>
      <w:r>
        <w:rPr>
          <w:b/>
        </w:rPr>
        <w:t xml:space="preserve">Three checks changed meaning.</w:t>
      </w:r>
      <w:r>
        <w:t xml:space="preserve"> </w:t>
      </w:r>
      <w:r>
        <w:rPr>
          <w:rStyle w:val="CodeChar"/>
        </w:rPr>
        <w:t xml:space="preserve">getOpenLibResults</w:t>
      </w:r>
      <w:r>
        <w:t xml:space="preserve">, </w:t>
      </w:r>
      <w:r>
        <w:rPr>
          <w:rStyle w:val="CodeChar"/>
        </w:rPr>
        <w:t xml:space="preserve">getGoogleBooksResults</w:t>
      </w:r>
      <w:r>
        <w:t xml:space="preserve"> and </w:t>
      </w:r>
      <w:r>
        <w:rPr>
          <w:rStyle w:val="CodeChar"/>
        </w:rPr>
        <w:t xml:space="preserve">getFantLabResults</w:t>
      </w:r>
      <w:r>
        <w:t xml:space="preserve"> now test </w:t>
      </w:r>
      <w:r>
        <w:rPr>
          <w:rStyle w:val="CodeChar"/>
        </w:rPr>
        <w:t xml:space="preserve">'errorCode' in books</w:t>
      </w:r>
      <w:r>
        <w:t xml:space="preserve"> instead of </w:t>
      </w:r>
      <w:r>
        <w:rPr>
          <w:rStyle w:val="CodeChar"/>
        </w:rPr>
        <w:t xml:space="preserve">books.errorCode</w:t>
      </w:r>
      <w:r>
        <w:t xml:space="preserve">. The two differ if an error object could ever carry a falsy </w:t>
      </w:r>
      <w:r>
        <w:rPr>
          <w:rStyle w:val="CodeChar"/>
        </w:rPr>
        <w:t xml:space="preserve">errorCode</w:t>
      </w:r>
      <w:r>
        <w:t xml:space="preserve">. In the current code it cannot: </w:t>
      </w:r>
      <w:r>
        <w:rPr>
          <w:rStyle w:val="CodeChar"/>
        </w:rPr>
        <w:t xml:space="preserve">errorCode</w:t>
      </w:r>
      <w:r>
        <w:t xml:space="preserve"> appears only in </w:t>
      </w:r>
      <w:r>
        <w:rPr>
          <w:rStyle w:val="CodeChar"/>
        </w:rPr>
        <w:t xml:space="preserve">OpenLibrary.ts</w:t>
      </w:r>
      <w:r>
        <w:t xml:space="preserve"> (404 or 500, typed </w:t>
      </w:r>
      <w:r>
        <w:rPr>
          <w:rStyle w:val="CodeChar"/>
        </w:rPr>
        <w:t xml:space="preserve">404 | 500</w:t>
      </w:r>
      <w:r>
        <w:t xml:space="preserve"> in </w:t>
      </w:r>
      <w:r>
        <w:rPr>
          <w:rStyle w:val="CodeChar"/>
        </w:rPr>
        <w:t xml:space="preserve">types.ts</w:t>
      </w:r>
      <w:r>
        <w:t xml:space="preserve">), and Google Books and FantLab never return it. So the checks are equivalent today, but only because of how the providers are written. In Phase 1 the agent kept the truthiness test through an </w:t>
      </w:r>
      <w:r>
        <w:rPr>
          <w:rStyle w:val="CodeChar"/>
        </w:rPr>
        <w:t xml:space="preserve">isProviderError()</w:t>
      </w:r>
      <w:r>
        <w:t xml:space="preserve"> helper. Two independent runs made two different choices for the same pattern.</w:t>
      </w:r>
    </w:p>
    <w:p>
      <w:pPr>
        <w:pStyle w:val="ListParagraph"/>
        <w:numPr>
          <w:ilvl w:val="0"/>
          <w:numId w:val="3"/>
        </w:numPr>
      </w:pPr>
      <w:r>
        <w:rPr>
          <w:b/>
        </w:rPr>
        <w:t xml:space="preserve">Three smaller differences, none with a known effect.</w:t>
      </w:r>
      <w:r>
        <w:t xml:space="preserve"> </w:t>
      </w:r>
      <w:r>
        <w:rPr>
          <w:rStyle w:val="CodeChar"/>
        </w:rPr>
        <w:t xml:space="preserve">MusicBrainz</w:t>
      </w:r>
      <w:r>
        <w:t xml:space="preserve"> no longer passes a third argument to </w:t>
      </w:r>
      <w:r>
        <w:rPr>
          <w:rStyle w:val="CodeChar"/>
        </w:rPr>
        <w:t xml:space="preserve">axios.get</w:t>
      </w:r>
      <w:r>
        <w:t xml:space="preserve">, which axios ignores, so the missing User-Agent header is unchanged (marked with a </w:t>
      </w:r>
      <w:r>
        <w:rPr>
          <w:rStyle w:val="CodeChar"/>
        </w:rPr>
        <w:t xml:space="preserve">NOTE</w:t>
      </w:r>
      <w:r>
        <w:t xml:space="preserve">). </w:t>
      </w:r>
      <w:r>
        <w:rPr>
          <w:rStyle w:val="CodeChar"/>
        </w:rPr>
        <w:t xml:space="preserve">OpenLibrary.parsePublishYear</w:t>
      </w:r>
      <w:r>
        <w:t xml:space="preserve"> uses </w:t>
      </w:r>
      <w:r>
        <w:rPr>
          <w:rStyle w:val="CodeChar"/>
        </w:rPr>
        <w:t xml:space="preserve">in</w:t>
      </w:r>
      <w:r>
        <w:t xml:space="preserve"> on </w:t>
      </w:r>
      <w:r>
        <w:rPr>
          <w:rStyle w:val="CodeChar"/>
        </w:rPr>
        <w:t xml:space="preserve">worksData</w:t>
      </w:r>
      <w:r>
        <w:t xml:space="preserve">, which behaves the same for objects but throws instead of returning </w:t>
      </w:r>
      <w:r>
        <w:rPr>
          <w:rStyle w:val="CodeChar"/>
        </w:rPr>
        <w:t xml:space="preserve">null</w:t>
      </w:r>
      <w:r>
        <w:t xml:space="preserve"> if </w:t>
      </w:r>
      <w:r>
        <w:rPr>
          <w:rStyle w:val="CodeChar"/>
        </w:rPr>
        <w:t xml:space="preserve">worksData</w:t>
      </w:r>
      <w:r>
        <w:t xml:space="preserve"> were a primitive such as a string; I did not check whether it can be. </w:t>
      </w:r>
      <w:r>
        <w:rPr>
          <w:rStyle w:val="CodeChar"/>
        </w:rPr>
        <w:t xml:space="preserve">SearchController</w:t>
      </w:r>
      <w:r>
        <w:t xml:space="preserve"> dropped </w:t>
      </w:r>
      <w:r>
        <w:rPr>
          <w:rStyle w:val="CodeChar"/>
        </w:rPr>
        <w:t xml:space="preserve">require('express')</w:t>
      </w:r>
      <w:r>
        <w:t xml:space="preserve">, whose </w:t>
      </w:r>
      <w:r>
        <w:rPr>
          <w:rStyle w:val="CodeChar"/>
        </w:rPr>
        <w:t xml:space="preserve">Request</w:t>
      </w:r>
      <w:r>
        <w:t xml:space="preserve"> and </w:t>
      </w:r>
      <w:r>
        <w:rPr>
          <w:rStyle w:val="CodeChar"/>
        </w:rPr>
        <w:t xml:space="preserve">Response</w:t>
      </w:r>
      <w:r>
        <w:t xml:space="preserve"> were only used as JSDoc types; I did not check for side effects.</w:t>
      </w:r>
    </w:p>
    <w:p>
      <w:pPr>
        <w:pStyle w:val="ListParagraph"/>
        <w:numPr>
          <w:ilvl w:val="0"/>
          <w:numId w:val="3"/>
        </w:numPr>
      </w:pPr>
      <w:r>
        <w:rPr>
          <w:b/>
        </w:rPr>
        <w:t xml:space="preserve">Existing bugs were preserved and marked.</w:t>
      </w:r>
      <w:r>
        <w:t xml:space="preserve"> Five of the 11 reported bugs have a </w:t>
      </w:r>
      <w:r>
        <w:rPr>
          <w:rStyle w:val="CodeChar"/>
        </w:rPr>
        <w:t xml:space="preserve">NOTE</w:t>
      </w:r>
      <w:r>
        <w:t xml:space="preserve"> in the code, including the </w:t>
      </w:r>
      <w:r>
        <w:rPr>
          <w:rStyle w:val="CodeChar"/>
        </w:rPr>
        <w:t xml:space="preserve">findCovers</w:t>
      </w:r>
      <w:r>
        <w:t xml:space="preserve"> bug that Phase 1 also hit: </w:t>
      </w:r>
      <w:r>
        <w:rPr>
          <w:rStyle w:val="CodeChar"/>
        </w:rPr>
        <w:t xml:space="preserve">options</w:t>
      </w:r>
      <w:r>
        <w:t xml:space="preserve"> is passed where </w:t>
      </w:r>
      <w:r>
        <w:rPr>
          <w:rStyle w:val="CodeChar"/>
        </w:rPr>
        <w:t xml:space="preserve">isbn</w:t>
      </w:r>
      <w:r>
        <w:t xml:space="preserve"> belongs. Strict mode and criterion 4 together produced casts and comments in the places where the types exposed a bug. The agent found the same </w:t>
      </w:r>
      <w:r>
        <w:rPr>
          <w:rStyle w:val="CodeChar"/>
        </w:rPr>
        <w:t xml:space="preserve">findCovers</w:t>
      </w:r>
      <w:r>
        <w:t xml:space="preserve"> bug in two separate runs, which suggests it is reliably detectable.</w:t>
      </w:r>
    </w:p>
    <w:p>
      <w:pPr>
        <w:pStyle w:val="ListParagraph"/>
        <w:numPr>
          <w:ilvl w:val="0"/>
          <w:numId w:val="3"/>
        </w:numPr>
      </w:pPr>
      <w:r>
        <w:rPr>
          <w:b/>
        </w:rPr>
        <w:t xml:space="preserve">Within one session the conventions were consistent.</w:t>
      </w:r>
      <w:r>
        <w:t xml:space="preserve"> All 9 providers import </w:t>
      </w:r>
      <w:r>
        <w:rPr>
          <w:rStyle w:val="CodeChar"/>
        </w:rPr>
        <w:t xml:space="preserve">axios</w:t>
      </w:r>
      <w:r>
        <w:t xml:space="preserve"> the same way (</w:t>
      </w:r>
      <w:r>
        <w:rPr>
          <w:rStyle w:val="CodeChar"/>
        </w:rPr>
        <w:t xml:space="preserve">import axios from 'axios'</w:t>
      </w:r>
      <w:r>
        <w:t xml:space="preserve">, compiled through </w:t>
      </w:r>
      <w:r>
        <w:rPr>
          <w:rStyle w:val="CodeChar"/>
        </w:rPr>
        <w:t xml:space="preserve">__importDefault</w:t>
      </w:r>
      <w:r>
        <w:t xml:space="preserve">) and local modules with </w:t>
      </w:r>
      <w:r>
        <w:rPr>
          <w:rStyle w:val="CodeChar"/>
        </w:rPr>
        <w:t xml:space="preserve">import X = require()</w:t>
      </w:r>
      <w:r>
        <w:t xml:space="preserve">, as in Phase 1. The inconsistency appeared between the two runs, not inside one.</w:t>
      </w:r>
    </w:p>
    <w:p>
      <w:pPr>
        <w:pStyle w:val="ListParagraph"/>
        <w:numPr>
          <w:ilvl w:val="0"/>
          <w:numId w:val="3"/>
        </w:numPr>
      </w:pPr>
      <w:r>
        <w:rPr>
          <w:b/>
        </w:rPr>
        <w:t xml:space="preserve">Only 2 of the 13 files have direct tests.</w:t>
      </w:r>
      <w:r>
        <w:t xml:space="preserve"> The test folder contains </w:t>
      </w:r>
      <w:r>
        <w:rPr>
          <w:rStyle w:val="CodeChar"/>
        </w:rPr>
        <w:t xml:space="preserve">BookFinder.test.js</w:t>
      </w:r>
      <w:r>
        <w:t xml:space="preserve"> and </w:t>
      </w:r>
      <w:r>
        <w:rPr>
          <w:rStyle w:val="CodeChar"/>
        </w:rPr>
        <w:t xml:space="preserve">Audible.test.js</w:t>
      </w:r>
      <w:r>
        <w:t xml:space="preserve"> for this scope; </w:t>
      </w:r>
      <w:r>
        <w:rPr>
          <w:rStyle w:val="CodeChar"/>
        </w:rPr>
        <w:t xml:space="preserve">SearchController</w:t>
      </w:r>
      <w:r>
        <w:t xml:space="preserve"> and the other providers have none. For those files, "356 passing" says little, and the compiled-diff review was the only behaviour check.</w:t>
      </w:r>
    </w:p>
    <w:p>
      <w:pPr>
        <w:pStyle w:val="Heading2"/>
      </w:pPr>
      <w:r>
        <w:t xml:space="preserve">Comparison with Phase 1 and the whole-server run</w:t>
      </w:r>
    </w:p>
    <w:p>
      <w:pPr/>
      <w:r>
        <w:t xml:space="preserve">The three runs used the same tool, model and effort. Going from the whole-server run to Phase 1, both the scope and the prompt changed; going from Phase 1 to Phase 2, only the scope changed. Phase 2 therefore shows that scope alone, from 3 to 13 files, did not break the workflow when acceptance criteria were in the prompt.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Whole-server one-shot</w:t>
            </w:r>
          </w:p>
        </w:tc>
        <w:tc>
          <w:tcPr>
            <w:tcW w:w="2340" w:type="dxa"/>
            <w:shd w:val="clear" w:color="auto" w:fill="F2F2F2"/>
          </w:tcPr>
          <w:p>
            <w:pPr/>
            <w:r>
              <w:t xml:space="preserve">Phase 1</w:t>
            </w:r>
          </w:p>
        </w:tc>
        <w:tc>
          <w:tcPr>
            <w:tcW w:w="2340" w:type="dxa"/>
            <w:shd w:val="clear" w:color="auto" w:fill="F2F2F2"/>
          </w:tcPr>
          <w:p>
            <w:pPr/>
            <w:r>
              <w:t xml:space="preserve">Phase 2</w:t>
            </w:r>
          </w:p>
        </w:tc>
      </w:tr>
      <w:tr>
        <w:tc>
          <w:tcPr>
            <w:tcW w:w="2340" w:type="dxa"/>
          </w:tcPr>
          <w:p>
            <w:pPr/>
            <w:r>
              <w:t xml:space="preserve">Scope</w:t>
            </w:r>
          </w:p>
        </w:tc>
        <w:tc>
          <w:tcPr>
            <w:tcW w:w="2340" w:type="dxa"/>
          </w:tcPr>
          <w:p>
            <w:pPr/>
            <w:r>
              <w:t xml:space="preserve">182 first-party files plus </w:t>
            </w:r>
            <w:r>
              <w:rPr>
                <w:rStyle w:val="CodeChar"/>
              </w:rPr>
              <w:t xml:space="preserve">index.js</w:t>
            </w:r>
          </w:p>
        </w:tc>
        <w:tc>
          <w:tcPr>
            <w:tcW w:w="2340" w:type="dxa"/>
          </w:tcPr>
          <w:p>
            <w:pPr/>
            <w:r>
              <w:t xml:space="preserve">3 finders</w:t>
            </w:r>
          </w:p>
        </w:tc>
        <w:tc>
          <w:tcPr>
            <w:tcW w:w="2340" w:type="dxa"/>
          </w:tcPr>
          <w:p>
            <w:pPr/>
            <w:r>
              <w:t xml:space="preserve">13 files (finders, providers, </w:t>
            </w:r>
            <w:r>
              <w:rPr>
                <w:rStyle w:val="CodeChar"/>
              </w:rPr>
              <w:t xml:space="preserve">SearchController</w:t>
            </w:r>
            <w:r>
              <w:t xml:space="preserve">)</w:t>
            </w:r>
          </w:p>
        </w:tc>
      </w:tr>
      <w:tr>
        <w:tc>
          <w:tcPr>
            <w:tcW w:w="2340" w:type="dxa"/>
          </w:tcPr>
          <w:p>
            <w:pPr/>
            <w:r>
              <w:t xml:space="preserve">Acceptance criteria in prompt</w:t>
            </w:r>
          </w:p>
        </w:tc>
        <w:tc>
          <w:tcPr>
            <w:tcW w:w="2340" w:type="dxa"/>
          </w:tcPr>
          <w:p>
            <w:pPr/>
            <w:r>
              <w:t xml:space="preserve">none</w:t>
            </w:r>
          </w:p>
        </w:tc>
        <w:tc>
          <w:tcPr>
            <w:tcW w:w="2340" w:type="dxa"/>
          </w:tcPr>
          <w:p>
            <w:pPr/>
            <w:r>
              <w:t xml:space="preserve">five</w:t>
            </w:r>
          </w:p>
        </w:tc>
        <w:tc>
          <w:tcPr>
            <w:tcW w:w="2340" w:type="dxa"/>
          </w:tcPr>
          <w:p>
            <w:pPr/>
            <w:r>
              <w:t xml:space="preserve">the same five</w:t>
            </w:r>
          </w:p>
        </w:tc>
      </w:tr>
      <w:tr>
        <w:tc>
          <w:tcPr>
            <w:tcW w:w="2340" w:type="dxa"/>
          </w:tcPr>
          <w:p>
            <w:pPr/>
            <w:r>
              <w:t xml:space="preserve">Strict type errors at end</w:t>
            </w:r>
          </w:p>
        </w:tc>
        <w:tc>
          <w:tcPr>
            <w:tcW w:w="2340" w:type="dxa"/>
          </w:tcPr>
          <w:p>
            <w:pPr/>
            <w:r>
              <w:t xml:space="preserve">2,805</w:t>
            </w:r>
          </w:p>
        </w:tc>
        <w:tc>
          <w:tcPr>
            <w:tcW w:w="2340" w:type="dxa"/>
          </w:tcPr>
          <w:p>
            <w:pPr/>
            <w:r>
              <w:t xml:space="preserve">0</w:t>
            </w:r>
          </w:p>
        </w:tc>
        <w:tc>
          <w:tcPr>
            <w:tcW w:w="2340" w:type="dxa"/>
          </w:tcPr>
          <w:p>
            <w:pPr/>
            <w:r>
              <w:t xml:space="preserve">0</w:t>
            </w:r>
          </w:p>
        </w:tc>
      </w:tr>
      <w:tr>
        <w:tc>
          <w:tcPr>
            <w:tcW w:w="2340" w:type="dxa"/>
          </w:tcPr>
          <w:p>
            <w:pPr/>
            <w:r>
              <w:t xml:space="preserve">Tests that could run</w:t>
            </w:r>
          </w:p>
        </w:tc>
        <w:tc>
          <w:tcPr>
            <w:tcW w:w="2340" w:type="dxa"/>
          </w:tcPr>
          <w:p>
            <w:pPr/>
            <w:r>
              <w:t xml:space="preserve">0 of 356</w:t>
            </w:r>
          </w:p>
        </w:tc>
        <w:tc>
          <w:tcPr>
            <w:tcW w:w="2340" w:type="dxa"/>
          </w:tcPr>
          <w:p>
            <w:pPr/>
            <w:r>
              <w:t xml:space="preserve">356 of 356</w:t>
            </w:r>
          </w:p>
        </w:tc>
        <w:tc>
          <w:tcPr>
            <w:tcW w:w="2340" w:type="dxa"/>
          </w:tcPr>
          <w:p>
            <w:pPr/>
            <w:r>
              <w:t xml:space="preserve">356 of 356</w:t>
            </w:r>
          </w:p>
        </w:tc>
      </w:tr>
      <w:tr>
        <w:tc>
          <w:tcPr>
            <w:tcW w:w="2340" w:type="dxa"/>
          </w:tcPr>
          <w:p>
            <w:pPr/>
            <w:r>
              <w:t xml:space="preserve">Cost (tool-reported)</w:t>
            </w:r>
          </w:p>
        </w:tc>
        <w:tc>
          <w:tcPr>
            <w:tcW w:w="2340" w:type="dxa"/>
          </w:tcPr>
          <w:p>
            <w:pPr/>
            <w:r>
              <w:t xml:space="preserve">$35.22</w:t>
            </w:r>
          </w:p>
        </w:tc>
        <w:tc>
          <w:tcPr>
            <w:tcW w:w="2340" w:type="dxa"/>
          </w:tcPr>
          <w:p>
            <w:pPr/>
            <w:r>
              <w:t xml:space="preserve">$1.70</w:t>
            </w:r>
          </w:p>
        </w:tc>
        <w:tc>
          <w:tcPr>
            <w:tcW w:w="2340" w:type="dxa"/>
          </w:tcPr>
          <w:p>
            <w:pPr/>
            <w:r>
              <w:t xml:space="preserve">$3.61</w:t>
            </w:r>
          </w:p>
        </w:tc>
      </w:tr>
      <w:tr>
        <w:tc>
          <w:tcPr>
            <w:tcW w:w="2340" w:type="dxa"/>
          </w:tcPr>
          <w:p>
            <w:pPr/>
            <w:r>
              <w:t xml:space="preserve">API time</w:t>
            </w:r>
          </w:p>
        </w:tc>
        <w:tc>
          <w:tcPr>
            <w:tcW w:w="2340" w:type="dxa"/>
          </w:tcPr>
          <w:p>
            <w:pPr/>
            <w:r>
              <w:t xml:space="preserve">51m30s</w:t>
            </w:r>
          </w:p>
        </w:tc>
        <w:tc>
          <w:tcPr>
            <w:tcW w:w="2340" w:type="dxa"/>
          </w:tcPr>
          <w:p>
            <w:pPr/>
            <w:r>
              <w:t xml:space="preserve">4m52s</w:t>
            </w:r>
          </w:p>
        </w:tc>
        <w:tc>
          <w:tcPr>
            <w:tcW w:w="2340" w:type="dxa"/>
          </w:tcPr>
          <w:p>
            <w:pPr/>
            <w:r>
              <w:t xml:space="preserve">10m27s</w:t>
            </w:r>
          </w:p>
        </w:tc>
      </w:tr>
      <w:tr>
        <w:tc>
          <w:tcPr>
            <w:tcW w:w="2340" w:type="dxa"/>
          </w:tcPr>
          <w:p>
            <w:pPr/>
            <w:r>
              <w:t xml:space="preserve">Wall time (includes time away)</w:t>
            </w:r>
          </w:p>
        </w:tc>
        <w:tc>
          <w:tcPr>
            <w:tcW w:w="2340" w:type="dxa"/>
          </w:tcPr>
          <w:p>
            <w:pPr/>
            <w:r>
              <w:t xml:space="preserve">1h16m7s</w:t>
            </w:r>
          </w:p>
        </w:tc>
        <w:tc>
          <w:tcPr>
            <w:tcW w:w="2340" w:type="dxa"/>
          </w:tcPr>
          <w:p>
            <w:pPr/>
            <w:r>
              <w:t xml:space="preserve">7m22s</w:t>
            </w:r>
          </w:p>
        </w:tc>
        <w:tc>
          <w:tcPr>
            <w:tcW w:w="2340" w:type="dxa"/>
          </w:tcPr>
          <w:p>
            <w:pPr/>
            <w:r>
              <w:t xml:space="preserve">49m40s</w:t>
            </w:r>
          </w:p>
        </w:tc>
      </w:tr>
      <w:tr>
        <w:tc>
          <w:tcPr>
            <w:tcW w:w="2340" w:type="dxa"/>
          </w:tcPr>
          <w:p>
            <w:pPr/>
            <w:r>
              <w:t xml:space="preserve">Output tokens</w:t>
            </w:r>
          </w:p>
        </w:tc>
        <w:tc>
          <w:tcPr>
            <w:tcW w:w="2340" w:type="dxa"/>
          </w:tcPr>
          <w:p>
            <w:pPr/>
            <w:r>
              <w:t xml:space="preserve">307.5k</w:t>
            </w:r>
          </w:p>
        </w:tc>
        <w:tc>
          <w:tcPr>
            <w:tcW w:w="2340" w:type="dxa"/>
          </w:tcPr>
          <w:p>
            <w:pPr/>
            <w:r>
              <w:t xml:space="preserve">33.7k</w:t>
            </w:r>
          </w:p>
        </w:tc>
        <w:tc>
          <w:tcPr>
            <w:tcW w:w="2340" w:type="dxa"/>
          </w:tcPr>
          <w:p>
            <w:pPr/>
            <w:r>
              <w:t xml:space="preserve">74.0k</w:t>
            </w:r>
          </w:p>
        </w:tc>
      </w:tr>
    </w:tbl>
    <w:p>
      <w:pPr/>
      <w:r>
        <w:t xml:space="preserve">From Phase 1 to Phase 2 the converted code grew from 929 to 2,524 lines of TypeScript (about 2.7 times), while cost, API time and output tokens each grew about 2.1 to 2.2 times. With two data points this is not a trend, and the cost of a larger run is not guaranteed to grow this slowly.</w:t>
      </w:r>
    </w:p>
    <w:p>
      <w:pPr/>
      <w:r>
        <w:t xml:space="preserve">Sources: </w:t>
      </w:r>
      <w:r>
        <w:rPr>
          <w:rStyle w:val="CodeChar"/>
        </w:rPr>
        <w:t xml:space="preserve">one-shot-evidence/notes.txt</w:t>
      </w:r>
      <w:r>
        <w:t xml:space="preserve"> and </w:t>
      </w:r>
      <w:r>
        <w:rPr>
          <w:rStyle w:val="CodeChar"/>
        </w:rPr>
        <w:t xml:space="preserve">final-build.txt</w:t>
      </w:r>
      <w:r>
        <w:t xml:space="preserve"> for the first column, </w:t>
      </w:r>
      <w:r>
        <w:rPr>
          <w:rStyle w:val="CodeChar"/>
        </w:rPr>
        <w:t xml:space="preserve">phase1-evidence/usage-after.txt</w:t>
      </w:r>
      <w:r>
        <w:t xml:space="preserve"> for Phase 1 and </w:t>
      </w:r>
      <w:r>
        <w:rPr>
          <w:rStyle w:val="CodeChar"/>
        </w:rPr>
        <w:t xml:space="preserve">phase2-evidence/usage-after.txt</w:t>
      </w:r>
      <w:r>
        <w:t xml:space="preserve"> for Phase 2.</w:t>
      </w:r>
    </w:p>
    <w:p>
      <w:pPr>
        <w:pStyle w:val="Heading2"/>
      </w:pPr>
      <w:r>
        <w:t xml:space="preserve">Limitations and what I would change</w:t>
      </w:r>
    </w:p>
    <w:p>
      <w:pPr/>
      <w:r>
        <w:t xml:space="preserve">This is one run per scope, with one tool, model and effort level, on one project. The Phase 1 and Phase 2 results point the same way, but run-to-run variance is unknown, and nothing here shows how workflow 1 behaves on the whole server with acceptance criteria.</w:t>
      </w:r>
    </w:p>
    <w:p>
      <w:pPr>
        <w:pStyle w:val="ListParagraph"/>
        <w:numPr>
          <w:ilvl w:val="0"/>
          <w:numId w:val="4"/>
        </w:numPr>
      </w:pPr>
      <w:r>
        <w:t xml:space="preserve">The behaviour check is static. It compares compiled JavaScript, and only 2 of the 13 files (</w:t>
      </w:r>
      <w:r>
        <w:rPr>
          <w:rStyle w:val="CodeChar"/>
        </w:rPr>
        <w:t xml:space="preserve">BookFinder</w:t>
      </w:r>
      <w:r>
        <w:t xml:space="preserve">, </w:t>
      </w:r>
      <w:r>
        <w:rPr>
          <w:rStyle w:val="CodeChar"/>
        </w:rPr>
        <w:t xml:space="preserve">Audible</w:t>
      </w:r>
      <w:r>
        <w:t xml:space="preserve">) have direct tests. None of the changed semantics (the </w:t>
      </w:r>
      <w:r>
        <w:rPr>
          <w:rStyle w:val="CodeChar"/>
        </w:rPr>
        <w:t xml:space="preserve">errorCode</w:t>
      </w:r>
      <w:r>
        <w:t xml:space="preserve"> checks, the </w:t>
      </w:r>
      <w:r>
        <w:rPr>
          <w:rStyle w:val="CodeChar"/>
        </w:rPr>
        <w:t xml:space="preserve">MusicBrainz</w:t>
      </w:r>
      <w:r>
        <w:t xml:space="preserve"> request, the </w:t>
      </w:r>
      <w:r>
        <w:rPr>
          <w:rStyle w:val="CodeChar"/>
        </w:rPr>
        <w:t xml:space="preserve">OpenLibrary</w:t>
      </w:r>
      <w:r>
        <w:t xml:space="preserve"> primitive edge case) was run.</w:t>
      </w:r>
    </w:p>
    <w:p>
      <w:pPr>
        <w:pStyle w:val="ListParagraph"/>
        <w:numPr>
          <w:ilvl w:val="0"/>
          <w:numId w:val="4"/>
        </w:numPr>
      </w:pPr>
      <w:r>
        <w:t xml:space="preserve">Six of the 11 bugs the agent reported are unverified.</w:t>
      </w:r>
    </w:p>
    <w:p>
      <w:pPr>
        <w:pStyle w:val="ListParagraph"/>
        <w:numPr>
          <w:ilvl w:val="0"/>
          <w:numId w:val="4"/>
        </w:numPr>
      </w:pPr>
      <w:r>
        <w:t xml:space="preserve">The mid-run error counts come from a </w:t>
      </w:r>
      <w:r>
        <w:rPr>
          <w:rStyle w:val="CodeChar"/>
        </w:rPr>
        <w:t xml:space="preserve">grep</w:t>
      </w:r>
      <w:r>
        <w:t xml:space="preserve">, so I rely on the final </w:t>
      </w:r>
      <w:r>
        <w:rPr>
          <w:rStyle w:val="CodeChar"/>
        </w:rPr>
        <w:t xml:space="preserve">npm test</w:t>
      </w:r>
      <w:r>
        <w:t xml:space="preserve"> for the claim that the build was green.</w:t>
      </w:r>
    </w:p>
    <w:p>
      <w:pPr>
        <w:pStyle w:val="ListParagraph"/>
        <w:numPr>
          <w:ilvl w:val="0"/>
          <w:numId w:val="4"/>
        </w:numPr>
      </w:pPr>
      <w:r>
        <w:t xml:space="preserve">I was away while the agent ran, so wall time includes idle time; the agent's own working time is better read from API time and the transcript.</w:t>
      </w:r>
    </w:p>
    <w:p>
      <w:pPr>
        <w:pStyle w:val="ListParagraph"/>
        <w:numPr>
          <w:ilvl w:val="0"/>
          <w:numId w:val="4"/>
        </w:numPr>
      </w:pPr>
      <w:r>
        <w:t xml:space="preserve">The 18.89% coverage figure comes from another team member's baseline run.</w:t>
      </w:r>
    </w:p>
    <w:p>
      <w:pPr/>
      <w:r>
        <w:t xml:space="preserve">If I ran it again:</w:t>
      </w:r>
    </w:p>
    <w:p>
      <w:pPr>
        <w:pStyle w:val="ListParagraph"/>
        <w:numPr>
          <w:ilvl w:val="0"/>
          <w:numId w:val="5"/>
        </w:numPr>
      </w:pPr>
      <w:r>
        <w:t xml:space="preserve">Run the whole server with the same five acceptance criteria. Comparing it with the earlier whole-server run, which had none, would separate the effect of the criteria from the effect of scope.</w:t>
      </w:r>
    </w:p>
    <w:p>
      <w:pPr>
        <w:pStyle w:val="ListParagraph"/>
        <w:numPr>
          <w:ilvl w:val="0"/>
          <w:numId w:val="5"/>
        </w:numPr>
      </w:pPr>
      <w:r>
        <w:t xml:space="preserve">Write characterization tests for the places where semantics changed or are untested, and run them against both the baseline and the converted code.</w:t>
      </w:r>
    </w:p>
    <w:p>
      <w:pPr>
        <w:pStyle w:val="ListParagraph"/>
        <w:numPr>
          <w:ilvl w:val="0"/>
          <w:numId w:val="5"/>
        </w:numPr>
      </w:pPr>
      <w:r>
        <w:t xml:space="preserve">Ask the agent to record its typing and module-style decisions in a file that later runs can read, because the two runs chose different handling for the same </w:t>
      </w:r>
      <w:r>
        <w:rPr>
          <w:rStyle w:val="CodeChar"/>
        </w:rPr>
        <w:t xml:space="preserve">errorCode</w:t>
      </w:r>
      <w:r>
        <w:t xml:space="preserve"> pattern.</w:t>
      </w:r>
    </w:p>
    <w:p>
      <w:pPr>
        <w:pStyle w:val="ListParagraph"/>
        <w:numPr>
          <w:ilvl w:val="0"/>
          <w:numId w:val="5"/>
        </w:numPr>
      </w:pPr>
      <w:r>
        <w:t xml:space="preserve">Save the agent's final report to its own file during the run.</w:t>
      </w:r>
    </w:p>
    <w:p>
      <w:pPr>
        <w:pStyle w:val="Heading2"/>
      </w:pPr>
      <w:r>
        <w:t xml:space="preserve">Evidence index</w:t>
      </w:r>
    </w:p>
    <w:p>
      <w:pPr/>
      <w:r>
        <w:t xml:space="preserve">All files are in </w:t>
      </w:r>
      <w:r>
        <w:rPr>
          <w:rStyle w:val="CodeChar"/>
        </w:rPr>
        <w:t xml:space="preserve">a4-context/phase2-evidence/</w:t>
      </w:r>
      <w:r>
        <w:t xml:space="preserve"> unless stated otherwise.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File or reference</w:t>
            </w:r>
          </w:p>
        </w:tc>
        <w:tc>
          <w:tcPr>
            <w:tcW w:w="4680" w:type="dxa"/>
            <w:shd w:val="clear" w:color="auto" w:fill="F2F2F2"/>
          </w:tcPr>
          <w:p>
            <w:pPr/>
            <w:r>
              <w:t xml:space="preserve">Supports</w:t>
            </w:r>
          </w:p>
        </w:tc>
      </w:tr>
      <w:tr>
        <w:tc>
          <w:tcPr>
            <w:tcW w:w="4680" w:type="dxa"/>
          </w:tcPr>
          <w:p>
            <w:pPr/>
            <w:r>
              <w:t xml:space="preserve">Commit </w:t>
            </w:r>
            <w:r>
              <w:rPr>
                <w:rStyle w:val="CodeChar"/>
              </w:rPr>
              <w:t xml:space="preserve">be5e9e44</w:t>
            </w:r>
            <w:r>
              <w:t xml:space="preserve"> on </w:t>
            </w:r>
            <w:r>
              <w:rPr>
                <w:rStyle w:val="CodeChar"/>
              </w:rPr>
              <w:t xml:space="preserve">danny/phase2</w:t>
            </w:r>
            <w:r>
              <w:t xml:space="preserve"> (base </w:t>
            </w:r>
            <w:r>
              <w:rPr>
                <w:rStyle w:val="CodeChar"/>
              </w:rPr>
              <w:t xml:space="preserve">7d10b8fc</w:t>
            </w:r>
            <w:r>
              <w:t xml:space="preserve">)</w:t>
            </w:r>
          </w:p>
        </w:tc>
        <w:tc>
          <w:tcPr>
            <w:tcW w:w="4680" w:type="dxa"/>
          </w:tcPr>
          <w:p>
            <w:pPr/>
            <w:r>
              <w:t xml:space="preserve">The converted code and the diff statistics</w:t>
            </w:r>
          </w:p>
        </w:tc>
      </w:tr>
      <w:tr>
        <w:tc>
          <w:tcPr>
            <w:tcW w:w="4680" w:type="dxa"/>
          </w:tcPr>
          <w:p>
            <w:pPr/>
            <w:r>
              <w:rPr>
                <w:rStyle w:val="CodeChar"/>
              </w:rPr>
              <w:t xml:space="preserve">5aeca47c-680f-4d44-9c4d-8aea9cf177b0.jsonl</w:t>
            </w:r>
          </w:p>
        </w:tc>
        <w:tc>
          <w:tcPr>
            <w:tcW w:w="4680" w:type="dxa"/>
          </w:tcPr>
          <w:p>
            <w:pPr/>
            <w:r>
              <w:t xml:space="preserve">Session transcript: verbatim prompt, 43 tool calls, timestamps, the agent's final report and the later </w:t>
            </w:r>
            <w:r>
              <w:rPr>
                <w:rStyle w:val="CodeChar"/>
              </w:rPr>
              <w:t xml:space="preserve">/effort</w:t>
            </w:r>
            <w:r>
              <w:t xml:space="preserve"> command</w:t>
            </w:r>
          </w:p>
        </w:tc>
      </w:tr>
      <w:tr>
        <w:tc>
          <w:tcPr>
            <w:tcW w:w="4680" w:type="dxa"/>
          </w:tcPr>
          <w:p>
            <w:pPr/>
            <w:r>
              <w:rPr>
                <w:rStyle w:val="CodeChar"/>
              </w:rPr>
              <w:t xml:space="preserve">prompt.txt</w:t>
            </w:r>
          </w:p>
        </w:tc>
        <w:tc>
          <w:tcPr>
            <w:tcW w:w="4680" w:type="dxa"/>
          </w:tcPr>
          <w:p>
            <w:pPr/>
            <w:r>
              <w:t xml:space="preserve">The prompt, saved before the run</w:t>
            </w:r>
          </w:p>
        </w:tc>
      </w:tr>
      <w:tr>
        <w:tc>
          <w:tcPr>
            <w:tcW w:w="4680" w:type="dxa"/>
          </w:tcPr>
          <w:p>
            <w:pPr/>
            <w:r>
              <w:rPr>
                <w:rStyle w:val="CodeChar"/>
              </w:rPr>
              <w:t xml:space="preserve">baseline-test.txt</w:t>
            </w:r>
            <w:r>
              <w:t xml:space="preserve">, </w:t>
            </w:r>
            <w:r>
              <w:rPr>
                <w:rStyle w:val="CodeChar"/>
              </w:rPr>
              <w:t xml:space="preserve">baseline-tsc-errors.txt</w:t>
            </w:r>
          </w:p>
        </w:tc>
        <w:tc>
          <w:tcPr>
            <w:tcW w:w="4680" w:type="dxa"/>
          </w:tcPr>
          <w:p>
            <w:pPr/>
            <w:r>
              <w:t xml:space="preserve">Baseline: 356 passing, 0 type errors</w:t>
            </w:r>
          </w:p>
        </w:tc>
      </w:tr>
      <w:tr>
        <w:tc>
          <w:tcPr>
            <w:tcW w:w="4680" w:type="dxa"/>
          </w:tcPr>
          <w:p>
            <w:pPr/>
            <w:r>
              <w:rPr>
                <w:rStyle w:val="CodeChar"/>
              </w:rPr>
              <w:t xml:space="preserve">phase2-final-test.txt</w:t>
            </w:r>
          </w:p>
        </w:tc>
        <w:tc>
          <w:tcPr>
            <w:tcW w:w="4680" w:type="dxa"/>
          </w:tcPr>
          <w:p>
            <w:pPr/>
            <w:r>
              <w:t xml:space="preserve">Test result after the run: 356 passing</w:t>
            </w:r>
          </w:p>
        </w:tc>
      </w:tr>
      <w:tr>
        <w:tc>
          <w:tcPr>
            <w:tcW w:w="4680" w:type="dxa"/>
          </w:tcPr>
          <w:p>
            <w:pPr/>
            <w:r>
              <w:rPr>
                <w:rStyle w:val="CodeChar"/>
              </w:rPr>
              <w:t xml:space="preserve">phase2-verification.txt</w:t>
            </w:r>
          </w:p>
        </w:tc>
        <w:tc>
          <w:tcPr>
            <w:tcW w:w="4680" w:type="dxa"/>
          </w:tcPr>
          <w:p>
            <w:pPr/>
            <w:r>
              <w:t xml:space="preserve">Re-measured on the commit: 0 type errors, diff statistics, empty test-directory diff, no </w:t>
            </w:r>
            <w:r>
              <w:rPr>
                <w:rStyle w:val="CodeChar"/>
              </w:rPr>
              <w:t xml:space="preserve">any</w:t>
            </w:r>
            <w:r>
              <w:t xml:space="preserve"> or </w:t>
            </w:r>
            <w:r>
              <w:rPr>
                <w:rStyle w:val="CodeChar"/>
              </w:rPr>
              <w:t xml:space="preserve">@ts-*</w:t>
            </w:r>
            <w:r>
              <w:t xml:space="preserve">, the one </w:t>
            </w:r>
            <w:r>
              <w:rPr>
                <w:rStyle w:val="CodeChar"/>
              </w:rPr>
              <w:t xml:space="preserve">as unknown</w:t>
            </w:r>
            <w:r>
              <w:t xml:space="preserve"> cast</w:t>
            </w:r>
          </w:p>
        </w:tc>
      </w:tr>
      <w:tr>
        <w:tc>
          <w:tcPr>
            <w:tcW w:w="4680" w:type="dxa"/>
          </w:tcPr>
          <w:p>
            <w:pPr/>
            <w:r>
              <w:rPr>
                <w:rStyle w:val="CodeChar"/>
              </w:rPr>
              <w:t xml:space="preserve">git-status-after-run.txt</w:t>
            </w:r>
          </w:p>
        </w:tc>
        <w:tc>
          <w:tcPr>
            <w:tcW w:w="4680" w:type="dxa"/>
          </w:tcPr>
          <w:p>
            <w:pPr/>
            <w:r>
              <w:t xml:space="preserve">Repository state before the commit: 13 renames, 13 modified files and the untracked </w:t>
            </w:r>
            <w:r>
              <w:rPr>
                <w:rStyle w:val="CodeChar"/>
              </w:rPr>
              <w:t xml:space="preserve">types.ts</w:t>
            </w:r>
          </w:p>
        </w:tc>
      </w:tr>
      <w:tr>
        <w:tc>
          <w:tcPr>
            <w:tcW w:w="4680" w:type="dxa"/>
          </w:tcPr>
          <w:p>
            <w:pPr/>
            <w:r>
              <w:rPr>
                <w:rStyle w:val="CodeChar"/>
              </w:rPr>
              <w:t xml:space="preserve">start.txt</w:t>
            </w:r>
            <w:r>
              <w:t xml:space="preserve">, </w:t>
            </w:r>
            <w:r>
              <w:rPr>
                <w:rStyle w:val="CodeChar"/>
              </w:rPr>
              <w:t xml:space="preserve">end.txt</w:t>
            </w:r>
            <w:r>
              <w:t xml:space="preserve">, </w:t>
            </w:r>
            <w:r>
              <w:rPr>
                <w:rStyle w:val="CodeChar"/>
              </w:rPr>
              <w:t xml:space="preserve">progress.log</w:t>
            </w:r>
          </w:p>
        </w:tc>
        <w:tc>
          <w:tcPr>
            <w:tcW w:w="4680" w:type="dxa"/>
          </w:tcPr>
          <w:p>
            <w:pPr/>
            <w:r>
              <w:t xml:space="preserve">Logger start time; </w:t>
            </w:r>
            <w:r>
              <w:rPr>
                <w:rStyle w:val="CodeChar"/>
              </w:rPr>
              <w:t xml:space="preserve">end.txt</w:t>
            </w:r>
            <w:r>
              <w:t xml:space="preserve"> is when I stopped the logger after returning, not when the agent finished; </w:t>
            </w:r>
            <w:r>
              <w:rPr>
                <w:rStyle w:val="CodeChar"/>
              </w:rPr>
              <w:t xml:space="preserve">progress.log</w:t>
            </w:r>
            <w:r>
              <w:t xml:space="preserve"> holds 10 samples of file counts and type errors</w:t>
            </w:r>
          </w:p>
        </w:tc>
      </w:tr>
      <w:tr>
        <w:tc>
          <w:tcPr>
            <w:tcW w:w="4680" w:type="dxa"/>
          </w:tcPr>
          <w:p>
            <w:pPr/>
            <w:r>
              <w:rPr>
                <w:rStyle w:val="CodeChar"/>
              </w:rPr>
              <w:t xml:space="preserve">usage-before.txt</w:t>
            </w:r>
            <w:r>
              <w:t xml:space="preserve">, </w:t>
            </w:r>
            <w:r>
              <w:rPr>
                <w:rStyle w:val="CodeChar"/>
              </w:rPr>
              <w:t xml:space="preserve">usage-after.txt</w:t>
            </w:r>
          </w:p>
        </w:tc>
        <w:tc>
          <w:tcPr>
            <w:tcW w:w="4680" w:type="dxa"/>
          </w:tcPr>
          <w:p>
            <w:pPr/>
            <w:r>
              <w:t xml:space="preserve">Tool-reported cost, time and tokens</w:t>
            </w:r>
          </w:p>
        </w:tc>
      </w:tr>
      <w:tr>
        <w:tc>
          <w:tcPr>
            <w:tcW w:w="4680" w:type="dxa"/>
          </w:tcPr>
          <w:p>
            <w:pPr/>
            <w:r>
              <w:rPr>
                <w:rStyle w:val="CodeChar"/>
              </w:rPr>
              <w:t xml:space="preserve">compiled-diff-&lt;name&gt;.txt</w:t>
            </w:r>
            <w:r>
              <w:t xml:space="preserve"> (13 files)</w:t>
            </w:r>
          </w:p>
        </w:tc>
        <w:tc>
          <w:tcPr>
            <w:tcW w:w="4680" w:type="dxa"/>
          </w:tcPr>
          <w:p>
            <w:pPr/>
            <w:r>
              <w:t xml:space="preserve">Diff of compiled JavaScript, baseline against new code, for each converted file</w:t>
            </w:r>
          </w:p>
        </w:tc>
      </w:tr>
      <w:tr>
        <w:tc>
          <w:tcPr>
            <w:tcW w:w="4680" w:type="dxa"/>
          </w:tcPr>
          <w:p>
            <w:pPr/>
            <w:r>
              <w:rPr>
                <w:rStyle w:val="CodeChar"/>
              </w:rPr>
              <w:t xml:space="preserve">phase1-evidence/</w:t>
            </w:r>
            <w:r>
              <w:t xml:space="preserve">, </w:t>
            </w:r>
            <w:r>
              <w:rPr>
                <w:rStyle w:val="CodeChar"/>
              </w:rPr>
              <w:t xml:space="preserve">one-shot-evidence/</w:t>
            </w:r>
          </w:p>
        </w:tc>
        <w:tc>
          <w:tcPr>
            <w:tcW w:w="4680" w:type="dxa"/>
          </w:tcPr>
          <w:p>
            <w:pPr/>
            <w:r>
              <w:t xml:space="preserve">Evidence for the two earlier runs used in the comparison</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Phase 2 Report Workflow 1 at Pipeline Scale (13 Files)</dc:title>
  <dc:description>Claude Docs node/2534223c-5c85@8 docx-w6</dc:description>
  <cp:revision>8</cp:revision>
</cp:coreProperties>
</file>