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1750BC">
      <w:pPr>
        <w:rPr>
          <w:rFonts w:ascii="仿宋_GB2312" w:eastAsia="仿宋_GB2312"/>
          <w:b/>
          <w:bCs/>
          <w:sz w:val="72"/>
          <w:szCs w:val="72"/>
        </w:rPr>
      </w:pPr>
      <w:r>
        <w:rPr>
          <w:rFonts w:hint="eastAsia" w:ascii="仿宋_GB2312" w:eastAsia="仿宋_GB2312" w:cs="仿宋_GB2312"/>
          <w:b/>
          <w:bCs/>
          <w:sz w:val="28"/>
          <w:szCs w:val="28"/>
        </w:rPr>
        <w:t>课程编号：</w:t>
      </w:r>
    </w:p>
    <w:p w14:paraId="7D6D5C7C">
      <w:pPr>
        <w:jc w:val="center"/>
        <w:rPr>
          <w:rFonts w:hint="eastAsia" w:ascii="仿宋_GB2312" w:eastAsia="仿宋_GB2312" w:cs="仿宋_GB2312"/>
          <w:b/>
          <w:bCs/>
          <w:sz w:val="72"/>
          <w:szCs w:val="72"/>
        </w:rPr>
      </w:pPr>
    </w:p>
    <w:p w14:paraId="7DF653E0">
      <w:pPr>
        <w:jc w:val="center"/>
        <w:rPr>
          <w:rFonts w:hint="eastAsia" w:ascii="仿宋_GB2312" w:eastAsia="仿宋_GB2312" w:cs="仿宋_GB2312"/>
          <w:b/>
          <w:bCs/>
          <w:sz w:val="72"/>
          <w:szCs w:val="72"/>
        </w:rPr>
      </w:pPr>
    </w:p>
    <w:p w14:paraId="0F811DC8">
      <w:pPr>
        <w:jc w:val="center"/>
        <w:rPr>
          <w:rFonts w:hint="default" w:ascii="仿宋_GB2312" w:eastAsia="仿宋_GB2312"/>
          <w:b/>
          <w:bCs/>
          <w:sz w:val="72"/>
          <w:szCs w:val="72"/>
          <w:lang w:val="en-US" w:eastAsia="zh-CN"/>
        </w:rPr>
      </w:pPr>
      <w:r>
        <w:rPr>
          <w:rFonts w:hint="eastAsia" w:ascii="仿宋_GB2312" w:eastAsia="仿宋_GB2312" w:cs="仿宋_GB2312"/>
          <w:b/>
          <w:bCs/>
          <w:sz w:val="72"/>
          <w:szCs w:val="72"/>
          <w:lang w:eastAsia="zh-CN"/>
        </w:rPr>
        <w:t>《</w:t>
      </w:r>
      <w:r>
        <w:rPr>
          <w:rFonts w:hint="eastAsia" w:ascii="仿宋_GB2312" w:eastAsia="仿宋_GB2312" w:cs="仿宋_GB2312"/>
          <w:b/>
          <w:bCs/>
          <w:sz w:val="72"/>
          <w:szCs w:val="72"/>
        </w:rPr>
        <w:t>开源</w:t>
      </w:r>
      <w:r>
        <w:rPr>
          <w:rFonts w:hint="eastAsia" w:ascii="仿宋_GB2312" w:eastAsia="仿宋_GB2312" w:cs="仿宋_GB2312"/>
          <w:b/>
          <w:bCs/>
          <w:sz w:val="72"/>
          <w:szCs w:val="72"/>
          <w:lang w:val="en-US" w:eastAsia="zh-CN"/>
        </w:rPr>
        <w:t>创新思维》</w:t>
      </w:r>
    </w:p>
    <w:p w14:paraId="67604145">
      <w:pPr>
        <w:jc w:val="center"/>
        <w:rPr>
          <w:rFonts w:ascii="仿宋_GB2312" w:eastAsia="仿宋_GB2312"/>
          <w:b/>
          <w:bCs/>
          <w:sz w:val="72"/>
          <w:szCs w:val="72"/>
        </w:rPr>
      </w:pPr>
      <w:r>
        <w:rPr>
          <w:rFonts w:hint="eastAsia" w:ascii="仿宋_GB2312" w:eastAsia="仿宋_GB2312" w:cs="仿宋_GB2312"/>
          <w:b/>
          <w:bCs/>
          <w:sz w:val="72"/>
          <w:szCs w:val="72"/>
        </w:rPr>
        <w:t>平时作业报告</w:t>
      </w:r>
    </w:p>
    <w:p w14:paraId="72B4D612">
      <w:pPr>
        <w:jc w:val="center"/>
        <w:rPr>
          <w:rFonts w:ascii="仿宋_GB2312" w:eastAsia="仿宋_GB2312"/>
          <w:b/>
          <w:bCs/>
          <w:sz w:val="52"/>
          <w:szCs w:val="52"/>
        </w:rPr>
      </w:pPr>
    </w:p>
    <w:p w14:paraId="1E8560DC">
      <w:pPr>
        <w:jc w:val="center"/>
        <w:rPr>
          <w:rFonts w:ascii="宋体"/>
          <w:sz w:val="28"/>
          <w:szCs w:val="28"/>
        </w:rPr>
      </w:pPr>
    </w:p>
    <w:p w14:paraId="1E615644">
      <w:pPr>
        <w:jc w:val="center"/>
        <w:rPr>
          <w:rFonts w:ascii="宋体"/>
          <w:sz w:val="28"/>
          <w:szCs w:val="28"/>
        </w:rPr>
      </w:pPr>
    </w:p>
    <w:p w14:paraId="27E03F4E">
      <w:pPr>
        <w:jc w:val="center"/>
        <w:rPr>
          <w:rFonts w:ascii="宋体"/>
          <w:sz w:val="28"/>
          <w:szCs w:val="28"/>
        </w:rPr>
      </w:pPr>
    </w:p>
    <w:p w14:paraId="0CE85110">
      <w:pPr>
        <w:jc w:val="center"/>
        <w:rPr>
          <w:rFonts w:ascii="宋体"/>
          <w:sz w:val="28"/>
          <w:szCs w:val="28"/>
        </w:rPr>
      </w:pPr>
    </w:p>
    <w:p w14:paraId="1C97CF4E">
      <w:pPr>
        <w:jc w:val="center"/>
        <w:rPr>
          <w:rFonts w:ascii="宋体"/>
          <w:sz w:val="28"/>
          <w:szCs w:val="28"/>
        </w:rPr>
      </w:pPr>
    </w:p>
    <w:p w14:paraId="7DE1962F">
      <w:pPr>
        <w:rPr>
          <w:rFonts w:ascii="仿宋_GB2312" w:eastAsia="仿宋_GB2312"/>
        </w:rPr>
      </w:pPr>
    </w:p>
    <w:p w14:paraId="08818189">
      <w:pPr>
        <w:rPr>
          <w:rFonts w:ascii="仿宋_GB2312" w:eastAsia="仿宋_GB2312"/>
        </w:rPr>
      </w:pPr>
    </w:p>
    <w:p w14:paraId="6B531FE3">
      <w:pPr>
        <w:rPr>
          <w:rFonts w:ascii="仿宋_GB2312" w:eastAsia="仿宋_GB2312"/>
        </w:rPr>
      </w:pPr>
    </w:p>
    <w:p w14:paraId="6EFB2D5D">
      <w:pPr>
        <w:rPr>
          <w:rFonts w:ascii="仿宋_GB2312" w:eastAsia="仿宋_GB2312"/>
        </w:rPr>
      </w:pPr>
    </w:p>
    <w:tbl>
      <w:tblPr>
        <w:tblStyle w:val="6"/>
        <w:tblW w:w="79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1"/>
        <w:gridCol w:w="1594"/>
        <w:gridCol w:w="56"/>
        <w:gridCol w:w="2145"/>
        <w:gridCol w:w="2183"/>
      </w:tblGrid>
      <w:tr w14:paraId="04EF7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35084A30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姓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    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名</w:t>
            </w:r>
          </w:p>
        </w:tc>
        <w:tc>
          <w:tcPr>
            <w:tcW w:w="159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仿宋" w:eastAsia="仿宋"/>
                <w:b/>
                <w:sz w:val="24"/>
              </w:rPr>
              <w:t>华心怡</w:t>
            </w:r>
          </w:p>
        </w:tc>
        <w:tc>
          <w:tcPr>
            <w:tcW w:w="2201" w:type="dxa"/>
            <w:gridSpan w:val="2"/>
            <w:vAlign w:val="center"/>
          </w:tcPr>
          <w:p w14:paraId="616522A3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30"/>
                <w:kern w:val="0"/>
                <w:sz w:val="24"/>
                <w:szCs w:val="24"/>
              </w:rPr>
              <w:t>学</w:t>
            </w:r>
            <w:r>
              <w:rPr>
                <w:rFonts w:ascii="仿宋" w:hAnsi="仿宋" w:eastAsia="仿宋" w:cs="仿宋"/>
                <w:b/>
                <w:bCs/>
                <w:spacing w:val="30"/>
                <w:kern w:val="0"/>
                <w:sz w:val="24"/>
                <w:szCs w:val="24"/>
              </w:rPr>
              <w:t xml:space="preserve">       </w:t>
            </w:r>
            <w:r>
              <w:rPr>
                <w:rFonts w:hint="eastAsia" w:ascii="仿宋" w:hAnsi="仿宋" w:eastAsia="仿宋" w:cs="仿宋"/>
                <w:b/>
                <w:bCs/>
                <w:spacing w:val="45"/>
                <w:kern w:val="0"/>
                <w:sz w:val="24"/>
                <w:szCs w:val="24"/>
              </w:rPr>
              <w:t>号</w:t>
            </w:r>
          </w:p>
        </w:tc>
        <w:tc>
          <w:tcPr>
            <w:tcW w:w="218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仿宋" w:eastAsia="仿宋"/>
                <w:b/>
                <w:sz w:val="24"/>
              </w:rPr>
              <w:t>f25011306</w:t>
            </w:r>
          </w:p>
        </w:tc>
      </w:tr>
      <w:tr w14:paraId="66C5B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719C5919">
            <w:pPr>
              <w:wordWrap w:val="0"/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班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    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级</w:t>
            </w:r>
          </w:p>
        </w:tc>
        <w:tc>
          <w:tcPr>
            <w:tcW w:w="159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仿宋" w:eastAsia="仿宋"/>
                <w:b/>
                <w:sz w:val="24"/>
              </w:rPr>
              <w:t>F250117</w:t>
            </w:r>
          </w:p>
        </w:tc>
        <w:tc>
          <w:tcPr>
            <w:tcW w:w="2201" w:type="dxa"/>
            <w:gridSpan w:val="2"/>
            <w:vAlign w:val="center"/>
          </w:tcPr>
          <w:p w14:paraId="71B3CC3B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>指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>导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>教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1"/>
                <w:kern w:val="0"/>
                <w:sz w:val="24"/>
                <w:szCs w:val="24"/>
              </w:rPr>
              <w:t>师</w:t>
            </w:r>
          </w:p>
        </w:tc>
        <w:tc>
          <w:tcPr>
            <w:tcW w:w="2183" w:type="dxa"/>
            <w:vAlign w:val="center"/>
          </w:tcPr>
          <w:p w14:paraId="19AEECF8">
            <w:pPr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祝欣蓉</w:t>
            </w:r>
          </w:p>
        </w:tc>
      </w:tr>
      <w:tr w14:paraId="42BD8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961" w:type="dxa"/>
            <w:vAlign w:val="center"/>
          </w:tcPr>
          <w:p w14:paraId="49391E54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开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设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学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期</w:t>
            </w:r>
          </w:p>
        </w:tc>
        <w:tc>
          <w:tcPr>
            <w:tcW w:w="5978" w:type="dxa"/>
            <w:gridSpan w:val="4"/>
            <w:vAlign w:val="center"/>
          </w:tcPr>
          <w:p w14:paraId="2F4D4785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20</w:t>
            </w:r>
            <w:r>
              <w:rPr>
                <w:rFonts w:hint="eastAsia"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  <w:lang w:val="en-US" w:eastAsia="zh-CN"/>
              </w:rPr>
              <w:t>26</w:t>
            </w:r>
            <w:r>
              <w:rPr>
                <w:rFonts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-20</w:t>
            </w:r>
            <w:r>
              <w:rPr>
                <w:rFonts w:hint="eastAsia"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  <w:lang w:val="en-US" w:eastAsia="zh-CN"/>
              </w:rPr>
              <w:t>27</w:t>
            </w:r>
            <w:r>
              <w:rPr>
                <w:rFonts w:hint="eastAsia"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秋季学</w:t>
            </w:r>
            <w:r>
              <w:rPr>
                <w:rFonts w:hint="eastAsia" w:ascii="仿宋" w:hAnsi="仿宋" w:eastAsia="仿宋" w:cs="仿宋"/>
                <w:b/>
                <w:bCs/>
                <w:spacing w:val="0"/>
                <w:kern w:val="0"/>
                <w:sz w:val="24"/>
                <w:szCs w:val="24"/>
                <w:fitText w:val="2892" w:id="1715366501"/>
              </w:rPr>
              <w:t>期</w:t>
            </w:r>
          </w:p>
        </w:tc>
      </w:tr>
      <w:tr w14:paraId="3CAFD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7CBDA2F8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开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设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时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间</w:t>
            </w:r>
          </w:p>
        </w:tc>
        <w:tc>
          <w:tcPr>
            <w:tcW w:w="5978" w:type="dxa"/>
            <w:gridSpan w:val="4"/>
            <w:vAlign w:val="center"/>
          </w:tcPr>
          <w:p w14:paraId="1221FB3C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第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周</w:t>
            </w:r>
            <w:r>
              <w:rPr>
                <w:rFonts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——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第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  <w:lang w:val="en-US" w:eastAsia="zh-CN"/>
              </w:rPr>
              <w:t>16</w:t>
            </w:r>
            <w:bookmarkStart w:id="0" w:name="_GoBack"/>
            <w:bookmarkEnd w:id="0"/>
            <w:r>
              <w:rPr>
                <w:rFonts w:hint="eastAsia" w:ascii="仿宋" w:hAnsi="仿宋" w:eastAsia="仿宋" w:cs="仿宋"/>
                <w:b/>
                <w:bCs/>
                <w:spacing w:val="3"/>
                <w:kern w:val="0"/>
                <w:sz w:val="24"/>
                <w:szCs w:val="24"/>
                <w:fitText w:val="2892" w:id="1"/>
              </w:rPr>
              <w:t>周</w:t>
            </w:r>
          </w:p>
        </w:tc>
      </w:tr>
      <w:tr w14:paraId="51E73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961" w:type="dxa"/>
            <w:vAlign w:val="center"/>
          </w:tcPr>
          <w:p w14:paraId="4127BB84">
            <w:pPr>
              <w:wordWrap w:val="0"/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报告日期</w:t>
            </w:r>
          </w:p>
        </w:tc>
        <w:tc>
          <w:tcPr>
            <w:tcW w:w="5978" w:type="dxa"/>
            <w:gridSpan w:val="4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仿宋"/>
                <w:b/>
                <w:sz w:val="24"/>
                <w:color w:val="000000"/>
              </w:rPr>
              <w:t>2026年10月29日</w:t>
            </w:r>
          </w:p>
        </w:tc>
      </w:tr>
      <w:tr w14:paraId="4D61B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  <w:jc w:val="center"/>
        </w:trPr>
        <w:tc>
          <w:tcPr>
            <w:tcW w:w="1961" w:type="dxa"/>
            <w:vMerge w:val="restart"/>
            <w:vAlign w:val="center"/>
          </w:tcPr>
          <w:p w14:paraId="2E95CE6D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评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定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成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绩</w:t>
            </w:r>
          </w:p>
        </w:tc>
        <w:tc>
          <w:tcPr>
            <w:tcW w:w="1650" w:type="dxa"/>
            <w:gridSpan w:val="2"/>
            <w:vMerge w:val="restart"/>
            <w:vAlign w:val="center"/>
          </w:tcPr>
          <w:p w14:paraId="441CE6CB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  <w:vAlign w:val="center"/>
          </w:tcPr>
          <w:p w14:paraId="23CEC041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302"/>
                <w:kern w:val="0"/>
                <w:sz w:val="24"/>
                <w:szCs w:val="24"/>
                <w:fitText w:val="1928" w:id="2"/>
              </w:rPr>
              <w:t>评定</w:t>
            </w:r>
            <w:r>
              <w:rPr>
                <w:rFonts w:hint="eastAsia" w:ascii="仿宋" w:hAnsi="仿宋" w:eastAsia="仿宋" w:cs="仿宋"/>
                <w:b/>
                <w:bCs/>
                <w:spacing w:val="0"/>
                <w:kern w:val="0"/>
                <w:sz w:val="24"/>
                <w:szCs w:val="24"/>
                <w:fitText w:val="1928" w:id="2"/>
              </w:rPr>
              <w:t>人</w:t>
            </w:r>
          </w:p>
        </w:tc>
        <w:tc>
          <w:tcPr>
            <w:tcW w:w="2183" w:type="dxa"/>
            <w:vAlign w:val="center"/>
          </w:tcPr>
          <w:p w14:paraId="4DB25488">
            <w:pPr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祝欣蓉</w:t>
            </w:r>
          </w:p>
        </w:tc>
      </w:tr>
      <w:tr w14:paraId="48668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  <w:jc w:val="center"/>
        </w:trPr>
        <w:tc>
          <w:tcPr>
            <w:tcW w:w="1961" w:type="dxa"/>
            <w:vMerge w:val="continue"/>
            <w:vAlign w:val="center"/>
          </w:tcPr>
          <w:p w14:paraId="383DB938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1650" w:type="dxa"/>
            <w:gridSpan w:val="2"/>
            <w:vMerge w:val="continue"/>
            <w:vAlign w:val="center"/>
          </w:tcPr>
          <w:p w14:paraId="32F758F6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  <w:vAlign w:val="center"/>
          </w:tcPr>
          <w:p w14:paraId="561C9102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评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定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日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4"/>
                <w:kern w:val="0"/>
                <w:sz w:val="24"/>
                <w:szCs w:val="24"/>
                <w:fitText w:val="1928" w:id="3"/>
              </w:rPr>
              <w:t>期</w:t>
            </w:r>
          </w:p>
        </w:tc>
        <w:tc>
          <w:tcPr>
            <w:tcW w:w="2183" w:type="dxa"/>
            <w:vAlign w:val="center"/>
          </w:tcPr>
          <w:p w14:paraId="20F3EA0C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</w:tr>
    </w:tbl>
    <w:p w14:paraId="212ACDEC">
      <w:pPr>
        <w:widowControl/>
        <w:jc w:val="center"/>
        <w:rPr>
          <w:rFonts w:ascii="仿宋_GB2312" w:hAnsi="宋体" w:eastAsia="仿宋_GB2312"/>
          <w:b/>
          <w:bCs/>
          <w:sz w:val="28"/>
          <w:szCs w:val="28"/>
        </w:rPr>
      </w:pPr>
    </w:p>
    <w:p w14:paraId="389FC1C7">
      <w:pPr>
        <w:widowControl/>
        <w:jc w:val="center"/>
        <w:rPr>
          <w:rFonts w:ascii="仿宋_GB2312" w:hAnsi="宋体" w:eastAsia="仿宋_GB2312"/>
          <w:b/>
          <w:bCs/>
          <w:sz w:val="24"/>
          <w:szCs w:val="24"/>
        </w:rPr>
      </w:pPr>
      <w:r>
        <w:rPr>
          <w:rFonts w:ascii="Times New Roman" w:hAnsi="Times New Roman" w:cs="Times New Roman" w:eastAsia="仿宋_GB2312"/>
          <w:b/>
          <w:sz w:val="28"/>
          <w:color w:val="000000"/>
        </w:rPr>
        <w:t>上海杉达学院</w:t>
        <w:br w:type="page"/>
      </w:r>
    </w:p>
    <w:p>
      <w:pPr>
        <w:keepNext/>
        <w:spacing w:line="300" w:lineRule="auto" w:before="100" w:after="40"/>
        <w:jc w:val="left"/>
      </w:pPr>
      <w:r>
        <w:rPr>
          <w:rFonts w:ascii="Times New Roman" w:hAnsi="Times New Roman" w:cs="Times New Roman" w:eastAsia="黑体"/>
          <w:b/>
          <w:sz w:val="24"/>
          <w:color w:val="000000"/>
        </w:rPr>
        <w:t>1、开源项目介绍与测试方案</w:t>
      </w:r>
    </w:p>
    <w:p>
      <w:pPr>
        <w:spacing w:line="300" w:lineRule="auto" w:before="0" w:after="40"/>
        <w:ind w:firstLine="420" w:firstLineChars="200"/>
        <w:jc w:val="both"/>
      </w:pPr>
      <w:r>
        <w:rPr>
          <w:rFonts w:ascii="Times New Roman" w:hAnsi="Times New Roman" w:cs="Times New Roman" w:eastAsia="宋体"/>
          <w:b w:val="0"/>
          <w:sz w:val="21"/>
          <w:color w:val="000000"/>
        </w:rPr>
        <w:t>本次选取个人 GitHub 项目“代码仓鼠（Repo Hamster）”。项目通过 GitHub 公开仓库的提交频率、提交信息和最新 diff 计算电子宠物的体重、心情、饥饿与亲密度，并提供投喂、轻量代码提示和分享卡功能。主体采用原生 HTML、CSS、JavaScript，本地联动服务采用 Node.js；仓库无 package.json，README 明确说明无 npm 依赖。</w:t>
      </w:r>
    </w:p>
    <w:p>
      <w:pPr>
        <w:keepNext/>
        <w:spacing w:before="40" w:after="20"/>
        <w:jc w:val="center"/>
      </w:pPr>
      <w:r>
        <w:rPr>
          <w:rFonts w:ascii="Times New Roman" w:hAnsi="Times New Roman" w:cs="Times New Roman" w:eastAsia="宋体"/>
          <w:b/>
          <w:sz w:val="21"/>
          <w:color w:val="000000"/>
        </w:rPr>
        <w:t>表1  测试对象与范围</w:t>
      </w:r>
    </w:p>
    <w:tbl>
      <w:tblPr>
        <w:tblW w:type="auto" w:w="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rPr>
          <w:cantSplit/>
        </w:trPr>
        <w:tc>
          <w:tcPr>
            <w:tcW w:type="dxa" w:w="1800"/>
            <w:shd w:val="clear" w:color="auto" w:fill="E7E6E6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sz w:val="19"/>
                <w:color w:val="000000"/>
              </w:rPr>
              <w:t>项目</w:t>
            </w:r>
          </w:p>
        </w:tc>
        <w:tc>
          <w:tcPr>
            <w:tcW w:type="dxa" w:w="6400"/>
            <w:shd w:val="clear" w:color="auto" w:fill="E7E6E6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sz w:val="19"/>
                <w:color w:val="000000"/>
              </w:rPr>
              <w:t>内容</w:t>
            </w:r>
          </w:p>
        </w:tc>
      </w:tr>
      <w:tr>
        <w:trPr>
          <w:cantSplit/>
        </w:trPr>
        <w:tc>
          <w:tcPr>
            <w:tcW w:type="dxa" w:w="180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9"/>
                <w:color w:val="000000"/>
              </w:rPr>
              <w:t>仓库与版本</w:t>
            </w:r>
          </w:p>
        </w:tc>
        <w:tc>
          <w:tcPr>
            <w:tcW w:type="dxa" w:w="640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9"/>
                <w:color w:val="000000"/>
              </w:rPr>
              <w:t>hahaaa520/kiro-repo-hamster；提交 02bac3f6ac39bbe54819d3263f0671c63c16a7c4</w:t>
            </w:r>
          </w:p>
        </w:tc>
      </w:tr>
      <w:tr>
        <w:trPr>
          <w:cantSplit/>
        </w:trPr>
        <w:tc>
          <w:tcPr>
            <w:tcW w:type="dxa" w:w="180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9"/>
                <w:color w:val="000000"/>
              </w:rPr>
              <w:t>文件范围</w:t>
            </w:r>
          </w:p>
        </w:tc>
        <w:tc>
          <w:tcPr>
            <w:tcW w:type="dxa" w:w="640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9"/>
                <w:color w:val="000000"/>
              </w:rPr>
              <w:t>仓库共 79 个文件；获取 59 个文本/源码文件，20 个 PNG、PDF、PPTX、ZIP 二进制交付物不纳入文本扫描</w:t>
            </w:r>
          </w:p>
        </w:tc>
      </w:tr>
      <w:tr>
        <w:trPr>
          <w:cantSplit/>
        </w:trPr>
        <w:tc>
          <w:tcPr>
            <w:tcW w:type="dxa" w:w="180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9"/>
                <w:color w:val="000000"/>
              </w:rPr>
              <w:t>实际扫描</w:t>
            </w:r>
          </w:p>
        </w:tc>
        <w:tc>
          <w:tcPr>
            <w:tcW w:type="dxa" w:w="640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9"/>
                <w:color w:val="000000"/>
              </w:rPr>
              <w:t>ScanCode 报告含 58 个文件，其中源码 25 个；.gitignore 被工具默认忽略</w:t>
            </w:r>
          </w:p>
        </w:tc>
      </w:tr>
      <w:tr>
        <w:trPr>
          <w:cantSplit/>
        </w:trPr>
        <w:tc>
          <w:tcPr>
            <w:tcW w:type="dxa" w:w="180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9"/>
                <w:color w:val="000000"/>
              </w:rPr>
              <w:t>检测维度</w:t>
            </w:r>
          </w:p>
        </w:tc>
        <w:tc>
          <w:tcPr>
            <w:tcW w:type="dxa" w:w="640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9"/>
                <w:color w:val="000000"/>
              </w:rPr>
              <w:t>许可证、版权与作者、包清单、依赖、文件信息；人工复核根目录许可文件及核心源码</w:t>
            </w:r>
          </w:p>
        </w:tc>
      </w:tr>
    </w:tbl>
    <w:p>
      <w:pPr>
        <w:spacing w:line="300" w:lineRule="auto" w:before="0" w:after="40"/>
        <w:ind w:firstLine="420" w:firstLineChars="200"/>
        <w:jc w:val="both"/>
      </w:pPr>
      <w:r>
        <w:rPr>
          <w:rFonts w:ascii="Times New Roman" w:hAnsi="Times New Roman" w:cs="Times New Roman" w:eastAsia="宋体"/>
          <w:b w:val="0"/>
          <w:sz w:val="21"/>
          <w:color w:val="000000"/>
        </w:rPr>
        <w:t>测试策略为“固定版本—工具全扫—零命中复核—风险分级—整改复扫”。质量标准是扫描完整结束且无文件错误、输出可追溯、所有命中得到解释；充分性标准是核心源码与文本资料均进入扫描、许可文件和依赖情况经过人工核对。二进制未扫描属于剩余风险，不据此作完全合规结论。</w:t>
      </w:r>
    </w:p>
    <w:p>
      <w:pPr>
        <w:keepNext/>
        <w:spacing w:line="300" w:lineRule="auto" w:before="100" w:after="40"/>
        <w:jc w:val="left"/>
      </w:pPr>
      <w:r>
        <w:rPr>
          <w:rFonts w:ascii="Times New Roman" w:hAnsi="Times New Roman" w:cs="Times New Roman" w:eastAsia="黑体"/>
          <w:b/>
          <w:sz w:val="24"/>
          <w:color w:val="000000"/>
        </w:rPr>
        <w:t>2、许可证合规工具安装及问题</w:t>
      </w:r>
    </w:p>
    <w:p>
      <w:pPr>
        <w:spacing w:line="300" w:lineRule="auto" w:before="0" w:after="40"/>
        <w:ind w:firstLine="420" w:firstLineChars="200"/>
        <w:jc w:val="both"/>
      </w:pPr>
      <w:r>
        <w:rPr>
          <w:rFonts w:ascii="Times New Roman" w:hAnsi="Times New Roman" w:cs="Times New Roman" w:eastAsia="宋体"/>
          <w:b w:val="0"/>
          <w:sz w:val="21"/>
          <w:color w:val="000000"/>
        </w:rPr>
        <w:t>选用 ScanCode Toolkit，原因是其可同时识别许可证、版权和包信息，并输出 JSON 与 HTML，适合课程项目的证据留存。测试环境为 Windows 11、Python 3.12.14；最终使用 ScanCode 32.5.0、输出格式 4.1.0、SPDX 许可证列表 3.27。</w:t>
      </w:r>
    </w:p>
    <w:p>
      <w:pPr>
        <w:spacing w:line="300" w:lineRule="auto" w:before="0" w:after="40"/>
        <w:ind w:firstLine="420" w:firstLineChars="200"/>
        <w:jc w:val="both"/>
      </w:pPr>
      <w:r>
        <w:rPr>
          <w:rFonts w:ascii="Times New Roman" w:hAnsi="Times New Roman" w:cs="Times New Roman" w:eastAsia="宋体"/>
          <w:b w:val="0"/>
          <w:sz w:val="21"/>
          <w:color w:val="000000"/>
        </w:rPr>
        <w:t>安装时先执行 python -m venv .venv-scancode 创建隔离环境，再以 pip install scancode-toolkit 安装。默认 PyPI 源出现 SSL EOF 与代理连接中断，改用清华镜像后继续；主程序安装曾超时，利用缓存完成主程序与依赖安装。启动时又出现 pre_scan hooks 兼容错误，将 pluggy 1.7.0 固定为 1.6.0 后，scancode --version 正常返回 32.5.0。</w:t>
      </w:r>
    </w:p>
    <w:p>
      <w:pPr>
        <w:keepNext/>
        <w:spacing w:line="300" w:lineRule="auto" w:before="100" w:after="40"/>
        <w:jc w:val="left"/>
      </w:pPr>
      <w:r>
        <w:rPr>
          <w:rFonts w:ascii="Times New Roman" w:hAnsi="Times New Roman" w:cs="Times New Roman" w:eastAsia="黑体"/>
          <w:b/>
          <w:sz w:val="24"/>
          <w:color w:val="000000"/>
        </w:rPr>
        <w:t>3、工具输出的检测报告</w:t>
      </w:r>
    </w:p>
    <w:p>
      <w:pPr>
        <w:spacing w:line="300" w:lineRule="auto" w:before="0" w:after="40"/>
        <w:ind w:firstLine="420" w:firstLineChars="200"/>
        <w:jc w:val="both"/>
      </w:pPr>
      <w:r>
        <w:rPr>
          <w:rFonts w:ascii="Times New Roman" w:hAnsi="Times New Roman" w:cs="Times New Roman" w:eastAsia="宋体"/>
          <w:b w:val="0"/>
          <w:sz w:val="21"/>
          <w:color w:val="000000"/>
        </w:rPr>
        <w:t>核心命令为：scancode --license --copyright --package --info --strip-root --processes 2 --json-pp kiro-repo-hamster-scancode.json --html kiro-repo-hamster-scancode.html kiro-repo-hamster。原始 JSON、HTML 和运行日志随报告保存，以下为原始 JSON 的统计摘要。</w:t>
      </w:r>
    </w:p>
    <w:p>
      <w:pPr>
        <w:keepNext/>
        <w:spacing w:before="40" w:after="20"/>
        <w:jc w:val="center"/>
      </w:pPr>
      <w:r>
        <w:rPr>
          <w:rFonts w:ascii="Times New Roman" w:hAnsi="Times New Roman" w:cs="Times New Roman" w:eastAsia="宋体"/>
          <w:b/>
          <w:sz w:val="21"/>
          <w:color w:val="000000"/>
        </w:rPr>
        <w:t>表2  ScanCode 原始输出摘要</w:t>
      </w:r>
    </w:p>
    <w:tbl>
      <w:tblPr>
        <w:tblW w:type="auto" w:w="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rPr>
          <w:cantSplit/>
        </w:trPr>
        <w:tc>
          <w:tcPr>
            <w:tcW w:type="dxa" w:w="1700"/>
            <w:shd w:val="clear" w:color="auto" w:fill="E7E6E6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sz w:val="19"/>
                <w:color w:val="000000"/>
              </w:rPr>
              <w:t>指标</w:t>
            </w:r>
          </w:p>
        </w:tc>
        <w:tc>
          <w:tcPr>
            <w:tcW w:type="dxa" w:w="2600"/>
            <w:shd w:val="clear" w:color="auto" w:fill="E7E6E6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sz w:val="19"/>
                <w:color w:val="000000"/>
              </w:rPr>
              <w:t>结果</w:t>
            </w:r>
          </w:p>
        </w:tc>
        <w:tc>
          <w:tcPr>
            <w:tcW w:type="dxa" w:w="1700"/>
            <w:shd w:val="clear" w:color="auto" w:fill="E7E6E6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sz w:val="19"/>
                <w:color w:val="000000"/>
              </w:rPr>
              <w:t>指标</w:t>
            </w:r>
          </w:p>
        </w:tc>
        <w:tc>
          <w:tcPr>
            <w:tcW w:type="dxa" w:w="2200"/>
            <w:shd w:val="clear" w:color="auto" w:fill="E7E6E6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sz w:val="19"/>
                <w:color w:val="000000"/>
              </w:rPr>
              <w:t>结果</w:t>
            </w:r>
          </w:p>
        </w:tc>
      </w:tr>
      <w:tr>
        <w:trPr>
          <w:cantSplit/>
        </w:trPr>
        <w:tc>
          <w:tcPr>
            <w:tcW w:type="dxa" w:w="170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9"/>
                <w:color w:val="000000"/>
              </w:rPr>
              <w:t>扫描时间（UTC）</w:t>
            </w:r>
          </w:p>
        </w:tc>
        <w:tc>
          <w:tcPr>
            <w:tcW w:type="dxa" w:w="260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9"/>
                <w:color w:val="000000"/>
              </w:rPr>
              <w:t>2026-10-29 06:02:11—06:02:44</w:t>
            </w:r>
          </w:p>
        </w:tc>
        <w:tc>
          <w:tcPr>
            <w:tcW w:type="dxa" w:w="170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9"/>
                <w:color w:val="000000"/>
              </w:rPr>
              <w:t>JSON 记录时长</w:t>
            </w:r>
          </w:p>
        </w:tc>
        <w:tc>
          <w:tcPr>
            <w:tcW w:type="dxa" w:w="220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9"/>
                <w:color w:val="000000"/>
              </w:rPr>
              <w:t>33.32 秒</w:t>
            </w:r>
          </w:p>
        </w:tc>
      </w:tr>
      <w:tr>
        <w:trPr>
          <w:cantSplit/>
        </w:trPr>
        <w:tc>
          <w:tcPr>
            <w:tcW w:type="dxa" w:w="170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9"/>
                <w:color w:val="000000"/>
              </w:rPr>
              <w:t>报告文件数</w:t>
            </w:r>
          </w:p>
        </w:tc>
        <w:tc>
          <w:tcPr>
            <w:tcW w:type="dxa" w:w="260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9"/>
                <w:color w:val="000000"/>
              </w:rPr>
              <w:t>58</w:t>
            </w:r>
          </w:p>
        </w:tc>
        <w:tc>
          <w:tcPr>
            <w:tcW w:type="dxa" w:w="170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9"/>
                <w:color w:val="000000"/>
              </w:rPr>
              <w:t>源码文件数</w:t>
            </w:r>
          </w:p>
        </w:tc>
        <w:tc>
          <w:tcPr>
            <w:tcW w:type="dxa" w:w="220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9"/>
                <w:color w:val="000000"/>
              </w:rPr>
              <w:t>25</w:t>
            </w:r>
          </w:p>
        </w:tc>
      </w:tr>
      <w:tr>
        <w:trPr>
          <w:cantSplit/>
        </w:trPr>
        <w:tc>
          <w:tcPr>
            <w:tcW w:type="dxa" w:w="170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9"/>
                <w:color w:val="000000"/>
              </w:rPr>
              <w:t>许可证命中文件</w:t>
            </w:r>
          </w:p>
        </w:tc>
        <w:tc>
          <w:tcPr>
            <w:tcW w:type="dxa" w:w="260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9"/>
                <w:color w:val="000000"/>
              </w:rPr>
              <w:t>0</w:t>
            </w:r>
          </w:p>
        </w:tc>
        <w:tc>
          <w:tcPr>
            <w:tcW w:type="dxa" w:w="170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9"/>
                <w:color w:val="000000"/>
              </w:rPr>
              <w:t>版权/作者命中文件</w:t>
            </w:r>
          </w:p>
        </w:tc>
        <w:tc>
          <w:tcPr>
            <w:tcW w:type="dxa" w:w="220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9"/>
                <w:color w:val="000000"/>
              </w:rPr>
              <w:t>0</w:t>
            </w:r>
          </w:p>
        </w:tc>
      </w:tr>
      <w:tr>
        <w:trPr>
          <w:cantSplit/>
        </w:trPr>
        <w:tc>
          <w:tcPr>
            <w:tcW w:type="dxa" w:w="170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9"/>
                <w:color w:val="000000"/>
              </w:rPr>
              <w:t>包清单/依赖</w:t>
            </w:r>
          </w:p>
        </w:tc>
        <w:tc>
          <w:tcPr>
            <w:tcW w:type="dxa" w:w="260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9"/>
                <w:color w:val="000000"/>
              </w:rPr>
              <w:t>0 / 0</w:t>
            </w:r>
          </w:p>
        </w:tc>
        <w:tc>
          <w:tcPr>
            <w:tcW w:type="dxa" w:w="170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9"/>
                <w:color w:val="000000"/>
              </w:rPr>
              <w:t>文件扫描错误</w:t>
            </w:r>
          </w:p>
        </w:tc>
        <w:tc>
          <w:tcPr>
            <w:tcW w:type="dxa" w:w="220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9"/>
                <w:color w:val="000000"/>
              </w:rPr>
              <w:t>0</w:t>
            </w:r>
          </w:p>
        </w:tc>
      </w:tr>
      <w:tr>
        <w:trPr>
          <w:cantSplit/>
        </w:trPr>
        <w:tc>
          <w:tcPr>
            <w:tcW w:type="dxa" w:w="170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9"/>
                <w:color w:val="000000"/>
              </w:rPr>
              <w:t>语言分布</w:t>
            </w:r>
          </w:p>
        </w:tc>
        <w:tc>
          <w:tcPr>
            <w:tcW w:type="dxa" w:w="260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9"/>
                <w:color w:val="000000"/>
              </w:rPr>
              <w:t>JavaScript 11、Batchfile 6、HTML 5、CSS 2、Python 1、其他 33</w:t>
            </w:r>
          </w:p>
        </w:tc>
        <w:tc>
          <w:tcPr>
            <w:tcW w:type="dxa" w:w="170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9"/>
                <w:color w:val="000000"/>
              </w:rPr>
              <w:t>控制台提示</w:t>
            </w:r>
          </w:p>
        </w:tc>
        <w:tc>
          <w:tcPr>
            <w:tcW w:type="dxa" w:w="220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9"/>
                <w:color w:val="000000"/>
              </w:rPr>
              <w:t>11 次字符解码替换</w:t>
            </w:r>
          </w:p>
        </w:tc>
      </w:tr>
    </w:tbl>
    <w:p>
      <w:pPr>
        <w:spacing w:line="300" w:lineRule="auto" w:before="0" w:after="40"/>
        <w:ind w:firstLine="420" w:firstLineChars="200"/>
        <w:jc w:val="both"/>
      </w:pPr>
      <w:r>
        <w:rPr>
          <w:rFonts w:ascii="Times New Roman" w:hAnsi="Times New Roman" w:cs="Times New Roman" w:eastAsia="宋体"/>
          <w:b w:val="0"/>
          <w:sz w:val="21"/>
          <w:color w:val="000000"/>
        </w:rPr>
        <w:t>JSON 头部 errors 与 warnings 均为空，文件级 scan_errors 均为 0；11 次解码提示只出现在控制台，因此不能将其误写为 JSON 错误。原始 JSON 的 SHA-256 为 7a0b411b00528873b9ef87d1741e5fae3f49f4a937d2103f21f3a260c6ea63b5。</w:t>
      </w:r>
    </w:p>
    <w:p>
      <w:pPr>
        <w:keepNext/>
        <w:spacing w:line="300" w:lineRule="auto" w:before="100" w:after="40"/>
        <w:jc w:val="left"/>
      </w:pPr>
      <w:r>
        <w:rPr>
          <w:rFonts w:ascii="Times New Roman" w:hAnsi="Times New Roman" w:cs="Times New Roman" w:eastAsia="黑体"/>
          <w:b/>
          <w:sz w:val="24"/>
          <w:color w:val="000000"/>
        </w:rPr>
        <w:t>4、检测结果详细分析与整改建议</w:t>
      </w:r>
    </w:p>
    <w:p>
      <w:pPr>
        <w:spacing w:line="300" w:lineRule="auto" w:before="0" w:after="40"/>
        <w:ind w:firstLine="420" w:firstLineChars="200"/>
        <w:jc w:val="both"/>
      </w:pPr>
      <w:r>
        <w:rPr>
          <w:rFonts w:ascii="Times New Roman" w:hAnsi="Times New Roman" w:cs="Times New Roman" w:eastAsia="宋体"/>
          <w:b/>
          <w:sz w:val="21"/>
          <w:color w:val="000000"/>
        </w:rPr>
        <w:t>（1）许可证缺失是高优先级问题。</w:t>
      </w:r>
      <w:r>
        <w:rPr>
          <w:rFonts w:ascii="Times New Roman" w:hAnsi="Times New Roman" w:cs="Times New Roman" w:eastAsia="宋体"/>
          <w:b w:val="0"/>
          <w:sz w:val="21"/>
          <w:color w:val="000000"/>
        </w:rPr>
        <w:t>仓库根目录没有 LICENSE、COPYING 或 NOTICE，58 个文件也无许可证表达式命中。零命中不代表进入公有领域；在保留所有权利默认状态下，外界缺少复制、修改和再分发的明确授权，故当前不能判定为“许可合规”。</w:t>
      </w:r>
    </w:p>
    <w:p>
      <w:pPr>
        <w:spacing w:line="300" w:lineRule="auto" w:before="0" w:after="40"/>
        <w:ind w:firstLine="420" w:firstLineChars="200"/>
        <w:jc w:val="both"/>
      </w:pPr>
      <w:r>
        <w:rPr>
          <w:rFonts w:ascii="Times New Roman" w:hAnsi="Times New Roman" w:cs="Times New Roman" w:eastAsia="宋体"/>
          <w:b/>
          <w:sz w:val="21"/>
          <w:color w:val="000000"/>
        </w:rPr>
        <w:t>（2）归属信息不足。</w:t>
      </w:r>
      <w:r>
        <w:rPr>
          <w:rFonts w:ascii="Times New Roman" w:hAnsi="Times New Roman" w:cs="Times New Roman" w:eastAsia="宋体"/>
          <w:b w:val="0"/>
          <w:sz w:val="21"/>
          <w:color w:val="000000"/>
        </w:rPr>
        <w:t>版权、作者和持有者命中均为 0，难以从文件本身确认权利主体与许可边界。应在许可证确定后补充版权声明、README 许可章节和统一 SPDX 标识，并对核心源文件添加简短许可头。</w:t>
      </w:r>
    </w:p>
    <w:p>
      <w:pPr>
        <w:spacing w:line="300" w:lineRule="auto" w:before="0" w:after="40"/>
        <w:ind w:firstLine="420" w:firstLineChars="200"/>
        <w:jc w:val="both"/>
      </w:pPr>
      <w:r>
        <w:rPr>
          <w:rFonts w:ascii="Times New Roman" w:hAnsi="Times New Roman" w:cs="Times New Roman" w:eastAsia="宋体"/>
          <w:b/>
          <w:sz w:val="21"/>
          <w:color w:val="000000"/>
        </w:rPr>
        <w:t>（3）未发现第三方包冲突证据，但不等于完成兼容性证明。</w:t>
      </w:r>
      <w:r>
        <w:rPr>
          <w:rFonts w:ascii="Times New Roman" w:hAnsi="Times New Roman" w:cs="Times New Roman" w:eastAsia="宋体"/>
          <w:b w:val="0"/>
          <w:sz w:val="21"/>
          <w:color w:val="000000"/>
        </w:rPr>
        <w:t>包与依赖均为 0 与项目无 package.json、使用 Node 内置模块和浏览器原生能力相互印证；GitHub REST API 属于网络服务而非随仓库分发的依赖。后续引入字体、图标、代码片段或 npm 包时仍需记录来源、版本、许可证与 NOTICE 义务。</w:t>
      </w:r>
    </w:p>
    <w:p>
      <w:pPr>
        <w:keepNext/>
        <w:spacing w:before="40" w:after="20"/>
        <w:jc w:val="center"/>
      </w:pPr>
      <w:r>
        <w:rPr>
          <w:rFonts w:ascii="Times New Roman" w:hAnsi="Times New Roman" w:cs="Times New Roman" w:eastAsia="宋体"/>
          <w:b/>
          <w:sz w:val="21"/>
          <w:color w:val="000000"/>
        </w:rPr>
        <w:t>表3  风险与整改优先级</w:t>
      </w:r>
    </w:p>
    <w:tbl>
      <w:tblPr>
        <w:tblW w:type="auto" w:w="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rPr>
          <w:cantSplit/>
        </w:trPr>
        <w:tc>
          <w:tcPr>
            <w:tcW w:type="dxa" w:w="1800"/>
            <w:shd w:val="clear" w:color="auto" w:fill="E7E6E6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sz w:val="19"/>
                <w:color w:val="000000"/>
              </w:rPr>
              <w:t>风险</w:t>
            </w:r>
          </w:p>
        </w:tc>
        <w:tc>
          <w:tcPr>
            <w:tcW w:type="dxa" w:w="900"/>
            <w:shd w:val="clear" w:color="auto" w:fill="E7E6E6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sz w:val="19"/>
                <w:color w:val="000000"/>
              </w:rPr>
              <w:t>等级</w:t>
            </w:r>
          </w:p>
        </w:tc>
        <w:tc>
          <w:tcPr>
            <w:tcW w:type="dxa" w:w="3500"/>
            <w:shd w:val="clear" w:color="auto" w:fill="E7E6E6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sz w:val="19"/>
                <w:color w:val="000000"/>
              </w:rPr>
              <w:t>整改措施</w:t>
            </w:r>
          </w:p>
        </w:tc>
        <w:tc>
          <w:tcPr>
            <w:tcW w:type="dxa" w:w="2000"/>
            <w:shd w:val="clear" w:color="auto" w:fill="E7E6E6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sz w:val="19"/>
                <w:color w:val="000000"/>
              </w:rPr>
              <w:t>复验标准</w:t>
            </w:r>
          </w:p>
        </w:tc>
      </w:tr>
      <w:tr>
        <w:trPr>
          <w:cantSplit/>
        </w:trPr>
        <w:tc>
          <w:tcPr>
            <w:tcW w:type="dxa" w:w="180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9"/>
                <w:color w:val="000000"/>
              </w:rPr>
              <w:t>无整体许可证</w:t>
            </w:r>
          </w:p>
        </w:tc>
        <w:tc>
          <w:tcPr>
            <w:tcW w:type="dxa" w:w="90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9"/>
                <w:color w:val="000000"/>
              </w:rPr>
              <w:t>高</w:t>
            </w:r>
          </w:p>
        </w:tc>
        <w:tc>
          <w:tcPr>
            <w:tcW w:type="dxa" w:w="350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9"/>
                <w:color w:val="000000"/>
              </w:rPr>
              <w:t>由权利人选定 MIT 或 Apache-2.0 等许可证，添加 LICENSE 与 README 声明</w:t>
            </w:r>
          </w:p>
        </w:tc>
        <w:tc>
          <w:tcPr>
            <w:tcW w:type="dxa" w:w="200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9"/>
                <w:color w:val="000000"/>
              </w:rPr>
              <w:t>复扫能识别目标 SPDX 表达式</w:t>
            </w:r>
          </w:p>
        </w:tc>
      </w:tr>
      <w:tr>
        <w:trPr>
          <w:cantSplit/>
        </w:trPr>
        <w:tc>
          <w:tcPr>
            <w:tcW w:type="dxa" w:w="180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9"/>
                <w:color w:val="000000"/>
              </w:rPr>
              <w:t>无版权/许可头</w:t>
            </w:r>
          </w:p>
        </w:tc>
        <w:tc>
          <w:tcPr>
            <w:tcW w:type="dxa" w:w="90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9"/>
                <w:color w:val="000000"/>
              </w:rPr>
              <w:t>中</w:t>
            </w:r>
          </w:p>
        </w:tc>
        <w:tc>
          <w:tcPr>
            <w:tcW w:type="dxa" w:w="350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9"/>
                <w:color w:val="000000"/>
              </w:rPr>
              <w:t>补充版权主体、年份和统一许可头；第三方素材单独登记</w:t>
            </w:r>
          </w:p>
        </w:tc>
        <w:tc>
          <w:tcPr>
            <w:tcW w:type="dxa" w:w="200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9"/>
                <w:color w:val="000000"/>
              </w:rPr>
              <w:t>核心源码归属可追踪</w:t>
            </w:r>
          </w:p>
        </w:tc>
      </w:tr>
      <w:tr>
        <w:trPr>
          <w:cantSplit/>
        </w:trPr>
        <w:tc>
          <w:tcPr>
            <w:tcW w:type="dxa" w:w="180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9"/>
                <w:color w:val="000000"/>
              </w:rPr>
              <w:t>重复副本与二进制未扫</w:t>
            </w:r>
          </w:p>
        </w:tc>
        <w:tc>
          <w:tcPr>
            <w:tcW w:type="dxa" w:w="90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9"/>
                <w:color w:val="000000"/>
              </w:rPr>
              <w:t>中</w:t>
            </w:r>
          </w:p>
        </w:tc>
        <w:tc>
          <w:tcPr>
            <w:tcW w:type="dxa" w:w="350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9"/>
                <w:color w:val="000000"/>
              </w:rPr>
              <w:t>同步修改 app 与 deliver 副本；发布前对压缩包解包复扫</w:t>
            </w:r>
          </w:p>
        </w:tc>
        <w:tc>
          <w:tcPr>
            <w:tcW w:type="dxa" w:w="200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9"/>
                <w:color w:val="000000"/>
              </w:rPr>
              <w:t>交付物与源码结论一致</w:t>
            </w:r>
          </w:p>
        </w:tc>
      </w:tr>
      <w:tr>
        <w:trPr>
          <w:cantSplit/>
        </w:trPr>
        <w:tc>
          <w:tcPr>
            <w:tcW w:type="dxa" w:w="180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9"/>
                <w:color w:val="000000"/>
              </w:rPr>
              <w:t>中文解码提示</w:t>
            </w:r>
          </w:p>
        </w:tc>
        <w:tc>
          <w:tcPr>
            <w:tcW w:type="dxa" w:w="90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9"/>
                <w:color w:val="000000"/>
              </w:rPr>
              <w:t>低</w:t>
            </w:r>
          </w:p>
        </w:tc>
        <w:tc>
          <w:tcPr>
            <w:tcW w:type="dxa" w:w="350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9"/>
                <w:color w:val="000000"/>
              </w:rPr>
              <w:t>统一文本为 UTF-8，检查乱码后重扫</w:t>
            </w:r>
          </w:p>
        </w:tc>
        <w:tc>
          <w:tcPr>
            <w:tcW w:type="dxa" w:w="200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9"/>
                <w:color w:val="000000"/>
              </w:rPr>
              <w:t>无异常解码且结果可复核</w:t>
            </w:r>
          </w:p>
        </w:tc>
      </w:tr>
    </w:tbl>
    <w:p>
      <w:pPr>
        <w:spacing w:line="300" w:lineRule="auto" w:before="0" w:after="40"/>
        <w:ind w:firstLine="420" w:firstLineChars="200"/>
        <w:jc w:val="both"/>
      </w:pPr>
      <w:r>
        <w:rPr>
          <w:rFonts w:ascii="Times New Roman" w:hAnsi="Times New Roman" w:cs="Times New Roman" w:eastAsia="宋体"/>
          <w:b w:val="0"/>
          <w:sz w:val="21"/>
          <w:color w:val="000000"/>
        </w:rPr>
        <w:t>综合结论：本次测试达到既定扫描充分性标准，但项目尚未达到可对外分发的许可合规标准。建议先完成整体授权和归属整改，再将 ScanCode 纳入持续集成；每次发布同时扫描源码与解包后的交付物。最终合规结论仍须结合素材来源和人工法律审查，不能仅凭工具零命中作出。</w:t>
      </w:r>
    </w:p>
    <w:p w14:paraId="369978CF">
      <w:pPr>
        <w:widowControl/>
        <w:jc w:val="left"/>
        <w:rPr>
          <w:rFonts w:ascii="仿宋_GB2312" w:hAnsi="宋体" w:eastAsia="仿宋_GB2312"/>
          <w:sz w:val="24"/>
          <w:szCs w:val="24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38BC7205">
      <w:pPr>
        <w:widowControl/>
        <w:jc w:val="left"/>
        <w:rPr>
          <w:rFonts w:ascii="仿宋_GB2312" w:hAnsi="宋体" w:eastAsia="仿宋_GB2312"/>
          <w:sz w:val="24"/>
          <w:szCs w:val="24"/>
        </w:rPr>
      </w:pPr>
      <w:r>
        <w:rPr>
          <w:rFonts w:hint="eastAsia" w:ascii="仿宋_GB2312" w:hAnsi="宋体" w:eastAsia="仿宋_GB2312" w:cs="仿宋_GB2312"/>
          <w:sz w:val="24"/>
          <w:szCs w:val="24"/>
        </w:rPr>
        <w:t>评价表格：</w:t>
      </w:r>
    </w:p>
    <w:tbl>
      <w:tblPr>
        <w:tblStyle w:val="6"/>
        <w:tblW w:w="82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0"/>
        <w:gridCol w:w="1000"/>
      </w:tblGrid>
      <w:tr w14:paraId="67206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0" w:type="dxa"/>
          </w:tcPr>
          <w:p w14:paraId="306EF4F9">
            <w:pPr>
              <w:spacing w:line="300" w:lineRule="auto"/>
              <w:jc w:val="center"/>
              <w:rPr>
                <w:rFonts w:ascii="仿宋" w:hAnsi="仿宋" w:eastAsia="仿宋"/>
                <w:b/>
                <w:bCs/>
                <w:kern w:val="0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</w:rPr>
              <w:t>考核标准</w:t>
            </w:r>
          </w:p>
        </w:tc>
        <w:tc>
          <w:tcPr>
            <w:tcW w:w="1000" w:type="dxa"/>
          </w:tcPr>
          <w:p w14:paraId="2BB8AF0D">
            <w:pPr>
              <w:widowControl/>
              <w:jc w:val="center"/>
              <w:rPr>
                <w:rFonts w:ascii="仿宋" w:hAnsi="仿宋" w:eastAsia="仿宋"/>
                <w:b/>
                <w:bCs/>
                <w:kern w:val="0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</w:rPr>
              <w:t>得分</w:t>
            </w:r>
          </w:p>
        </w:tc>
      </w:tr>
      <w:tr w14:paraId="70B67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0" w:type="dxa"/>
          </w:tcPr>
          <w:p w14:paraId="603E2623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1</w:t>
            </w:r>
            <w:r>
              <w:rPr>
                <w:rFonts w:hint="eastAsia" w:ascii="仿宋" w:hAnsi="仿宋" w:eastAsia="仿宋" w:cs="仿宋"/>
                <w:kern w:val="0"/>
              </w:rPr>
              <w:t>）报告格式规范、语言通顺（</w:t>
            </w:r>
            <w:r>
              <w:rPr>
                <w:rFonts w:ascii="仿宋" w:hAnsi="仿宋" w:eastAsia="仿宋" w:cs="仿宋"/>
                <w:kern w:val="0"/>
              </w:rPr>
              <w:t>10%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00" w:type="dxa"/>
          </w:tcPr>
          <w:p w14:paraId="4B49FE88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053CC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0" w:type="dxa"/>
          </w:tcPr>
          <w:p w14:paraId="2407C561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2</w:t>
            </w:r>
            <w:r>
              <w:rPr>
                <w:rFonts w:hint="eastAsia" w:ascii="仿宋" w:hAnsi="仿宋" w:eastAsia="仿宋" w:cs="仿宋"/>
                <w:kern w:val="0"/>
              </w:rPr>
              <w:t>）质量标准分析合理（1</w:t>
            </w:r>
            <w:r>
              <w:rPr>
                <w:rFonts w:ascii="仿宋" w:hAnsi="仿宋" w:eastAsia="仿宋" w:cs="仿宋"/>
                <w:kern w:val="0"/>
              </w:rPr>
              <w:t>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00" w:type="dxa"/>
          </w:tcPr>
          <w:p w14:paraId="592BED55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345EE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0" w:type="dxa"/>
          </w:tcPr>
          <w:p w14:paraId="06B4BA6C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3</w:t>
            </w:r>
            <w:r>
              <w:rPr>
                <w:rFonts w:hint="eastAsia" w:ascii="仿宋" w:hAnsi="仿宋" w:eastAsia="仿宋" w:cs="仿宋"/>
                <w:kern w:val="0"/>
              </w:rPr>
              <w:t>）测试方法分析全面、合理（</w:t>
            </w:r>
            <w:r>
              <w:rPr>
                <w:rFonts w:ascii="仿宋" w:hAnsi="仿宋" w:eastAsia="仿宋" w:cs="仿宋"/>
                <w:kern w:val="0"/>
              </w:rPr>
              <w:t>20%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00" w:type="dxa"/>
          </w:tcPr>
          <w:p w14:paraId="5E606DBE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155A9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0" w:type="dxa"/>
          </w:tcPr>
          <w:p w14:paraId="37F015F1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4</w:t>
            </w:r>
            <w:r>
              <w:rPr>
                <w:rFonts w:hint="eastAsia" w:ascii="仿宋" w:hAnsi="仿宋" w:eastAsia="仿宋" w:cs="仿宋"/>
                <w:kern w:val="0"/>
              </w:rPr>
              <w:t>）测试风险分析全面、合理（</w:t>
            </w:r>
            <w:r>
              <w:rPr>
                <w:rFonts w:ascii="仿宋" w:hAnsi="仿宋" w:eastAsia="仿宋" w:cs="仿宋"/>
                <w:kern w:val="0"/>
              </w:rPr>
              <w:t>20%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00" w:type="dxa"/>
          </w:tcPr>
          <w:p w14:paraId="1086904D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182C1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0" w:type="dxa"/>
          </w:tcPr>
          <w:p w14:paraId="4EEB5B32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5</w:t>
            </w:r>
            <w:r>
              <w:rPr>
                <w:rFonts w:hint="eastAsia" w:ascii="仿宋" w:hAnsi="仿宋" w:eastAsia="仿宋" w:cs="仿宋"/>
                <w:kern w:val="0"/>
              </w:rPr>
              <w:t>）测试总体测试策略全面、合理（3</w:t>
            </w:r>
            <w:r>
              <w:rPr>
                <w:rFonts w:ascii="仿宋" w:hAnsi="仿宋" w:eastAsia="仿宋" w:cs="仿宋"/>
                <w:kern w:val="0"/>
              </w:rPr>
              <w:t>0%</w:t>
            </w:r>
            <w:r>
              <w:rPr>
                <w:rFonts w:hint="eastAsia" w:ascii="仿宋" w:hAnsi="仿宋" w:eastAsia="仿宋" w:cs="仿宋"/>
                <w:kern w:val="0"/>
              </w:rPr>
              <w:t>）</w:t>
            </w:r>
          </w:p>
        </w:tc>
        <w:tc>
          <w:tcPr>
            <w:tcW w:w="1000" w:type="dxa"/>
          </w:tcPr>
          <w:p w14:paraId="36167FA8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49649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0" w:type="dxa"/>
          </w:tcPr>
          <w:p w14:paraId="6EB43FAF">
            <w:pPr>
              <w:spacing w:line="300" w:lineRule="auto"/>
              <w:rPr>
                <w:rFonts w:ascii="仿宋" w:hAnsi="仿宋" w:eastAsia="仿宋" w:cs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（6）测试充分性判断标准合理（10%）</w:t>
            </w:r>
          </w:p>
        </w:tc>
        <w:tc>
          <w:tcPr>
            <w:tcW w:w="1000" w:type="dxa"/>
          </w:tcPr>
          <w:p w14:paraId="13FC1955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</w:tbl>
    <w:p w14:paraId="32DAE905">
      <w:pPr>
        <w:widowControl/>
        <w:jc w:val="left"/>
        <w:rPr>
          <w:rFonts w:ascii="仿宋_GB2312" w:hAnsi="宋体" w:eastAsia="仿宋_GB2312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1BED45">
    <w:pPr>
      <w:pStyle w:val="4"/>
      <w:jc w:val="center"/>
      <w:rPr>
        <w:rFonts w:ascii="宋体"/>
        <w:sz w:val="21"/>
        <w:szCs w:val="21"/>
      </w:rPr>
    </w:pPr>
    <w:r>
      <w:rPr>
        <w:rFonts w:ascii="Times New Roman" w:hAnsi="Times New Roman" w:cs="Times New Roman" w:eastAsia="宋体"/>
        <w:b w:val="0"/>
        <w:sz w:val="18"/>
        <w:color w:val="000000"/>
      </w:rPr>
    </w:r>
    <w:fldSimple w:instr="PAGE">
      <w:r>
        <w:rPr>
          <w:rFonts w:ascii="Times New Roman" w:hAnsi="Times New Roman" w:eastAsia="宋体"/>
          <w:sz w:val="18"/>
        </w:rPr>
        <w:t>1</w:t>
      </w:r>
    </w:fldSimple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FC2EF0"/>
  <w:p w14:paraId="24A17E3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FF7"/>
    <w:rsid w:val="00004924"/>
    <w:rsid w:val="0004082D"/>
    <w:rsid w:val="00122EF6"/>
    <w:rsid w:val="001B25B7"/>
    <w:rsid w:val="00210F7B"/>
    <w:rsid w:val="002A68D5"/>
    <w:rsid w:val="002B1E36"/>
    <w:rsid w:val="002E6DAA"/>
    <w:rsid w:val="00300C0D"/>
    <w:rsid w:val="0031225C"/>
    <w:rsid w:val="00327EE0"/>
    <w:rsid w:val="003939A9"/>
    <w:rsid w:val="003D5142"/>
    <w:rsid w:val="004C0520"/>
    <w:rsid w:val="00543D41"/>
    <w:rsid w:val="0056650E"/>
    <w:rsid w:val="006271D4"/>
    <w:rsid w:val="00652FF7"/>
    <w:rsid w:val="00670E8A"/>
    <w:rsid w:val="00777921"/>
    <w:rsid w:val="00780EF2"/>
    <w:rsid w:val="007B2FC0"/>
    <w:rsid w:val="007B59F3"/>
    <w:rsid w:val="007E21F6"/>
    <w:rsid w:val="007E763B"/>
    <w:rsid w:val="007F5A3E"/>
    <w:rsid w:val="008E5344"/>
    <w:rsid w:val="00911CFD"/>
    <w:rsid w:val="00956CF2"/>
    <w:rsid w:val="00A15A10"/>
    <w:rsid w:val="00A4464A"/>
    <w:rsid w:val="00AB32CB"/>
    <w:rsid w:val="00AE7B1B"/>
    <w:rsid w:val="00BB2BBC"/>
    <w:rsid w:val="00BC35C9"/>
    <w:rsid w:val="00BE2E5F"/>
    <w:rsid w:val="00C70D3A"/>
    <w:rsid w:val="00C85277"/>
    <w:rsid w:val="00D02F64"/>
    <w:rsid w:val="00DF1951"/>
    <w:rsid w:val="00DF2C02"/>
    <w:rsid w:val="00E12444"/>
    <w:rsid w:val="00E749A8"/>
    <w:rsid w:val="00E85B11"/>
    <w:rsid w:val="00E911C2"/>
    <w:rsid w:val="00F61227"/>
    <w:rsid w:val="00F93499"/>
    <w:rsid w:val="00F95DEC"/>
    <w:rsid w:val="00FE3EF8"/>
    <w:rsid w:val="05F15D1D"/>
    <w:rsid w:val="0695635D"/>
    <w:rsid w:val="0C620734"/>
    <w:rsid w:val="12FD788F"/>
    <w:rsid w:val="1A101EFF"/>
    <w:rsid w:val="1AB55DD4"/>
    <w:rsid w:val="1C787CA6"/>
    <w:rsid w:val="23E65FFA"/>
    <w:rsid w:val="32FB6306"/>
    <w:rsid w:val="36034403"/>
    <w:rsid w:val="38DD575A"/>
    <w:rsid w:val="3BDF39ED"/>
    <w:rsid w:val="3D775432"/>
    <w:rsid w:val="47351CE1"/>
    <w:rsid w:val="4C987DD0"/>
    <w:rsid w:val="60CA19D8"/>
    <w:rsid w:val="665D5E75"/>
    <w:rsid w:val="6D2E4BAB"/>
    <w:rsid w:val="71E75D3D"/>
    <w:rsid w:val="720A1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nhideWhenUsed="0" w:uiPriority="99" w:semiHidden="0" w:name="heading 3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qFormat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3"/>
    <w:basedOn w:val="1"/>
    <w:next w:val="1"/>
    <w:link w:val="9"/>
    <w:uiPriority w:val="99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uiPriority w:val="1"/>
    <w:semiHidden/>
    <w:unhideWhenUsed/>
    <w:qFormat/>
  </w:style>
  <w:style w:type="table" w:default="1" w:styleId="6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0"/>
    <w:uiPriority w:val="99"/>
    <w:semiHidden/>
    <w:qFormat/>
    <w:rPr>
      <w:sz w:val="18"/>
      <w:szCs w:val="18"/>
    </w:rPr>
  </w:style>
  <w:style w:type="paragraph" w:styleId="4">
    <w:name w:val="footer"/>
    <w:basedOn w:val="1"/>
    <w:link w:val="1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iPriority w:val="99"/>
    <w:qFormat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99"/>
    <w:qFormat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标题 3 字符"/>
    <w:link w:val="2"/>
    <w:uiPriority w:val="99"/>
    <w:semiHidden/>
    <w:qFormat/>
    <w:locked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0">
    <w:name w:val="批注框文本 字符"/>
    <w:link w:val="3"/>
    <w:uiPriority w:val="99"/>
    <w:semiHidden/>
    <w:qFormat/>
    <w:locked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页脚 字符"/>
    <w:link w:val="4"/>
    <w:uiPriority w:val="99"/>
    <w:qFormat/>
    <w:locked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页眉 字符"/>
    <w:link w:val="5"/>
    <w:uiPriority w:val="99"/>
    <w:qFormat/>
    <w:locked/>
    <w:rPr>
      <w:rFonts w:ascii="Times New Roman" w:hAnsi="Times New Roman" w:eastAsia="宋体" w:cs="Times New Roman"/>
      <w:sz w:val="18"/>
      <w:szCs w:val="18"/>
    </w:rPr>
  </w:style>
  <w:style w:type="paragraph" w:customStyle="1" w:styleId="13">
    <w:name w:val="List Paragraph1"/>
    <w:basedOn w:val="1"/>
    <w:uiPriority w:val="99"/>
    <w:qFormat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3</Pages>
  <Words>364</Words>
  <Characters>401</Characters>
  <Lines>3</Lines>
  <Paragraphs>1</Paragraphs>
  <TotalTime>6</TotalTime>
  <ScaleCrop>false</ScaleCrop>
  <LinksUpToDate>false</LinksUpToDate>
  <CharactersWithSpaces>444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2023-08-22T04:51:00Z</dcterms:created>
  <dc:creator>微软用户</dc:creator>
  <cp:lastModifiedBy>依帆临水</cp:lastModifiedBy>
  <dcterms:modified xsi:type="dcterms:W3CDTF">2026-10-08T11:26:42Z</dcterms:modified>
  <dc:title>课程编号：B0801*****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eyJoZGlkIjoiNDgwYTczMWY1MmU4Njk2MDNiY2QyNDljNjZhY2Y5OGIiLCJ1c2VySWQiOiIzMTAyOTEwNTUifQ==</vt:lpwstr>
  </property>
  <property fmtid="{D5CDD505-2E9C-101B-9397-08002B2CF9AE}" pid="4" name="ICV">
    <vt:lpwstr>2FCBE16CC9AA4110AD018CF3B4DFFEB0_12</vt:lpwstr>
  </property>
</Properties>
</file>