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0B2545"/>
          <w:sz w:val="40"/>
          <w:rFonts w:eastAsia="黑体"/>
        </w:rPr>
        <w:t>面向日前电价概率预测的在线共形校准方法复现与扩展研究</w:t>
      </w:r>
    </w:p>
    <w:p>
      <w:pPr>
        <w:spacing w:after="320"/>
        <w:jc w:val="center"/>
      </w:pPr>
      <w:r>
        <w:rPr>
          <w:color w:val="555555"/>
          <w:sz w:val="22"/>
          <w:rFonts w:eastAsia="宋体"/>
        </w:rPr>
        <w:t>基于公开复现实验结果的论文修订稿</w:t>
      </w:r>
    </w:p>
    <w:p>
      <w:pPr>
        <w:pStyle w:val="Heading1"/>
      </w:pPr>
      <w:r>
        <w:t>摘  要</w:t>
      </w:r>
    </w:p>
    <w:p>
      <w:r>
        <w:rPr>
          <w:rFonts w:eastAsia="宋体"/>
        </w:rPr>
        <w:t>日前电价具有强烈的日内周期、市场非平稳性和尖峰波动特征，单纯给出点预测结果难以满足电力市场主体在报价决策、风险控制和储能套利中的不确定性管理需求。概率预测通过输出预测分布或预测区间，为未来价格风险提供更完整的信息，但深度概率预测模型在不同小时和不同市场条件下仍可能出现覆盖不足或区间过宽问题。</w:t>
      </w:r>
    </w:p>
    <w:p>
      <w:r>
        <w:rPr>
          <w:rFonts w:eastAsia="宋体"/>
        </w:rPr>
        <w:t>本文基于公开代码复现了在线共形化神经网络集成方法在日前电价概率预测中的实验流程，围绕德国电力市场和意大利多个区域市场，整理了 N-DNN、JSU-DNN、STU-DNN、QR-DNN、QRA、CP、CQ 与 OCQ 等方法的均值指标、分小时 PICP、Kupiec 覆盖检验和 DM 检验结果。复现实验显示，在线共形校准能够显著提升预测区间的分小时覆盖稳定性；以 Kupiec 通过小时数为例，在 alpha=0.2 时，原始概率预测模型平均通过 9.64/24 个小时，OCQ 方法平均通过 22.29/24 个小时。</w:t>
      </w:r>
    </w:p>
    <w:p>
      <w:r>
        <w:rPr>
          <w:rFonts w:eastAsia="宋体"/>
        </w:rPr>
        <w:t>在此基础上，本文后续拟进一步构建小时条件化与波动感知的在线共形校准方法。由于该扩展方法尚未实现，本文仅保留相应章节标题，不写入未完成实验结论。</w:t>
      </w:r>
    </w:p>
    <w:p>
      <w:r>
        <w:rPr>
          <w:rFonts w:eastAsia="宋体"/>
        </w:rPr>
        <w:t>关键词：日前电价预测；概率预测；共形预测；在线校准；预测区间；Kupiec 检验</w:t>
      </w:r>
    </w:p>
    <w:p>
      <w:pPr>
        <w:pStyle w:val="Heading1"/>
      </w:pPr>
      <w:r>
        <w:t>1 引言</w:t>
      </w:r>
    </w:p>
    <w:p>
      <w:r>
        <w:rPr>
          <w:rFonts w:eastAsia="宋体"/>
        </w:rPr>
        <w:t>随着电力市场化交易和新能源渗透率提升，日前电价不再只由平稳负荷需求决定，而是受到可再生能源出力、跨区交易、燃料价格、市场规则和负荷侧响应等因素共同影响。价格序列通常表现出明显的日内周期、周周期、尖峰跳变和高波动聚集，这使得电价预测成为能源系统运行与市场风险管理中的关键问题。</w:t>
      </w:r>
    </w:p>
    <w:p>
      <w:r>
        <w:rPr>
          <w:rFonts w:eastAsia="宋体"/>
        </w:rPr>
        <w:t>传统点预测模型通常关注未来 24 小时电价曲线的平均误差，但市场主体在实际决策中更关心未来价格可能落入的区间以及极端价格风险。概率预测方法通过预测分布、分位数或预测区间刻画不确定性，能够为发电商报价、售电公司购电、需求响应和储能套利提供更丰富的风险信息。</w:t>
      </w:r>
    </w:p>
    <w:p>
      <w:r>
        <w:rPr>
          <w:rFonts w:eastAsia="宋体"/>
        </w:rPr>
        <w:t>共形预测提供了一类模型无关的后处理框架，可在较弱分布假设下对预测区间进行校准。对于日前电价这类多步时间序列任务，在线共形校准进一步允许模型随着新观测逐步修正预测区间，从而适应市场状态变化。本文当前工作的主要目标是复现公开在线共形化神经网络集成方法，并将结果整理为可写入论文的实验表格和图形。</w:t>
      </w:r>
    </w:p>
    <w:p>
      <w:r>
        <w:rPr>
          <w:rFonts w:eastAsia="宋体"/>
        </w:rPr>
        <w:t>本文目前已经完成复现实验结果整理，但尚未实现小时条件化波动感知扩展方法。因此，本文对已完成内容给出实验分析，对尚未实现内容仅保留标题。</w:t>
      </w:r>
    </w:p>
    <w:p>
      <w:pPr>
        <w:pStyle w:val="Heading1"/>
      </w:pPr>
      <w:r>
        <w:t>2 相关工作</w:t>
      </w:r>
    </w:p>
    <w:p>
      <w:pPr>
        <w:pStyle w:val="Heading2"/>
      </w:pPr>
      <w:r>
        <w:t>2.1 日前电价概率预测</w:t>
      </w:r>
    </w:p>
    <w:p>
      <w:r>
        <w:rPr>
          <w:rFonts w:eastAsia="宋体"/>
        </w:rPr>
        <w:t>日前电价预测研究经历了从统计模型、机器学习模型到深度学习模型的发展。相比点预测，概率预测更强调预测分布、分位数和预测区间的可靠性。电价的尖峰和非平稳特征使得单一均值误差指标不足以评价模型质量，因此近年来研究逐渐关注 Pinball Loss、Winkler Score、覆盖率和统计检验等指标。</w:t>
      </w:r>
    </w:p>
    <w:p>
      <w:pPr>
        <w:pStyle w:val="Heading2"/>
      </w:pPr>
      <w:r>
        <w:t>2.2 神经网络概率预测模型</w:t>
      </w:r>
    </w:p>
    <w:p>
      <w:r>
        <w:rPr>
          <w:rFonts w:eastAsia="宋体"/>
        </w:rPr>
        <w:t>神经网络概率预测模型可通过参数分布、分位数回归或集成方法输出不确定性信息。本文复现结果中包含 Normal、Johnson SU、Student-t 和 Quantile Regression 等神经网络概率预测模型，分别对应不同的分布假设或分位数建模方式。这些模型构成共形校准之前的基础预测器。</w:t>
      </w:r>
    </w:p>
    <w:p>
      <w:pPr>
        <w:pStyle w:val="Heading2"/>
      </w:pPr>
      <w:r>
        <w:t>2.3 共形预测与在线校准</w:t>
      </w:r>
    </w:p>
    <w:p>
      <w:r>
        <w:rPr>
          <w:rFonts w:eastAsia="宋体"/>
        </w:rPr>
        <w:t>共形预测通过校准集上的非一致性分数构造预测区间，具有较强的模型无关性。对于时间序列任务，固定校准集可能无法应对市场状态漂移，因此在线共形方法通过滚动更新校准误差或校准分位数，使预测区间随时间变化。本文复现的 CQ 与 OCQ 方法均属于对神经网络概率预测结果的共形后处理。</w:t>
      </w:r>
    </w:p>
    <w:p>
      <w:pPr>
        <w:pStyle w:val="Heading1"/>
      </w:pPr>
      <w:r>
        <w:t>3 复现实验基础</w:t>
      </w:r>
    </w:p>
    <w:p>
      <w:pPr>
        <w:pStyle w:val="Heading2"/>
      </w:pPr>
      <w:r>
        <w:t>3.1 任务定义</w:t>
      </w:r>
    </w:p>
    <w:p>
      <w:r>
        <w:rPr>
          <w:rFonts w:eastAsia="宋体"/>
        </w:rPr>
        <w:t>本文关注日前电价概率预测任务。给定历史电价序列和预测日之前可获得的信息，模型需要输出未来 24 小时的预测分布或分位数集合，并据此构造不同置信水平下的预测区间。评价目标不仅包括平均预测损失，还包括预测区间是否达到名义覆盖率，以及不同小时上的覆盖是否稳定。</w:t>
      </w:r>
    </w:p>
    <w:p>
      <w:pPr>
        <w:pStyle w:val="Heading2"/>
      </w:pPr>
      <w:r>
        <w:t>3.2 数据集与市场</w:t>
      </w:r>
    </w:p>
    <w:p>
      <w:r>
        <w:rPr>
          <w:rFonts w:eastAsia="宋体"/>
        </w:rPr>
        <w:t>复现实验使用当前仓库中已有的德国市场数据和意大利多个区域市场数据。德国市场在代码中记为 DE_price，意大利市场包括 MGP_NORD、MGP_CNOR、MGP_CSUD、MGP_SUD、MGP_SARD 和 MGP_SICI。所有结果均来自 experiments/tasks 目录中已保存的复现实验输出，没有在本次文档修订过程中重新训练模型。</w:t>
      </w:r>
    </w:p>
    <w:p>
      <w:pPr>
        <w:pStyle w:val="Heading2"/>
      </w:pPr>
      <w:r>
        <w:t>3.3 对比方法</w:t>
      </w:r>
    </w:p>
    <w:p>
      <w:r>
        <w:rPr>
          <w:rFonts w:eastAsia="宋体"/>
        </w:rPr>
        <w:t>本文整理的模型可分为四类：第一类是原始神经网络概率预测模型，包括 Norm、Jsu、Stu 和 QR；第二类是后处理基线，包括 CP 和 QRA；第三类是共形校准模型 CQ，包括 CQN、CQJ、CQS 和 CQR；第四类是在线共形校准模型 OCQ，包括 OCQN、OCQJ、OCQS 和 OCQR。</w:t>
      </w:r>
    </w:p>
    <w:p>
      <w:pPr>
        <w:pStyle w:val="Heading2"/>
      </w:pPr>
      <w:r>
        <w:t>3.4 评价指标</w:t>
      </w:r>
    </w:p>
    <w:p>
      <w:r>
        <w:rPr>
          <w:rFonts w:eastAsia="宋体"/>
        </w:rPr>
        <w:t>本文使用 Pinball Loss 衡量分位数预测整体质量，使用 MAE 作为中位数点预测的补充指标，使用 PICP 衡量预测区间覆盖率，使用 Winkler Score 综合考虑区间宽度和未覆盖惩罚，使用 Kupiec 检验评价分小时覆盖率是否与名义覆盖水平一致。对于 DM 检验，本文已经导出多变量检验 p-value 矩阵，后续可据此补充显著性分析。</w:t>
      </w:r>
    </w:p>
    <w:p>
      <w:pPr>
        <w:pStyle w:val="Heading1"/>
      </w:pPr>
      <w:r>
        <w:t>4 已完成复现实验结果与分析</w:t>
      </w:r>
    </w:p>
    <w:p>
      <w:pPr>
        <w:pStyle w:val="Heading2"/>
      </w:pPr>
      <w:r>
        <w:t>4.1 方法组平均结果</w:t>
      </w:r>
    </w:p>
    <w:p>
      <w:r>
        <w:rPr>
          <w:rFonts w:eastAsia="宋体"/>
        </w:rPr>
        <w:t>表 1 汇总了原始概率预测模型、CQ 模型和 OCQ 模型在所有市场上的平均表现。结果显示，OCQ 在 Pinball 和 Winkler 指标上相对原始模型有小幅改善，但更突出的优势体现在 Kupiec 通过小时数上，说明在线共形校准主要改善的是预测区间的覆盖可靠性，而不是点预测误差。</w:t>
      </w:r>
    </w:p>
    <w:p>
      <w:pPr>
        <w:spacing w:before="80" w:after="80"/>
        <w:jc w:val="center"/>
      </w:pPr>
      <w:r>
        <w:rPr>
          <w:b/>
          <w:sz w:val="20"/>
          <w:rFonts w:eastAsia="宋体"/>
        </w:rPr>
        <w:t>表 1 方法组平均指标对比</w:t>
      </w:r>
    </w:p>
    <w:tbl>
      <w:tblPr>
        <w:tblStyle w:val="TableGrid"/>
        <w:tblW w:type="auto" w:w="0"/>
        <w:jc w:val="center"/>
        <w:tblLayout w:type="fixed"/>
        <w:tblLook w:firstColumn="1" w:firstRow="1" w:lastColumn="0" w:lastRow="0" w:noHBand="0" w:noVBand="1" w:val="04A0"/>
        <w:tblW w:w="9360" w:type="dxa"/>
      </w:tblPr>
      <w:tblGrid>
        <w:gridCol w:w="1560"/>
        <w:gridCol w:w="1560"/>
        <w:gridCol w:w="1560"/>
        <w:gridCol w:w="1560"/>
        <w:gridCol w:w="1560"/>
        <w:gridCol w:w="1560"/>
      </w:tblGrid>
      <w:tr>
        <w:tc>
          <w:tcPr>
            <w:tcW w:type="dxa" w:w="2520"/>
            <w:vAlign w:val="center"/>
            <w:shd w:fill="F4F6F9"/>
          </w:tcPr>
          <w:p>
            <w:pPr>
              <w:spacing w:after="0"/>
              <w:jc w:val="center"/>
            </w:pPr>
            <w:r/>
            <w:r>
              <w:rPr>
                <w:b/>
                <w:sz w:val="17"/>
                <w:rFonts w:eastAsia="宋体"/>
              </w:rPr>
              <w:t>指标</w:t>
            </w:r>
          </w:p>
        </w:tc>
        <w:tc>
          <w:tcPr>
            <w:tcW w:type="dxa" w:w="1224"/>
            <w:vAlign w:val="center"/>
            <w:shd w:fill="F4F6F9"/>
          </w:tcPr>
          <w:p>
            <w:pPr>
              <w:spacing w:after="0"/>
              <w:jc w:val="center"/>
            </w:pPr>
            <w:r/>
            <w:r>
              <w:rPr>
                <w:b/>
                <w:sz w:val="17"/>
                <w:rFonts w:eastAsia="宋体"/>
              </w:rPr>
              <w:t>方向</w:t>
            </w:r>
          </w:p>
        </w:tc>
        <w:tc>
          <w:tcPr>
            <w:tcW w:type="dxa" w:w="1368"/>
            <w:vAlign w:val="center"/>
            <w:shd w:fill="F4F6F9"/>
          </w:tcPr>
          <w:p>
            <w:pPr>
              <w:spacing w:after="0"/>
              <w:jc w:val="center"/>
            </w:pPr>
            <w:r/>
            <w:r>
              <w:rPr>
                <w:b/>
                <w:sz w:val="17"/>
                <w:rFonts w:eastAsia="宋体"/>
              </w:rPr>
              <w:t>原始模型</w:t>
            </w:r>
          </w:p>
        </w:tc>
        <w:tc>
          <w:tcPr>
            <w:tcW w:type="dxa" w:w="1224"/>
            <w:vAlign w:val="center"/>
            <w:shd w:fill="F4F6F9"/>
          </w:tcPr>
          <w:p>
            <w:pPr>
              <w:spacing w:after="0"/>
              <w:jc w:val="center"/>
            </w:pPr>
            <w:r/>
            <w:r>
              <w:rPr>
                <w:b/>
                <w:sz w:val="17"/>
                <w:rFonts w:eastAsia="宋体"/>
              </w:rPr>
              <w:t>CQ</w:t>
            </w:r>
          </w:p>
        </w:tc>
        <w:tc>
          <w:tcPr>
            <w:tcW w:type="dxa" w:w="1224"/>
            <w:vAlign w:val="center"/>
            <w:shd w:fill="F4F6F9"/>
          </w:tcPr>
          <w:p>
            <w:pPr>
              <w:spacing w:after="0"/>
              <w:jc w:val="center"/>
            </w:pPr>
            <w:r/>
            <w:r>
              <w:rPr>
                <w:b/>
                <w:sz w:val="17"/>
                <w:rFonts w:eastAsia="宋体"/>
              </w:rPr>
              <w:t>OCQ</w:t>
            </w:r>
          </w:p>
        </w:tc>
        <w:tc>
          <w:tcPr>
            <w:tcW w:type="dxa" w:w="1800"/>
            <w:vAlign w:val="center"/>
            <w:shd w:fill="F4F6F9"/>
          </w:tcPr>
          <w:p>
            <w:pPr>
              <w:spacing w:after="0"/>
              <w:jc w:val="center"/>
            </w:pPr>
            <w:r/>
            <w:r>
              <w:rPr>
                <w:b/>
                <w:sz w:val="17"/>
                <w:rFonts w:eastAsia="宋体"/>
              </w:rPr>
              <w:t>OCQ相对原始模型</w:t>
            </w:r>
          </w:p>
        </w:tc>
      </w:tr>
      <w:tr>
        <w:tc>
          <w:tcPr>
            <w:tcW w:type="dxa" w:w="1560"/>
            <w:vAlign w:val="center"/>
          </w:tcPr>
          <w:p>
            <w:pPr>
              <w:spacing w:after="0"/>
              <w:jc w:val="left"/>
            </w:pPr>
            <w:r/>
            <w:r>
              <w:rPr>
                <w:b w:val="0"/>
                <w:sz w:val="17"/>
                <w:rFonts w:eastAsia="宋体"/>
              </w:rPr>
              <w:t>Pinball</w:t>
            </w:r>
          </w:p>
        </w:tc>
        <w:tc>
          <w:tcPr>
            <w:tcW w:type="dxa" w:w="1560"/>
            <w:vAlign w:val="center"/>
          </w:tcPr>
          <w:p>
            <w:pPr>
              <w:spacing w:after="0"/>
              <w:jc w:val="left"/>
            </w:pPr>
            <w:r/>
            <w:r>
              <w:rPr>
                <w:b w:val="0"/>
                <w:sz w:val="17"/>
                <w:rFonts w:eastAsia="宋体"/>
              </w:rPr>
              <w:t>越小越好</w:t>
            </w:r>
          </w:p>
        </w:tc>
        <w:tc>
          <w:tcPr>
            <w:tcW w:type="dxa" w:w="1560"/>
            <w:vAlign w:val="center"/>
          </w:tcPr>
          <w:p>
            <w:pPr>
              <w:spacing w:after="0"/>
              <w:jc w:val="center"/>
            </w:pPr>
            <w:r/>
            <w:r>
              <w:rPr>
                <w:b w:val="0"/>
                <w:sz w:val="17"/>
                <w:rFonts w:eastAsia="宋体"/>
              </w:rPr>
              <w:t>2.305</w:t>
            </w:r>
          </w:p>
        </w:tc>
        <w:tc>
          <w:tcPr>
            <w:tcW w:type="dxa" w:w="1560"/>
            <w:vAlign w:val="center"/>
          </w:tcPr>
          <w:p>
            <w:pPr>
              <w:spacing w:after="0"/>
              <w:jc w:val="center"/>
            </w:pPr>
            <w:r/>
            <w:r>
              <w:rPr>
                <w:b w:val="0"/>
                <w:sz w:val="17"/>
                <w:rFonts w:eastAsia="宋体"/>
              </w:rPr>
              <w:t>2.286</w:t>
            </w:r>
          </w:p>
        </w:tc>
        <w:tc>
          <w:tcPr>
            <w:tcW w:type="dxa" w:w="1560"/>
            <w:vAlign w:val="center"/>
          </w:tcPr>
          <w:p>
            <w:pPr>
              <w:spacing w:after="0"/>
              <w:jc w:val="center"/>
            </w:pPr>
            <w:r/>
            <w:r>
              <w:rPr>
                <w:b w:val="0"/>
                <w:sz w:val="17"/>
                <w:rFonts w:eastAsia="宋体"/>
              </w:rPr>
              <w:t>2.284</w:t>
            </w:r>
          </w:p>
        </w:tc>
        <w:tc>
          <w:tcPr>
            <w:tcW w:type="dxa" w:w="1560"/>
            <w:vAlign w:val="center"/>
          </w:tcPr>
          <w:p>
            <w:pPr>
              <w:spacing w:after="0"/>
              <w:jc w:val="center"/>
            </w:pPr>
            <w:r/>
            <w:r>
              <w:rPr>
                <w:b w:val="0"/>
                <w:sz w:val="17"/>
                <w:rFonts w:eastAsia="宋体"/>
              </w:rPr>
              <w:t>0.90%</w:t>
            </w:r>
          </w:p>
        </w:tc>
      </w:tr>
      <w:tr>
        <w:tc>
          <w:tcPr>
            <w:tcW w:type="dxa" w:w="1560"/>
            <w:vAlign w:val="center"/>
          </w:tcPr>
          <w:p>
            <w:pPr>
              <w:spacing w:after="0"/>
              <w:jc w:val="left"/>
            </w:pPr>
            <w:r/>
            <w:r>
              <w:rPr>
                <w:b w:val="0"/>
                <w:sz w:val="17"/>
                <w:rFonts w:eastAsia="宋体"/>
              </w:rPr>
              <w:t>MAE</w:t>
            </w:r>
          </w:p>
        </w:tc>
        <w:tc>
          <w:tcPr>
            <w:tcW w:type="dxa" w:w="1560"/>
            <w:vAlign w:val="center"/>
          </w:tcPr>
          <w:p>
            <w:pPr>
              <w:spacing w:after="0"/>
              <w:jc w:val="left"/>
            </w:pPr>
            <w:r/>
            <w:r>
              <w:rPr>
                <w:b w:val="0"/>
                <w:sz w:val="17"/>
                <w:rFonts w:eastAsia="宋体"/>
              </w:rPr>
              <w:t>越小越好</w:t>
            </w:r>
          </w:p>
        </w:tc>
        <w:tc>
          <w:tcPr>
            <w:tcW w:type="dxa" w:w="1560"/>
            <w:vAlign w:val="center"/>
          </w:tcPr>
          <w:p>
            <w:pPr>
              <w:spacing w:after="0"/>
              <w:jc w:val="center"/>
            </w:pPr>
            <w:r/>
            <w:r>
              <w:rPr>
                <w:b w:val="0"/>
                <w:sz w:val="17"/>
                <w:rFonts w:eastAsia="宋体"/>
              </w:rPr>
              <w:t>5.773</w:t>
            </w:r>
          </w:p>
        </w:tc>
        <w:tc>
          <w:tcPr>
            <w:tcW w:type="dxa" w:w="1560"/>
            <w:vAlign w:val="center"/>
          </w:tcPr>
          <w:p>
            <w:pPr>
              <w:spacing w:after="0"/>
              <w:jc w:val="center"/>
            </w:pPr>
            <w:r/>
            <w:r>
              <w:rPr>
                <w:b w:val="0"/>
                <w:sz w:val="17"/>
                <w:rFonts w:eastAsia="宋体"/>
              </w:rPr>
              <w:t>5.766</w:t>
            </w:r>
          </w:p>
        </w:tc>
        <w:tc>
          <w:tcPr>
            <w:tcW w:type="dxa" w:w="1560"/>
            <w:vAlign w:val="center"/>
          </w:tcPr>
          <w:p>
            <w:pPr>
              <w:spacing w:after="0"/>
              <w:jc w:val="center"/>
            </w:pPr>
            <w:r/>
            <w:r>
              <w:rPr>
                <w:b w:val="0"/>
                <w:sz w:val="17"/>
                <w:rFonts w:eastAsia="宋体"/>
              </w:rPr>
              <w:t>5.749</w:t>
            </w:r>
          </w:p>
        </w:tc>
        <w:tc>
          <w:tcPr>
            <w:tcW w:type="dxa" w:w="1560"/>
            <w:vAlign w:val="center"/>
          </w:tcPr>
          <w:p>
            <w:pPr>
              <w:spacing w:after="0"/>
              <w:jc w:val="center"/>
            </w:pPr>
            <w:r/>
            <w:r>
              <w:rPr>
                <w:b w:val="0"/>
                <w:sz w:val="17"/>
                <w:rFonts w:eastAsia="宋体"/>
              </w:rPr>
              <w:t>0.42%</w:t>
            </w:r>
          </w:p>
        </w:tc>
      </w:tr>
      <w:tr>
        <w:tc>
          <w:tcPr>
            <w:tcW w:type="dxa" w:w="1560"/>
            <w:vAlign w:val="center"/>
          </w:tcPr>
          <w:p>
            <w:pPr>
              <w:spacing w:after="0"/>
              <w:jc w:val="left"/>
            </w:pPr>
            <w:r/>
            <w:r>
              <w:rPr>
                <w:b w:val="0"/>
                <w:sz w:val="17"/>
                <w:rFonts w:eastAsia="宋体"/>
              </w:rPr>
              <w:t>Winkler_alpha_0.2</w:t>
            </w:r>
          </w:p>
        </w:tc>
        <w:tc>
          <w:tcPr>
            <w:tcW w:type="dxa" w:w="1560"/>
            <w:vAlign w:val="center"/>
          </w:tcPr>
          <w:p>
            <w:pPr>
              <w:spacing w:after="0"/>
              <w:jc w:val="left"/>
            </w:pPr>
            <w:r/>
            <w:r>
              <w:rPr>
                <w:b w:val="0"/>
                <w:sz w:val="17"/>
                <w:rFonts w:eastAsia="宋体"/>
              </w:rPr>
              <w:t>越小越好</w:t>
            </w:r>
          </w:p>
        </w:tc>
        <w:tc>
          <w:tcPr>
            <w:tcW w:type="dxa" w:w="1560"/>
            <w:vAlign w:val="center"/>
          </w:tcPr>
          <w:p>
            <w:pPr>
              <w:spacing w:after="0"/>
              <w:jc w:val="center"/>
            </w:pPr>
            <w:r/>
            <w:r>
              <w:rPr>
                <w:b w:val="0"/>
                <w:sz w:val="17"/>
                <w:rFonts w:eastAsia="宋体"/>
              </w:rPr>
              <w:t>28.597</w:t>
            </w:r>
          </w:p>
        </w:tc>
        <w:tc>
          <w:tcPr>
            <w:tcW w:type="dxa" w:w="1560"/>
            <w:vAlign w:val="center"/>
          </w:tcPr>
          <w:p>
            <w:pPr>
              <w:spacing w:after="0"/>
              <w:jc w:val="center"/>
            </w:pPr>
            <w:r/>
            <w:r>
              <w:rPr>
                <w:b w:val="0"/>
                <w:sz w:val="17"/>
                <w:rFonts w:eastAsia="宋体"/>
              </w:rPr>
              <w:t>28.115</w:t>
            </w:r>
          </w:p>
        </w:tc>
        <w:tc>
          <w:tcPr>
            <w:tcW w:type="dxa" w:w="1560"/>
            <w:vAlign w:val="center"/>
          </w:tcPr>
          <w:p>
            <w:pPr>
              <w:spacing w:after="0"/>
              <w:jc w:val="center"/>
            </w:pPr>
            <w:r/>
            <w:r>
              <w:rPr>
                <w:b w:val="0"/>
                <w:sz w:val="17"/>
                <w:rFonts w:eastAsia="宋体"/>
              </w:rPr>
              <w:t>28.025</w:t>
            </w:r>
          </w:p>
        </w:tc>
        <w:tc>
          <w:tcPr>
            <w:tcW w:type="dxa" w:w="1560"/>
            <w:vAlign w:val="center"/>
          </w:tcPr>
          <w:p>
            <w:pPr>
              <w:spacing w:after="0"/>
              <w:jc w:val="center"/>
            </w:pPr>
            <w:r/>
            <w:r>
              <w:rPr>
                <w:b w:val="0"/>
                <w:sz w:val="17"/>
                <w:rFonts w:eastAsia="宋体"/>
              </w:rPr>
              <w:t>2.00%</w:t>
            </w:r>
          </w:p>
        </w:tc>
      </w:tr>
      <w:tr>
        <w:tc>
          <w:tcPr>
            <w:tcW w:type="dxa" w:w="1560"/>
            <w:vAlign w:val="center"/>
          </w:tcPr>
          <w:p>
            <w:pPr>
              <w:spacing w:after="0"/>
              <w:jc w:val="left"/>
            </w:pPr>
            <w:r/>
            <w:r>
              <w:rPr>
                <w:b w:val="0"/>
                <w:sz w:val="17"/>
                <w:rFonts w:eastAsia="宋体"/>
              </w:rPr>
              <w:t>Winkler_alpha_0.4</w:t>
            </w:r>
          </w:p>
        </w:tc>
        <w:tc>
          <w:tcPr>
            <w:tcW w:type="dxa" w:w="1560"/>
            <w:vAlign w:val="center"/>
          </w:tcPr>
          <w:p>
            <w:pPr>
              <w:spacing w:after="0"/>
              <w:jc w:val="left"/>
            </w:pPr>
            <w:r/>
            <w:r>
              <w:rPr>
                <w:b w:val="0"/>
                <w:sz w:val="17"/>
                <w:rFonts w:eastAsia="宋体"/>
              </w:rPr>
              <w:t>越小越好</w:t>
            </w:r>
          </w:p>
        </w:tc>
        <w:tc>
          <w:tcPr>
            <w:tcW w:type="dxa" w:w="1560"/>
            <w:vAlign w:val="center"/>
          </w:tcPr>
          <w:p>
            <w:pPr>
              <w:spacing w:after="0"/>
              <w:jc w:val="center"/>
            </w:pPr>
            <w:r/>
            <w:r>
              <w:rPr>
                <w:b w:val="0"/>
                <w:sz w:val="17"/>
                <w:rFonts w:eastAsia="宋体"/>
              </w:rPr>
              <w:t>21.280</w:t>
            </w:r>
          </w:p>
        </w:tc>
        <w:tc>
          <w:tcPr>
            <w:tcW w:type="dxa" w:w="1560"/>
            <w:vAlign w:val="center"/>
          </w:tcPr>
          <w:p>
            <w:pPr>
              <w:spacing w:after="0"/>
              <w:jc w:val="center"/>
            </w:pPr>
            <w:r/>
            <w:r>
              <w:rPr>
                <w:b w:val="0"/>
                <w:sz w:val="17"/>
                <w:rFonts w:eastAsia="宋体"/>
              </w:rPr>
              <w:t>21.074</w:t>
            </w:r>
          </w:p>
        </w:tc>
        <w:tc>
          <w:tcPr>
            <w:tcW w:type="dxa" w:w="1560"/>
            <w:vAlign w:val="center"/>
          </w:tcPr>
          <w:p>
            <w:pPr>
              <w:spacing w:after="0"/>
              <w:jc w:val="center"/>
            </w:pPr>
            <w:r/>
            <w:r>
              <w:rPr>
                <w:b w:val="0"/>
                <w:sz w:val="17"/>
                <w:rFonts w:eastAsia="宋体"/>
              </w:rPr>
              <w:t>21.063</w:t>
            </w:r>
          </w:p>
        </w:tc>
        <w:tc>
          <w:tcPr>
            <w:tcW w:type="dxa" w:w="1560"/>
            <w:vAlign w:val="center"/>
          </w:tcPr>
          <w:p>
            <w:pPr>
              <w:spacing w:after="0"/>
              <w:jc w:val="center"/>
            </w:pPr>
            <w:r/>
            <w:r>
              <w:rPr>
                <w:b w:val="0"/>
                <w:sz w:val="17"/>
                <w:rFonts w:eastAsia="宋体"/>
              </w:rPr>
              <w:t>1.02%</w:t>
            </w:r>
          </w:p>
        </w:tc>
      </w:tr>
      <w:tr>
        <w:tc>
          <w:tcPr>
            <w:tcW w:type="dxa" w:w="1560"/>
            <w:vAlign w:val="center"/>
          </w:tcPr>
          <w:p>
            <w:pPr>
              <w:spacing w:after="0"/>
              <w:jc w:val="left"/>
            </w:pPr>
            <w:r/>
            <w:r>
              <w:rPr>
                <w:b w:val="0"/>
                <w:sz w:val="17"/>
                <w:rFonts w:eastAsia="宋体"/>
              </w:rPr>
              <w:t>Kupiec_passed_alpha_0.2</w:t>
            </w:r>
          </w:p>
        </w:tc>
        <w:tc>
          <w:tcPr>
            <w:tcW w:type="dxa" w:w="1560"/>
            <w:vAlign w:val="center"/>
          </w:tcPr>
          <w:p>
            <w:pPr>
              <w:spacing w:after="0"/>
              <w:jc w:val="left"/>
            </w:pPr>
            <w:r/>
            <w:r>
              <w:rPr>
                <w:b w:val="0"/>
                <w:sz w:val="17"/>
                <w:rFonts w:eastAsia="宋体"/>
              </w:rPr>
              <w:t>越大越好</w:t>
            </w:r>
          </w:p>
        </w:tc>
        <w:tc>
          <w:tcPr>
            <w:tcW w:type="dxa" w:w="1560"/>
            <w:vAlign w:val="center"/>
          </w:tcPr>
          <w:p>
            <w:pPr>
              <w:spacing w:after="0"/>
              <w:jc w:val="center"/>
            </w:pPr>
            <w:r/>
            <w:r>
              <w:rPr>
                <w:b w:val="0"/>
                <w:sz w:val="17"/>
                <w:rFonts w:eastAsia="宋体"/>
              </w:rPr>
              <w:t>9.643</w:t>
            </w:r>
          </w:p>
        </w:tc>
        <w:tc>
          <w:tcPr>
            <w:tcW w:type="dxa" w:w="1560"/>
            <w:vAlign w:val="center"/>
          </w:tcPr>
          <w:p>
            <w:pPr>
              <w:spacing w:after="0"/>
              <w:jc w:val="center"/>
            </w:pPr>
            <w:r/>
            <w:r>
              <w:rPr>
                <w:b w:val="0"/>
                <w:sz w:val="17"/>
                <w:rFonts w:eastAsia="宋体"/>
              </w:rPr>
              <w:t>17.250</w:t>
            </w:r>
          </w:p>
        </w:tc>
        <w:tc>
          <w:tcPr>
            <w:tcW w:type="dxa" w:w="1560"/>
            <w:vAlign w:val="center"/>
          </w:tcPr>
          <w:p>
            <w:pPr>
              <w:spacing w:after="0"/>
              <w:jc w:val="center"/>
            </w:pPr>
            <w:r/>
            <w:r>
              <w:rPr>
                <w:b w:val="0"/>
                <w:sz w:val="17"/>
                <w:rFonts w:eastAsia="宋体"/>
              </w:rPr>
              <w:t>22.286</w:t>
            </w:r>
          </w:p>
        </w:tc>
        <w:tc>
          <w:tcPr>
            <w:tcW w:type="dxa" w:w="1560"/>
            <w:vAlign w:val="center"/>
          </w:tcPr>
          <w:p>
            <w:pPr>
              <w:spacing w:after="0"/>
              <w:jc w:val="center"/>
            </w:pPr>
            <w:r/>
            <w:r>
              <w:rPr>
                <w:b w:val="0"/>
                <w:sz w:val="17"/>
                <w:rFonts w:eastAsia="宋体"/>
              </w:rPr>
              <w:t>131.11%</w:t>
            </w:r>
          </w:p>
        </w:tc>
      </w:tr>
      <w:tr>
        <w:tc>
          <w:tcPr>
            <w:tcW w:type="dxa" w:w="1560"/>
            <w:vAlign w:val="center"/>
          </w:tcPr>
          <w:p>
            <w:pPr>
              <w:spacing w:after="0"/>
              <w:jc w:val="left"/>
            </w:pPr>
            <w:r/>
            <w:r>
              <w:rPr>
                <w:b w:val="0"/>
                <w:sz w:val="17"/>
                <w:rFonts w:eastAsia="宋体"/>
              </w:rPr>
              <w:t>Kupiec_passed_alpha_0.4</w:t>
            </w:r>
          </w:p>
        </w:tc>
        <w:tc>
          <w:tcPr>
            <w:tcW w:type="dxa" w:w="1560"/>
            <w:vAlign w:val="center"/>
          </w:tcPr>
          <w:p>
            <w:pPr>
              <w:spacing w:after="0"/>
              <w:jc w:val="left"/>
            </w:pPr>
            <w:r/>
            <w:r>
              <w:rPr>
                <w:b w:val="0"/>
                <w:sz w:val="17"/>
                <w:rFonts w:eastAsia="宋体"/>
              </w:rPr>
              <w:t>越大越好</w:t>
            </w:r>
          </w:p>
        </w:tc>
        <w:tc>
          <w:tcPr>
            <w:tcW w:type="dxa" w:w="1560"/>
            <w:vAlign w:val="center"/>
          </w:tcPr>
          <w:p>
            <w:pPr>
              <w:spacing w:after="0"/>
              <w:jc w:val="center"/>
            </w:pPr>
            <w:r/>
            <w:r>
              <w:rPr>
                <w:b w:val="0"/>
                <w:sz w:val="17"/>
                <w:rFonts w:eastAsia="宋体"/>
              </w:rPr>
              <w:t>11.214</w:t>
            </w:r>
          </w:p>
        </w:tc>
        <w:tc>
          <w:tcPr>
            <w:tcW w:type="dxa" w:w="1560"/>
            <w:vAlign w:val="center"/>
          </w:tcPr>
          <w:p>
            <w:pPr>
              <w:spacing w:after="0"/>
              <w:jc w:val="center"/>
            </w:pPr>
            <w:r/>
            <w:r>
              <w:rPr>
                <w:b w:val="0"/>
                <w:sz w:val="17"/>
                <w:rFonts w:eastAsia="宋体"/>
              </w:rPr>
              <w:t>19.071</w:t>
            </w:r>
          </w:p>
        </w:tc>
        <w:tc>
          <w:tcPr>
            <w:tcW w:type="dxa" w:w="1560"/>
            <w:vAlign w:val="center"/>
          </w:tcPr>
          <w:p>
            <w:pPr>
              <w:spacing w:after="0"/>
              <w:jc w:val="center"/>
            </w:pPr>
            <w:r/>
            <w:r>
              <w:rPr>
                <w:b w:val="0"/>
                <w:sz w:val="17"/>
                <w:rFonts w:eastAsia="宋体"/>
              </w:rPr>
              <w:t>23.679</w:t>
            </w:r>
          </w:p>
        </w:tc>
        <w:tc>
          <w:tcPr>
            <w:tcW w:type="dxa" w:w="1560"/>
            <w:vAlign w:val="center"/>
          </w:tcPr>
          <w:p>
            <w:pPr>
              <w:spacing w:after="0"/>
              <w:jc w:val="center"/>
            </w:pPr>
            <w:r/>
            <w:r>
              <w:rPr>
                <w:b w:val="0"/>
                <w:sz w:val="17"/>
                <w:rFonts w:eastAsia="宋体"/>
              </w:rPr>
              <w:t>111.15%</w:t>
            </w:r>
          </w:p>
        </w:tc>
      </w:tr>
      <w:tr>
        <w:tc>
          <w:tcPr>
            <w:tcW w:type="dxa" w:w="1560"/>
            <w:vAlign w:val="center"/>
          </w:tcPr>
          <w:p>
            <w:pPr>
              <w:spacing w:after="0"/>
              <w:jc w:val="left"/>
            </w:pPr>
            <w:r/>
            <w:r>
              <w:rPr>
                <w:b w:val="0"/>
                <w:sz w:val="17"/>
                <w:rFonts w:eastAsia="宋体"/>
              </w:rPr>
              <w:t>Kupiec_passed_alpha_0.6</w:t>
            </w:r>
          </w:p>
        </w:tc>
        <w:tc>
          <w:tcPr>
            <w:tcW w:type="dxa" w:w="1560"/>
            <w:vAlign w:val="center"/>
          </w:tcPr>
          <w:p>
            <w:pPr>
              <w:spacing w:after="0"/>
              <w:jc w:val="left"/>
            </w:pPr>
            <w:r/>
            <w:r>
              <w:rPr>
                <w:b w:val="0"/>
                <w:sz w:val="17"/>
                <w:rFonts w:eastAsia="宋体"/>
              </w:rPr>
              <w:t>越大越好</w:t>
            </w:r>
          </w:p>
        </w:tc>
        <w:tc>
          <w:tcPr>
            <w:tcW w:type="dxa" w:w="1560"/>
            <w:vAlign w:val="center"/>
          </w:tcPr>
          <w:p>
            <w:pPr>
              <w:spacing w:after="0"/>
              <w:jc w:val="center"/>
            </w:pPr>
            <w:r/>
            <w:r>
              <w:rPr>
                <w:b w:val="0"/>
                <w:sz w:val="17"/>
                <w:rFonts w:eastAsia="宋体"/>
              </w:rPr>
              <w:t>13.857</w:t>
            </w:r>
          </w:p>
        </w:tc>
        <w:tc>
          <w:tcPr>
            <w:tcW w:type="dxa" w:w="1560"/>
            <w:vAlign w:val="center"/>
          </w:tcPr>
          <w:p>
            <w:pPr>
              <w:spacing w:after="0"/>
              <w:jc w:val="center"/>
            </w:pPr>
            <w:r/>
            <w:r>
              <w:rPr>
                <w:b w:val="0"/>
                <w:sz w:val="17"/>
                <w:rFonts w:eastAsia="宋体"/>
              </w:rPr>
              <w:t>20.571</w:t>
            </w:r>
          </w:p>
        </w:tc>
        <w:tc>
          <w:tcPr>
            <w:tcW w:type="dxa" w:w="1560"/>
            <w:vAlign w:val="center"/>
          </w:tcPr>
          <w:p>
            <w:pPr>
              <w:spacing w:after="0"/>
              <w:jc w:val="center"/>
            </w:pPr>
            <w:r/>
            <w:r>
              <w:rPr>
                <w:b w:val="0"/>
                <w:sz w:val="17"/>
                <w:rFonts w:eastAsia="宋体"/>
              </w:rPr>
              <w:t>23.929</w:t>
            </w:r>
          </w:p>
        </w:tc>
        <w:tc>
          <w:tcPr>
            <w:tcW w:type="dxa" w:w="1560"/>
            <w:vAlign w:val="center"/>
          </w:tcPr>
          <w:p>
            <w:pPr>
              <w:spacing w:after="0"/>
              <w:jc w:val="center"/>
            </w:pPr>
            <w:r/>
            <w:r>
              <w:rPr>
                <w:b w:val="0"/>
                <w:sz w:val="17"/>
                <w:rFonts w:eastAsia="宋体"/>
              </w:rPr>
              <w:t>72.68%</w:t>
            </w:r>
          </w:p>
        </w:tc>
      </w:tr>
      <w:tr>
        <w:tc>
          <w:tcPr>
            <w:tcW w:type="dxa" w:w="1560"/>
            <w:vAlign w:val="center"/>
          </w:tcPr>
          <w:p>
            <w:pPr>
              <w:spacing w:after="0"/>
              <w:jc w:val="left"/>
            </w:pPr>
            <w:r/>
            <w:r>
              <w:rPr>
                <w:b w:val="0"/>
                <w:sz w:val="17"/>
                <w:rFonts w:eastAsia="宋体"/>
              </w:rPr>
              <w:t>Kupiec_passed_alpha_0.8</w:t>
            </w:r>
          </w:p>
        </w:tc>
        <w:tc>
          <w:tcPr>
            <w:tcW w:type="dxa" w:w="1560"/>
            <w:vAlign w:val="center"/>
          </w:tcPr>
          <w:p>
            <w:pPr>
              <w:spacing w:after="0"/>
              <w:jc w:val="left"/>
            </w:pPr>
            <w:r/>
            <w:r>
              <w:rPr>
                <w:b w:val="0"/>
                <w:sz w:val="17"/>
                <w:rFonts w:eastAsia="宋体"/>
              </w:rPr>
              <w:t>越大越好</w:t>
            </w:r>
          </w:p>
        </w:tc>
        <w:tc>
          <w:tcPr>
            <w:tcW w:type="dxa" w:w="1560"/>
            <w:vAlign w:val="center"/>
          </w:tcPr>
          <w:p>
            <w:pPr>
              <w:spacing w:after="0"/>
              <w:jc w:val="center"/>
            </w:pPr>
            <w:r/>
            <w:r>
              <w:rPr>
                <w:b w:val="0"/>
                <w:sz w:val="17"/>
                <w:rFonts w:eastAsia="宋体"/>
              </w:rPr>
              <w:t>18.571</w:t>
            </w:r>
          </w:p>
        </w:tc>
        <w:tc>
          <w:tcPr>
            <w:tcW w:type="dxa" w:w="1560"/>
            <w:vAlign w:val="center"/>
          </w:tcPr>
          <w:p>
            <w:pPr>
              <w:spacing w:after="0"/>
              <w:jc w:val="center"/>
            </w:pPr>
            <w:r/>
            <w:r>
              <w:rPr>
                <w:b w:val="0"/>
                <w:sz w:val="17"/>
                <w:rFonts w:eastAsia="宋体"/>
              </w:rPr>
              <w:t>23.321</w:t>
            </w:r>
          </w:p>
        </w:tc>
        <w:tc>
          <w:tcPr>
            <w:tcW w:type="dxa" w:w="1560"/>
            <w:vAlign w:val="center"/>
          </w:tcPr>
          <w:p>
            <w:pPr>
              <w:spacing w:after="0"/>
              <w:jc w:val="center"/>
            </w:pPr>
            <w:r/>
            <w:r>
              <w:rPr>
                <w:b w:val="0"/>
                <w:sz w:val="17"/>
                <w:rFonts w:eastAsia="宋体"/>
              </w:rPr>
              <w:t>23.250</w:t>
            </w:r>
          </w:p>
        </w:tc>
        <w:tc>
          <w:tcPr>
            <w:tcW w:type="dxa" w:w="1560"/>
            <w:vAlign w:val="center"/>
          </w:tcPr>
          <w:p>
            <w:pPr>
              <w:spacing w:after="0"/>
              <w:jc w:val="center"/>
            </w:pPr>
            <w:r/>
            <w:r>
              <w:rPr>
                <w:b w:val="0"/>
                <w:sz w:val="17"/>
                <w:rFonts w:eastAsia="宋体"/>
              </w:rPr>
              <w:t>25.19%</w:t>
            </w:r>
          </w:p>
        </w:tc>
      </w:tr>
    </w:tbl>
    <w:p>
      <w:r>
        <w:rPr>
          <w:rFonts w:eastAsia="宋体"/>
        </w:rPr>
        <w:t>从表 1 可以看出，OCQ 在 alpha=0.2、0.4、0.6 和 0.8 下的 Kupiec 平均通过小时数均明显高于原始概率预测模型。其中 alpha=0.2 时，原始模型平均通过 9.64/24 个小时，OCQ 平均通过 22.29/24 个小时；alpha=0.4 时，原始模型平均通过 11.21/24 个小时，OCQ 平均通过 23.68/24 个小时。这说明在线共形校准显著缓解了分小时覆盖不足问题。</w:t>
      </w:r>
    </w:p>
    <w:p>
      <w:pPr>
        <w:spacing w:before="80" w:after="80"/>
        <w:jc w:val="center"/>
      </w:pPr>
      <w:r>
        <w:rPr>
          <w:b/>
          <w:sz w:val="20"/>
          <w:rFonts w:eastAsia="宋体"/>
        </w:rPr>
        <w:t>图 1 alpha=0.2 下方法组 Kupiec 平均通过小时数</w:t>
      </w:r>
    </w:p>
    <w:p>
      <w:pPr>
        <w:jc w:val="center"/>
      </w:pPr>
      <w:r>
        <w:drawing>
          <wp:inline xmlns:a="http://schemas.openxmlformats.org/drawingml/2006/main" xmlns:pic="http://schemas.openxmlformats.org/drawingml/2006/picture">
            <wp:extent cx="4480560" cy="3318933"/>
            <wp:docPr id="1" name="Picture 1"/>
            <wp:cNvGraphicFramePr>
              <a:graphicFrameLocks noChangeAspect="1"/>
            </wp:cNvGraphicFramePr>
            <a:graphic>
              <a:graphicData uri="http://schemas.openxmlformats.org/drawingml/2006/picture">
                <pic:pic>
                  <pic:nvPicPr>
                    <pic:cNvPr id="0" name="method_group_Kupiec_passed_alpha_0.2.png"/>
                    <pic:cNvPicPr/>
                  </pic:nvPicPr>
                  <pic:blipFill>
                    <a:blip r:embed="rId9"/>
                    <a:stretch>
                      <a:fillRect/>
                    </a:stretch>
                  </pic:blipFill>
                  <pic:spPr>
                    <a:xfrm>
                      <a:off x="0" y="0"/>
                      <a:ext cx="4480560" cy="3318933"/>
                    </a:xfrm>
                    <a:prstGeom prst="rect"/>
                  </pic:spPr>
                </pic:pic>
              </a:graphicData>
            </a:graphic>
          </wp:inline>
        </w:drawing>
      </w:r>
    </w:p>
    <w:p>
      <w:pPr>
        <w:spacing w:before="80" w:after="80"/>
        <w:jc w:val="center"/>
      </w:pPr>
      <w:r>
        <w:rPr>
          <w:b/>
          <w:sz w:val="20"/>
          <w:rFonts w:eastAsia="宋体"/>
        </w:rPr>
        <w:t>图 2 alpha=0.2 下方法组 Winkler Score 平均对比</w:t>
      </w:r>
    </w:p>
    <w:p>
      <w:pPr>
        <w:jc w:val="center"/>
      </w:pPr>
      <w:r>
        <w:drawing>
          <wp:inline xmlns:a="http://schemas.openxmlformats.org/drawingml/2006/main" xmlns:pic="http://schemas.openxmlformats.org/drawingml/2006/picture">
            <wp:extent cx="4480560" cy="3318933"/>
            <wp:docPr id="2" name="Picture 2"/>
            <wp:cNvGraphicFramePr>
              <a:graphicFrameLocks noChangeAspect="1"/>
            </wp:cNvGraphicFramePr>
            <a:graphic>
              <a:graphicData uri="http://schemas.openxmlformats.org/drawingml/2006/picture">
                <pic:pic>
                  <pic:nvPicPr>
                    <pic:cNvPr id="0" name="method_group_Winkler_alpha_0.2.png"/>
                    <pic:cNvPicPr/>
                  </pic:nvPicPr>
                  <pic:blipFill>
                    <a:blip r:embed="rId10"/>
                    <a:stretch>
                      <a:fillRect/>
                    </a:stretch>
                  </pic:blipFill>
                  <pic:spPr>
                    <a:xfrm>
                      <a:off x="0" y="0"/>
                      <a:ext cx="4480560" cy="3318933"/>
                    </a:xfrm>
                    <a:prstGeom prst="rect"/>
                  </pic:spPr>
                </pic:pic>
              </a:graphicData>
            </a:graphic>
          </wp:inline>
        </w:drawing>
      </w:r>
    </w:p>
    <w:p>
      <w:pPr>
        <w:pStyle w:val="Heading2"/>
      </w:pPr>
      <w:r>
        <w:t>4.2 典型市场主结果</w:t>
      </w:r>
    </w:p>
    <w:p>
      <w:r>
        <w:rPr>
          <w:rFonts w:eastAsia="宋体"/>
        </w:rPr>
        <w:t>表 2 选取 DE_price、MGP_NORD 和 MGP_SARD 三个市场，展示 QR、CQR、OCQR、CP 与 QRA 等代表性方法在 alpha=0.2 和 alpha=0.4 下的关键指标。完整结果已导出至 paper_outputs/results_tables/summary_all_markets_mean_kpis.csv。</w:t>
      </w:r>
    </w:p>
    <w:p>
      <w:pPr>
        <w:spacing w:before="80" w:after="80"/>
        <w:jc w:val="center"/>
      </w:pPr>
      <w:r>
        <w:rPr>
          <w:b/>
          <w:sz w:val="20"/>
          <w:rFonts w:eastAsia="宋体"/>
        </w:rPr>
        <w:t>表 2 典型市场代表性方法结果</w:t>
      </w:r>
    </w:p>
    <w:tbl>
      <w:tblPr>
        <w:tblStyle w:val="TableGrid"/>
        <w:tblW w:type="auto" w:w="0"/>
        <w:jc w:val="center"/>
        <w:tblLayout w:type="fixed"/>
        <w:tblLook w:firstColumn="1" w:firstRow="1" w:lastColumn="0" w:lastRow="0" w:noHBand="0" w:noVBand="1" w:val="04A0"/>
        <w:tblW w:w="9360" w:type="dxa"/>
      </w:tblPr>
      <w:tblGrid>
        <w:gridCol w:w="1170"/>
        <w:gridCol w:w="1170"/>
        <w:gridCol w:w="1170"/>
        <w:gridCol w:w="1170"/>
        <w:gridCol w:w="1170"/>
        <w:gridCol w:w="1170"/>
        <w:gridCol w:w="1170"/>
        <w:gridCol w:w="1170"/>
      </w:tblGrid>
      <w:tr>
        <w:tc>
          <w:tcPr>
            <w:tcW w:type="dxa" w:w="1224"/>
            <w:vAlign w:val="center"/>
            <w:shd w:fill="F4F6F9"/>
          </w:tcPr>
          <w:p>
            <w:pPr>
              <w:spacing w:after="0"/>
              <w:jc w:val="center"/>
            </w:pPr>
            <w:r/>
            <w:r>
              <w:rPr>
                <w:b/>
                <w:sz w:val="17"/>
                <w:rFonts w:eastAsia="宋体"/>
              </w:rPr>
              <w:t>市场</w:t>
            </w:r>
          </w:p>
        </w:tc>
        <w:tc>
          <w:tcPr>
            <w:tcW w:type="dxa" w:w="1008"/>
            <w:vAlign w:val="center"/>
            <w:shd w:fill="F4F6F9"/>
          </w:tcPr>
          <w:p>
            <w:pPr>
              <w:spacing w:after="0"/>
              <w:jc w:val="center"/>
            </w:pPr>
            <w:r/>
            <w:r>
              <w:rPr>
                <w:b/>
                <w:sz w:val="17"/>
                <w:rFonts w:eastAsia="宋体"/>
              </w:rPr>
              <w:t>方法</w:t>
            </w:r>
          </w:p>
        </w:tc>
        <w:tc>
          <w:tcPr>
            <w:tcW w:type="dxa" w:w="1008"/>
            <w:vAlign w:val="center"/>
            <w:shd w:fill="F4F6F9"/>
          </w:tcPr>
          <w:p>
            <w:pPr>
              <w:spacing w:after="0"/>
              <w:jc w:val="center"/>
            </w:pPr>
            <w:r/>
            <w:r>
              <w:rPr>
                <w:b/>
                <w:sz w:val="17"/>
                <w:rFonts w:eastAsia="宋体"/>
              </w:rPr>
              <w:t>Pinball</w:t>
            </w:r>
          </w:p>
        </w:tc>
        <w:tc>
          <w:tcPr>
            <w:tcW w:type="dxa" w:w="1080"/>
            <w:vAlign w:val="center"/>
            <w:shd w:fill="F4F6F9"/>
          </w:tcPr>
          <w:p>
            <w:pPr>
              <w:spacing w:after="0"/>
              <w:jc w:val="center"/>
            </w:pPr>
            <w:r/>
            <w:r>
              <w:rPr>
                <w:b/>
                <w:sz w:val="17"/>
                <w:rFonts w:eastAsia="宋体"/>
              </w:rPr>
              <w:t>PICP 0.2</w:t>
            </w:r>
          </w:p>
        </w:tc>
        <w:tc>
          <w:tcPr>
            <w:tcW w:type="dxa" w:w="1080"/>
            <w:vAlign w:val="center"/>
            <w:shd w:fill="F4F6F9"/>
          </w:tcPr>
          <w:p>
            <w:pPr>
              <w:spacing w:after="0"/>
              <w:jc w:val="center"/>
            </w:pPr>
            <w:r/>
            <w:r>
              <w:rPr>
                <w:b/>
                <w:sz w:val="17"/>
                <w:rFonts w:eastAsia="宋体"/>
              </w:rPr>
              <w:t>Kupiec 0.2</w:t>
            </w:r>
          </w:p>
        </w:tc>
        <w:tc>
          <w:tcPr>
            <w:tcW w:type="dxa" w:w="1224"/>
            <w:vAlign w:val="center"/>
            <w:shd w:fill="F4F6F9"/>
          </w:tcPr>
          <w:p>
            <w:pPr>
              <w:spacing w:after="0"/>
              <w:jc w:val="center"/>
            </w:pPr>
            <w:r/>
            <w:r>
              <w:rPr>
                <w:b/>
                <w:sz w:val="17"/>
                <w:rFonts w:eastAsia="宋体"/>
              </w:rPr>
              <w:t>Winkler 0.2</w:t>
            </w:r>
          </w:p>
        </w:tc>
        <w:tc>
          <w:tcPr>
            <w:tcW w:type="dxa" w:w="1080"/>
            <w:vAlign w:val="center"/>
            <w:shd w:fill="F4F6F9"/>
          </w:tcPr>
          <w:p>
            <w:pPr>
              <w:spacing w:after="0"/>
              <w:jc w:val="center"/>
            </w:pPr>
            <w:r/>
            <w:r>
              <w:rPr>
                <w:b/>
                <w:sz w:val="17"/>
                <w:rFonts w:eastAsia="宋体"/>
              </w:rPr>
              <w:t>PICP 0.4</w:t>
            </w:r>
          </w:p>
        </w:tc>
        <w:tc>
          <w:tcPr>
            <w:tcW w:type="dxa" w:w="1080"/>
            <w:vAlign w:val="center"/>
            <w:shd w:fill="F4F6F9"/>
          </w:tcPr>
          <w:p>
            <w:pPr>
              <w:spacing w:after="0"/>
              <w:jc w:val="center"/>
            </w:pPr>
            <w:r/>
            <w:r>
              <w:rPr>
                <w:b/>
                <w:sz w:val="17"/>
                <w:rFonts w:eastAsia="宋体"/>
              </w:rPr>
              <w:t>Kupiec 0.4</w:t>
            </w:r>
          </w:p>
        </w:tc>
      </w:tr>
      <w:tr>
        <w:tc>
          <w:tcPr>
            <w:tcW w:type="dxa" w:w="1170"/>
            <w:vAlign w:val="center"/>
          </w:tcPr>
          <w:p>
            <w:pPr>
              <w:spacing w:after="0"/>
              <w:jc w:val="left"/>
            </w:pPr>
            <w:r/>
            <w:r>
              <w:rPr>
                <w:b w:val="0"/>
                <w:sz w:val="17"/>
                <w:rFonts w:eastAsia="宋体"/>
              </w:rPr>
              <w:t>DE_price</w:t>
            </w:r>
          </w:p>
        </w:tc>
        <w:tc>
          <w:tcPr>
            <w:tcW w:type="dxa" w:w="1170"/>
            <w:vAlign w:val="center"/>
          </w:tcPr>
          <w:p>
            <w:pPr>
              <w:spacing w:after="0"/>
              <w:jc w:val="left"/>
            </w:pPr>
            <w:r/>
            <w:r>
              <w:rPr>
                <w:b w:val="0"/>
                <w:sz w:val="17"/>
                <w:rFonts w:eastAsia="宋体"/>
              </w:rPr>
              <w:t>CP</w:t>
            </w:r>
          </w:p>
        </w:tc>
        <w:tc>
          <w:tcPr>
            <w:tcW w:type="dxa" w:w="1170"/>
            <w:vAlign w:val="center"/>
          </w:tcPr>
          <w:p>
            <w:pPr>
              <w:spacing w:after="0"/>
              <w:jc w:val="center"/>
            </w:pPr>
            <w:r/>
            <w:r>
              <w:rPr>
                <w:b w:val="0"/>
                <w:sz w:val="17"/>
                <w:rFonts w:eastAsia="宋体"/>
              </w:rPr>
              <w:t>1.549</w:t>
            </w:r>
          </w:p>
        </w:tc>
        <w:tc>
          <w:tcPr>
            <w:tcW w:type="dxa" w:w="1170"/>
            <w:vAlign w:val="center"/>
          </w:tcPr>
          <w:p>
            <w:pPr>
              <w:spacing w:after="0"/>
              <w:jc w:val="center"/>
            </w:pPr>
            <w:r/>
            <w:r>
              <w:rPr>
                <w:b w:val="0"/>
                <w:sz w:val="17"/>
                <w:rFonts w:eastAsia="宋体"/>
              </w:rPr>
              <w:t>79</w:t>
            </w:r>
          </w:p>
        </w:tc>
        <w:tc>
          <w:tcPr>
            <w:tcW w:type="dxa" w:w="1170"/>
            <w:vAlign w:val="center"/>
          </w:tcPr>
          <w:p>
            <w:pPr>
              <w:spacing w:after="0"/>
              <w:jc w:val="center"/>
            </w:pPr>
            <w:r/>
            <w:r>
              <w:rPr>
                <w:b w:val="0"/>
                <w:sz w:val="17"/>
                <w:rFonts w:eastAsia="宋体"/>
              </w:rPr>
              <w:t>24</w:t>
            </w:r>
          </w:p>
        </w:tc>
        <w:tc>
          <w:tcPr>
            <w:tcW w:type="dxa" w:w="1170"/>
            <w:vAlign w:val="center"/>
          </w:tcPr>
          <w:p>
            <w:pPr>
              <w:spacing w:after="0"/>
              <w:jc w:val="center"/>
            </w:pPr>
            <w:r/>
            <w:r>
              <w:rPr>
                <w:b w:val="0"/>
                <w:sz w:val="17"/>
                <w:rFonts w:eastAsia="宋体"/>
              </w:rPr>
              <w:t>20.27</w:t>
            </w:r>
          </w:p>
        </w:tc>
        <w:tc>
          <w:tcPr>
            <w:tcW w:type="dxa" w:w="1170"/>
            <w:vAlign w:val="center"/>
          </w:tcPr>
          <w:p>
            <w:pPr>
              <w:spacing w:after="0"/>
              <w:jc w:val="center"/>
            </w:pPr>
            <w:r/>
            <w:r>
              <w:rPr>
                <w:b w:val="0"/>
                <w:sz w:val="17"/>
                <w:rFonts w:eastAsia="宋体"/>
              </w:rPr>
              <w:t>59</w:t>
            </w:r>
          </w:p>
        </w:tc>
        <w:tc>
          <w:tcPr>
            <w:tcW w:type="dxa" w:w="1170"/>
            <w:vAlign w:val="center"/>
          </w:tcPr>
          <w:p>
            <w:pPr>
              <w:spacing w:after="0"/>
              <w:jc w:val="center"/>
            </w:pPr>
            <w:r/>
            <w:r>
              <w:rPr>
                <w:b w:val="0"/>
                <w:sz w:val="17"/>
                <w:rFonts w:eastAsia="宋体"/>
              </w:rPr>
              <w:t>24</w:t>
            </w:r>
          </w:p>
        </w:tc>
      </w:tr>
      <w:tr>
        <w:tc>
          <w:tcPr>
            <w:tcW w:type="dxa" w:w="1170"/>
            <w:vAlign w:val="center"/>
          </w:tcPr>
          <w:p>
            <w:pPr>
              <w:spacing w:after="0"/>
              <w:jc w:val="left"/>
            </w:pPr>
            <w:r/>
            <w:r>
              <w:rPr>
                <w:b w:val="0"/>
                <w:sz w:val="17"/>
                <w:rFonts w:eastAsia="宋体"/>
              </w:rPr>
              <w:t>DE_price</w:t>
            </w:r>
          </w:p>
        </w:tc>
        <w:tc>
          <w:tcPr>
            <w:tcW w:type="dxa" w:w="1170"/>
            <w:vAlign w:val="center"/>
          </w:tcPr>
          <w:p>
            <w:pPr>
              <w:spacing w:after="0"/>
              <w:jc w:val="left"/>
            </w:pPr>
            <w:r/>
            <w:r>
              <w:rPr>
                <w:b w:val="0"/>
                <w:sz w:val="17"/>
                <w:rFonts w:eastAsia="宋体"/>
              </w:rPr>
              <w:t>QRA</w:t>
            </w:r>
          </w:p>
        </w:tc>
        <w:tc>
          <w:tcPr>
            <w:tcW w:type="dxa" w:w="1170"/>
            <w:vAlign w:val="center"/>
          </w:tcPr>
          <w:p>
            <w:pPr>
              <w:spacing w:after="0"/>
              <w:jc w:val="center"/>
            </w:pPr>
            <w:r/>
            <w:r>
              <w:rPr>
                <w:b w:val="0"/>
                <w:sz w:val="17"/>
                <w:rFonts w:eastAsia="宋体"/>
              </w:rPr>
              <w:t>1.557</w:t>
            </w:r>
          </w:p>
        </w:tc>
        <w:tc>
          <w:tcPr>
            <w:tcW w:type="dxa" w:w="1170"/>
            <w:vAlign w:val="center"/>
          </w:tcPr>
          <w:p>
            <w:pPr>
              <w:spacing w:after="0"/>
              <w:jc w:val="center"/>
            </w:pPr>
            <w:r/>
            <w:r>
              <w:rPr>
                <w:b w:val="0"/>
                <w:sz w:val="17"/>
                <w:rFonts w:eastAsia="宋体"/>
              </w:rPr>
              <w:t>78</w:t>
            </w:r>
          </w:p>
        </w:tc>
        <w:tc>
          <w:tcPr>
            <w:tcW w:type="dxa" w:w="1170"/>
            <w:vAlign w:val="center"/>
          </w:tcPr>
          <w:p>
            <w:pPr>
              <w:spacing w:after="0"/>
              <w:jc w:val="center"/>
            </w:pPr>
            <w:r/>
            <w:r>
              <w:rPr>
                <w:b w:val="0"/>
                <w:sz w:val="17"/>
                <w:rFonts w:eastAsia="宋体"/>
              </w:rPr>
              <w:t>6</w:t>
            </w:r>
          </w:p>
        </w:tc>
        <w:tc>
          <w:tcPr>
            <w:tcW w:type="dxa" w:w="1170"/>
            <w:vAlign w:val="center"/>
          </w:tcPr>
          <w:p>
            <w:pPr>
              <w:spacing w:after="0"/>
              <w:jc w:val="center"/>
            </w:pPr>
            <w:r/>
            <w:r>
              <w:rPr>
                <w:b w:val="0"/>
                <w:sz w:val="17"/>
                <w:rFonts w:eastAsia="宋体"/>
              </w:rPr>
              <w:t>20.62</w:t>
            </w:r>
          </w:p>
        </w:tc>
        <w:tc>
          <w:tcPr>
            <w:tcW w:type="dxa" w:w="1170"/>
            <w:vAlign w:val="center"/>
          </w:tcPr>
          <w:p>
            <w:pPr>
              <w:spacing w:after="0"/>
              <w:jc w:val="center"/>
            </w:pPr>
            <w:r/>
            <w:r>
              <w:rPr>
                <w:b w:val="0"/>
                <w:sz w:val="17"/>
                <w:rFonts w:eastAsia="宋体"/>
              </w:rPr>
              <w:t>59</w:t>
            </w:r>
          </w:p>
        </w:tc>
        <w:tc>
          <w:tcPr>
            <w:tcW w:type="dxa" w:w="1170"/>
            <w:vAlign w:val="center"/>
          </w:tcPr>
          <w:p>
            <w:pPr>
              <w:spacing w:after="0"/>
              <w:jc w:val="center"/>
            </w:pPr>
            <w:r/>
            <w:r>
              <w:rPr>
                <w:b w:val="0"/>
                <w:sz w:val="17"/>
                <w:rFonts w:eastAsia="宋体"/>
              </w:rPr>
              <w:t>5</w:t>
            </w:r>
          </w:p>
        </w:tc>
      </w:tr>
      <w:tr>
        <w:tc>
          <w:tcPr>
            <w:tcW w:type="dxa" w:w="1170"/>
            <w:vAlign w:val="center"/>
          </w:tcPr>
          <w:p>
            <w:pPr>
              <w:spacing w:after="0"/>
              <w:jc w:val="left"/>
            </w:pPr>
            <w:r/>
            <w:r>
              <w:rPr>
                <w:b w:val="0"/>
                <w:sz w:val="17"/>
                <w:rFonts w:eastAsia="宋体"/>
              </w:rPr>
              <w:t>DE_price</w:t>
            </w:r>
          </w:p>
        </w:tc>
        <w:tc>
          <w:tcPr>
            <w:tcW w:type="dxa" w:w="1170"/>
            <w:vAlign w:val="center"/>
          </w:tcPr>
          <w:p>
            <w:pPr>
              <w:spacing w:after="0"/>
              <w:jc w:val="left"/>
            </w:pPr>
            <w:r/>
            <w:r>
              <w:rPr>
                <w:b w:val="0"/>
                <w:sz w:val="17"/>
                <w:rFonts w:eastAsia="宋体"/>
              </w:rPr>
              <w:t>QR</w:t>
            </w:r>
          </w:p>
        </w:tc>
        <w:tc>
          <w:tcPr>
            <w:tcW w:type="dxa" w:w="1170"/>
            <w:vAlign w:val="center"/>
          </w:tcPr>
          <w:p>
            <w:pPr>
              <w:spacing w:after="0"/>
              <w:jc w:val="center"/>
            </w:pPr>
            <w:r/>
            <w:r>
              <w:rPr>
                <w:b w:val="0"/>
                <w:sz w:val="17"/>
                <w:rFonts w:eastAsia="宋体"/>
              </w:rPr>
              <w:t>1.474</w:t>
            </w:r>
          </w:p>
        </w:tc>
        <w:tc>
          <w:tcPr>
            <w:tcW w:type="dxa" w:w="1170"/>
            <w:vAlign w:val="center"/>
          </w:tcPr>
          <w:p>
            <w:pPr>
              <w:spacing w:after="0"/>
              <w:jc w:val="center"/>
            </w:pPr>
            <w:r/>
            <w:r>
              <w:rPr>
                <w:b w:val="0"/>
                <w:sz w:val="17"/>
                <w:rFonts w:eastAsia="宋体"/>
              </w:rPr>
              <w:t>75</w:t>
            </w:r>
          </w:p>
        </w:tc>
        <w:tc>
          <w:tcPr>
            <w:tcW w:type="dxa" w:w="1170"/>
            <w:vAlign w:val="center"/>
          </w:tcPr>
          <w:p>
            <w:pPr>
              <w:spacing w:after="0"/>
              <w:jc w:val="center"/>
            </w:pPr>
            <w:r/>
            <w:r>
              <w:rPr>
                <w:b w:val="0"/>
                <w:sz w:val="17"/>
                <w:rFonts w:eastAsia="宋体"/>
              </w:rPr>
              <w:t>9</w:t>
            </w:r>
          </w:p>
        </w:tc>
        <w:tc>
          <w:tcPr>
            <w:tcW w:type="dxa" w:w="1170"/>
            <w:vAlign w:val="center"/>
          </w:tcPr>
          <w:p>
            <w:pPr>
              <w:spacing w:after="0"/>
              <w:jc w:val="center"/>
            </w:pPr>
            <w:r/>
            <w:r>
              <w:rPr>
                <w:b w:val="0"/>
                <w:sz w:val="17"/>
                <w:rFonts w:eastAsia="宋体"/>
              </w:rPr>
              <w:t>17.71</w:t>
            </w:r>
          </w:p>
        </w:tc>
        <w:tc>
          <w:tcPr>
            <w:tcW w:type="dxa" w:w="1170"/>
            <w:vAlign w:val="center"/>
          </w:tcPr>
          <w:p>
            <w:pPr>
              <w:spacing w:after="0"/>
              <w:jc w:val="center"/>
            </w:pPr>
            <w:r/>
            <w:r>
              <w:rPr>
                <w:b w:val="0"/>
                <w:sz w:val="17"/>
                <w:rFonts w:eastAsia="宋体"/>
              </w:rPr>
              <w:t>54</w:t>
            </w:r>
          </w:p>
        </w:tc>
        <w:tc>
          <w:tcPr>
            <w:tcW w:type="dxa" w:w="1170"/>
            <w:vAlign w:val="center"/>
          </w:tcPr>
          <w:p>
            <w:pPr>
              <w:spacing w:after="0"/>
              <w:jc w:val="center"/>
            </w:pPr>
            <w:r/>
            <w:r>
              <w:rPr>
                <w:b w:val="0"/>
                <w:sz w:val="17"/>
                <w:rFonts w:eastAsia="宋体"/>
              </w:rPr>
              <w:t>5</w:t>
            </w:r>
          </w:p>
        </w:tc>
      </w:tr>
      <w:tr>
        <w:tc>
          <w:tcPr>
            <w:tcW w:type="dxa" w:w="1170"/>
            <w:vAlign w:val="center"/>
          </w:tcPr>
          <w:p>
            <w:pPr>
              <w:spacing w:after="0"/>
              <w:jc w:val="left"/>
            </w:pPr>
            <w:r/>
            <w:r>
              <w:rPr>
                <w:b w:val="0"/>
                <w:sz w:val="17"/>
                <w:rFonts w:eastAsia="宋体"/>
              </w:rPr>
              <w:t>DE_price</w:t>
            </w:r>
          </w:p>
        </w:tc>
        <w:tc>
          <w:tcPr>
            <w:tcW w:type="dxa" w:w="1170"/>
            <w:vAlign w:val="center"/>
          </w:tcPr>
          <w:p>
            <w:pPr>
              <w:spacing w:after="0"/>
              <w:jc w:val="left"/>
            </w:pPr>
            <w:r/>
            <w:r>
              <w:rPr>
                <w:b w:val="0"/>
                <w:sz w:val="17"/>
                <w:rFonts w:eastAsia="宋体"/>
              </w:rPr>
              <w:t>CQR</w:t>
            </w:r>
          </w:p>
        </w:tc>
        <w:tc>
          <w:tcPr>
            <w:tcW w:type="dxa" w:w="1170"/>
            <w:vAlign w:val="center"/>
          </w:tcPr>
          <w:p>
            <w:pPr>
              <w:spacing w:after="0"/>
              <w:jc w:val="center"/>
            </w:pPr>
            <w:r/>
            <w:r>
              <w:rPr>
                <w:b w:val="0"/>
                <w:sz w:val="17"/>
                <w:rFonts w:eastAsia="宋体"/>
              </w:rPr>
              <w:t>1.462</w:t>
            </w:r>
          </w:p>
        </w:tc>
        <w:tc>
          <w:tcPr>
            <w:tcW w:type="dxa" w:w="1170"/>
            <w:vAlign w:val="center"/>
          </w:tcPr>
          <w:p>
            <w:pPr>
              <w:spacing w:after="0"/>
              <w:jc w:val="center"/>
            </w:pPr>
            <w:r/>
            <w:r>
              <w:rPr>
                <w:b w:val="0"/>
                <w:sz w:val="17"/>
                <w:rFonts w:eastAsia="宋体"/>
              </w:rPr>
              <w:t>78</w:t>
            </w:r>
          </w:p>
        </w:tc>
        <w:tc>
          <w:tcPr>
            <w:tcW w:type="dxa" w:w="1170"/>
            <w:vAlign w:val="center"/>
          </w:tcPr>
          <w:p>
            <w:pPr>
              <w:spacing w:after="0"/>
              <w:jc w:val="center"/>
            </w:pPr>
            <w:r/>
            <w:r>
              <w:rPr>
                <w:b w:val="0"/>
                <w:sz w:val="17"/>
                <w:rFonts w:eastAsia="宋体"/>
              </w:rPr>
              <w:t>19</w:t>
            </w:r>
          </w:p>
        </w:tc>
        <w:tc>
          <w:tcPr>
            <w:tcW w:type="dxa" w:w="1170"/>
            <w:vAlign w:val="center"/>
          </w:tcPr>
          <w:p>
            <w:pPr>
              <w:spacing w:after="0"/>
              <w:jc w:val="center"/>
            </w:pPr>
            <w:r/>
            <w:r>
              <w:rPr>
                <w:b w:val="0"/>
                <w:sz w:val="17"/>
                <w:rFonts w:eastAsia="宋体"/>
              </w:rPr>
              <w:t>17.50</w:t>
            </w:r>
          </w:p>
        </w:tc>
        <w:tc>
          <w:tcPr>
            <w:tcW w:type="dxa" w:w="1170"/>
            <w:vAlign w:val="center"/>
          </w:tcPr>
          <w:p>
            <w:pPr>
              <w:spacing w:after="0"/>
              <w:jc w:val="center"/>
            </w:pPr>
            <w:r/>
            <w:r>
              <w:rPr>
                <w:b w:val="0"/>
                <w:sz w:val="17"/>
                <w:rFonts w:eastAsia="宋体"/>
              </w:rPr>
              <w:t>57</w:t>
            </w:r>
          </w:p>
        </w:tc>
        <w:tc>
          <w:tcPr>
            <w:tcW w:type="dxa" w:w="1170"/>
            <w:vAlign w:val="center"/>
          </w:tcPr>
          <w:p>
            <w:pPr>
              <w:spacing w:after="0"/>
              <w:jc w:val="center"/>
            </w:pPr>
            <w:r/>
            <w:r>
              <w:rPr>
                <w:b w:val="0"/>
                <w:sz w:val="17"/>
                <w:rFonts w:eastAsia="宋体"/>
              </w:rPr>
              <w:t>19</w:t>
            </w:r>
          </w:p>
        </w:tc>
      </w:tr>
      <w:tr>
        <w:tc>
          <w:tcPr>
            <w:tcW w:type="dxa" w:w="1170"/>
            <w:vAlign w:val="center"/>
          </w:tcPr>
          <w:p>
            <w:pPr>
              <w:spacing w:after="0"/>
              <w:jc w:val="left"/>
            </w:pPr>
            <w:r/>
            <w:r>
              <w:rPr>
                <w:b w:val="0"/>
                <w:sz w:val="17"/>
                <w:rFonts w:eastAsia="宋体"/>
              </w:rPr>
              <w:t>DE_price</w:t>
            </w:r>
          </w:p>
        </w:tc>
        <w:tc>
          <w:tcPr>
            <w:tcW w:type="dxa" w:w="1170"/>
            <w:vAlign w:val="center"/>
          </w:tcPr>
          <w:p>
            <w:pPr>
              <w:spacing w:after="0"/>
              <w:jc w:val="left"/>
            </w:pPr>
            <w:r/>
            <w:r>
              <w:rPr>
                <w:b w:val="0"/>
                <w:sz w:val="17"/>
                <w:rFonts w:eastAsia="宋体"/>
              </w:rPr>
              <w:t>OCQR</w:t>
            </w:r>
          </w:p>
        </w:tc>
        <w:tc>
          <w:tcPr>
            <w:tcW w:type="dxa" w:w="1170"/>
            <w:vAlign w:val="center"/>
          </w:tcPr>
          <w:p>
            <w:pPr>
              <w:spacing w:after="0"/>
              <w:jc w:val="center"/>
            </w:pPr>
            <w:r/>
            <w:r>
              <w:rPr>
                <w:b w:val="0"/>
                <w:sz w:val="17"/>
                <w:rFonts w:eastAsia="宋体"/>
              </w:rPr>
              <w:t>1.459</w:t>
            </w:r>
          </w:p>
        </w:tc>
        <w:tc>
          <w:tcPr>
            <w:tcW w:type="dxa" w:w="1170"/>
            <w:vAlign w:val="center"/>
          </w:tcPr>
          <w:p>
            <w:pPr>
              <w:spacing w:after="0"/>
              <w:jc w:val="center"/>
            </w:pPr>
            <w:r/>
            <w:r>
              <w:rPr>
                <w:b w:val="0"/>
                <w:sz w:val="17"/>
                <w:rFonts w:eastAsia="宋体"/>
              </w:rPr>
              <w:t>80</w:t>
            </w:r>
          </w:p>
        </w:tc>
        <w:tc>
          <w:tcPr>
            <w:tcW w:type="dxa" w:w="1170"/>
            <w:vAlign w:val="center"/>
          </w:tcPr>
          <w:p>
            <w:pPr>
              <w:spacing w:after="0"/>
              <w:jc w:val="center"/>
            </w:pPr>
            <w:r/>
            <w:r>
              <w:rPr>
                <w:b w:val="0"/>
                <w:sz w:val="17"/>
                <w:rFonts w:eastAsia="宋体"/>
              </w:rPr>
              <w:t>24</w:t>
            </w:r>
          </w:p>
        </w:tc>
        <w:tc>
          <w:tcPr>
            <w:tcW w:type="dxa" w:w="1170"/>
            <w:vAlign w:val="center"/>
          </w:tcPr>
          <w:p>
            <w:pPr>
              <w:spacing w:after="0"/>
              <w:jc w:val="center"/>
            </w:pPr>
            <w:r/>
            <w:r>
              <w:rPr>
                <w:b w:val="0"/>
                <w:sz w:val="17"/>
                <w:rFonts w:eastAsia="宋体"/>
              </w:rPr>
              <w:t>17.45</w:t>
            </w:r>
          </w:p>
        </w:tc>
        <w:tc>
          <w:tcPr>
            <w:tcW w:type="dxa" w:w="1170"/>
            <w:vAlign w:val="center"/>
          </w:tcPr>
          <w:p>
            <w:pPr>
              <w:spacing w:after="0"/>
              <w:jc w:val="center"/>
            </w:pPr>
            <w:r/>
            <w:r>
              <w:rPr>
                <w:b w:val="0"/>
                <w:sz w:val="17"/>
                <w:rFonts w:eastAsia="宋体"/>
              </w:rPr>
              <w:t>60</w:t>
            </w:r>
          </w:p>
        </w:tc>
        <w:tc>
          <w:tcPr>
            <w:tcW w:type="dxa" w:w="1170"/>
            <w:vAlign w:val="center"/>
          </w:tcPr>
          <w:p>
            <w:pPr>
              <w:spacing w:after="0"/>
              <w:jc w:val="center"/>
            </w:pPr>
            <w:r/>
            <w:r>
              <w:rPr>
                <w:b w:val="0"/>
                <w:sz w:val="17"/>
                <w:rFonts w:eastAsia="宋体"/>
              </w:rPr>
              <w:t>24</w:t>
            </w:r>
          </w:p>
        </w:tc>
      </w:tr>
      <w:tr>
        <w:tc>
          <w:tcPr>
            <w:tcW w:type="dxa" w:w="1170"/>
            <w:vAlign w:val="center"/>
          </w:tcPr>
          <w:p>
            <w:pPr>
              <w:spacing w:after="0"/>
              <w:jc w:val="left"/>
            </w:pPr>
            <w:r/>
            <w:r>
              <w:rPr>
                <w:b w:val="0"/>
                <w:sz w:val="17"/>
                <w:rFonts w:eastAsia="宋体"/>
              </w:rPr>
              <w:t>MGP_NORD</w:t>
            </w:r>
          </w:p>
        </w:tc>
        <w:tc>
          <w:tcPr>
            <w:tcW w:type="dxa" w:w="1170"/>
            <w:vAlign w:val="center"/>
          </w:tcPr>
          <w:p>
            <w:pPr>
              <w:spacing w:after="0"/>
              <w:jc w:val="left"/>
            </w:pPr>
            <w:r/>
            <w:r>
              <w:rPr>
                <w:b w:val="0"/>
                <w:sz w:val="17"/>
                <w:rFonts w:eastAsia="宋体"/>
              </w:rPr>
              <w:t>CP</w:t>
            </w:r>
          </w:p>
        </w:tc>
        <w:tc>
          <w:tcPr>
            <w:tcW w:type="dxa" w:w="1170"/>
            <w:vAlign w:val="center"/>
          </w:tcPr>
          <w:p>
            <w:pPr>
              <w:spacing w:after="0"/>
              <w:jc w:val="center"/>
            </w:pPr>
            <w:r/>
            <w:r>
              <w:rPr>
                <w:b w:val="0"/>
                <w:sz w:val="17"/>
                <w:rFonts w:eastAsia="宋体"/>
              </w:rPr>
              <w:t>1.847</w:t>
            </w:r>
          </w:p>
        </w:tc>
        <w:tc>
          <w:tcPr>
            <w:tcW w:type="dxa" w:w="1170"/>
            <w:vAlign w:val="center"/>
          </w:tcPr>
          <w:p>
            <w:pPr>
              <w:spacing w:after="0"/>
              <w:jc w:val="center"/>
            </w:pPr>
            <w:r/>
            <w:r>
              <w:rPr>
                <w:b w:val="0"/>
                <w:sz w:val="17"/>
                <w:rFonts w:eastAsia="宋体"/>
              </w:rPr>
              <w:t>81</w:t>
            </w:r>
          </w:p>
        </w:tc>
        <w:tc>
          <w:tcPr>
            <w:tcW w:type="dxa" w:w="1170"/>
            <w:vAlign w:val="center"/>
          </w:tcPr>
          <w:p>
            <w:pPr>
              <w:spacing w:after="0"/>
              <w:jc w:val="center"/>
            </w:pPr>
            <w:r/>
            <w:r>
              <w:rPr>
                <w:b w:val="0"/>
                <w:sz w:val="17"/>
                <w:rFonts w:eastAsia="宋体"/>
              </w:rPr>
              <w:t>24</w:t>
            </w:r>
          </w:p>
        </w:tc>
        <w:tc>
          <w:tcPr>
            <w:tcW w:type="dxa" w:w="1170"/>
            <w:vAlign w:val="center"/>
          </w:tcPr>
          <w:p>
            <w:pPr>
              <w:spacing w:after="0"/>
              <w:jc w:val="center"/>
            </w:pPr>
            <w:r/>
            <w:r>
              <w:rPr>
                <w:b w:val="0"/>
                <w:sz w:val="17"/>
                <w:rFonts w:eastAsia="宋体"/>
              </w:rPr>
              <w:t>22.64</w:t>
            </w:r>
          </w:p>
        </w:tc>
        <w:tc>
          <w:tcPr>
            <w:tcW w:type="dxa" w:w="1170"/>
            <w:vAlign w:val="center"/>
          </w:tcPr>
          <w:p>
            <w:pPr>
              <w:spacing w:after="0"/>
              <w:jc w:val="center"/>
            </w:pPr>
            <w:r/>
            <w:r>
              <w:rPr>
                <w:b w:val="0"/>
                <w:sz w:val="17"/>
                <w:rFonts w:eastAsia="宋体"/>
              </w:rPr>
              <w:t>62</w:t>
            </w:r>
          </w:p>
        </w:tc>
        <w:tc>
          <w:tcPr>
            <w:tcW w:type="dxa" w:w="1170"/>
            <w:vAlign w:val="center"/>
          </w:tcPr>
          <w:p>
            <w:pPr>
              <w:spacing w:after="0"/>
              <w:jc w:val="center"/>
            </w:pPr>
            <w:r/>
            <w:r>
              <w:rPr>
                <w:b w:val="0"/>
                <w:sz w:val="17"/>
                <w:rFonts w:eastAsia="宋体"/>
              </w:rPr>
              <w:t>22</w:t>
            </w:r>
          </w:p>
        </w:tc>
      </w:tr>
      <w:tr>
        <w:tc>
          <w:tcPr>
            <w:tcW w:type="dxa" w:w="1170"/>
            <w:vAlign w:val="center"/>
          </w:tcPr>
          <w:p>
            <w:pPr>
              <w:spacing w:after="0"/>
              <w:jc w:val="left"/>
            </w:pPr>
            <w:r/>
            <w:r>
              <w:rPr>
                <w:b w:val="0"/>
                <w:sz w:val="17"/>
                <w:rFonts w:eastAsia="宋体"/>
              </w:rPr>
              <w:t>MGP_NORD</w:t>
            </w:r>
          </w:p>
        </w:tc>
        <w:tc>
          <w:tcPr>
            <w:tcW w:type="dxa" w:w="1170"/>
            <w:vAlign w:val="center"/>
          </w:tcPr>
          <w:p>
            <w:pPr>
              <w:spacing w:after="0"/>
              <w:jc w:val="left"/>
            </w:pPr>
            <w:r/>
            <w:r>
              <w:rPr>
                <w:b w:val="0"/>
                <w:sz w:val="17"/>
                <w:rFonts w:eastAsia="宋体"/>
              </w:rPr>
              <w:t>QRA</w:t>
            </w:r>
          </w:p>
        </w:tc>
        <w:tc>
          <w:tcPr>
            <w:tcW w:type="dxa" w:w="1170"/>
            <w:vAlign w:val="center"/>
          </w:tcPr>
          <w:p>
            <w:pPr>
              <w:spacing w:after="0"/>
              <w:jc w:val="center"/>
            </w:pPr>
            <w:r/>
            <w:r>
              <w:rPr>
                <w:b w:val="0"/>
                <w:sz w:val="17"/>
                <w:rFonts w:eastAsia="宋体"/>
              </w:rPr>
              <w:t>1.861</w:t>
            </w:r>
          </w:p>
        </w:tc>
        <w:tc>
          <w:tcPr>
            <w:tcW w:type="dxa" w:w="1170"/>
            <w:vAlign w:val="center"/>
          </w:tcPr>
          <w:p>
            <w:pPr>
              <w:spacing w:after="0"/>
              <w:jc w:val="center"/>
            </w:pPr>
            <w:r/>
            <w:r>
              <w:rPr>
                <w:b w:val="0"/>
                <w:sz w:val="17"/>
                <w:rFonts w:eastAsia="宋体"/>
              </w:rPr>
              <w:t>78</w:t>
            </w:r>
          </w:p>
        </w:tc>
        <w:tc>
          <w:tcPr>
            <w:tcW w:type="dxa" w:w="1170"/>
            <w:vAlign w:val="center"/>
          </w:tcPr>
          <w:p>
            <w:pPr>
              <w:spacing w:after="0"/>
              <w:jc w:val="center"/>
            </w:pPr>
            <w:r/>
            <w:r>
              <w:rPr>
                <w:b w:val="0"/>
                <w:sz w:val="17"/>
                <w:rFonts w:eastAsia="宋体"/>
              </w:rPr>
              <w:t>12</w:t>
            </w:r>
          </w:p>
        </w:tc>
        <w:tc>
          <w:tcPr>
            <w:tcW w:type="dxa" w:w="1170"/>
            <w:vAlign w:val="center"/>
          </w:tcPr>
          <w:p>
            <w:pPr>
              <w:spacing w:after="0"/>
              <w:jc w:val="center"/>
            </w:pPr>
            <w:r/>
            <w:r>
              <w:rPr>
                <w:b w:val="0"/>
                <w:sz w:val="17"/>
                <w:rFonts w:eastAsia="宋体"/>
              </w:rPr>
              <w:t>23.07</w:t>
            </w:r>
          </w:p>
        </w:tc>
        <w:tc>
          <w:tcPr>
            <w:tcW w:type="dxa" w:w="1170"/>
            <w:vAlign w:val="center"/>
          </w:tcPr>
          <w:p>
            <w:pPr>
              <w:spacing w:after="0"/>
              <w:jc w:val="center"/>
            </w:pPr>
            <w:r/>
            <w:r>
              <w:rPr>
                <w:b w:val="0"/>
                <w:sz w:val="17"/>
                <w:rFonts w:eastAsia="宋体"/>
              </w:rPr>
              <w:t>57</w:t>
            </w:r>
          </w:p>
        </w:tc>
        <w:tc>
          <w:tcPr>
            <w:tcW w:type="dxa" w:w="1170"/>
            <w:vAlign w:val="center"/>
          </w:tcPr>
          <w:p>
            <w:pPr>
              <w:spacing w:after="0"/>
              <w:jc w:val="center"/>
            </w:pPr>
            <w:r/>
            <w:r>
              <w:rPr>
                <w:b w:val="0"/>
                <w:sz w:val="17"/>
                <w:rFonts w:eastAsia="宋体"/>
              </w:rPr>
              <w:t>12</w:t>
            </w:r>
          </w:p>
        </w:tc>
      </w:tr>
      <w:tr>
        <w:tc>
          <w:tcPr>
            <w:tcW w:type="dxa" w:w="1170"/>
            <w:vAlign w:val="center"/>
          </w:tcPr>
          <w:p>
            <w:pPr>
              <w:spacing w:after="0"/>
              <w:jc w:val="left"/>
            </w:pPr>
            <w:r/>
            <w:r>
              <w:rPr>
                <w:b w:val="0"/>
                <w:sz w:val="17"/>
                <w:rFonts w:eastAsia="宋体"/>
              </w:rPr>
              <w:t>MGP_NORD</w:t>
            </w:r>
          </w:p>
        </w:tc>
        <w:tc>
          <w:tcPr>
            <w:tcW w:type="dxa" w:w="1170"/>
            <w:vAlign w:val="center"/>
          </w:tcPr>
          <w:p>
            <w:pPr>
              <w:spacing w:after="0"/>
              <w:jc w:val="left"/>
            </w:pPr>
            <w:r/>
            <w:r>
              <w:rPr>
                <w:b w:val="0"/>
                <w:sz w:val="17"/>
                <w:rFonts w:eastAsia="宋体"/>
              </w:rPr>
              <w:t>QR</w:t>
            </w:r>
          </w:p>
        </w:tc>
        <w:tc>
          <w:tcPr>
            <w:tcW w:type="dxa" w:w="1170"/>
            <w:vAlign w:val="center"/>
          </w:tcPr>
          <w:p>
            <w:pPr>
              <w:spacing w:after="0"/>
              <w:jc w:val="center"/>
            </w:pPr>
            <w:r/>
            <w:r>
              <w:rPr>
                <w:b w:val="0"/>
                <w:sz w:val="17"/>
                <w:rFonts w:eastAsia="宋体"/>
              </w:rPr>
              <w:t>1.806</w:t>
            </w:r>
          </w:p>
        </w:tc>
        <w:tc>
          <w:tcPr>
            <w:tcW w:type="dxa" w:w="1170"/>
            <w:vAlign w:val="center"/>
          </w:tcPr>
          <w:p>
            <w:pPr>
              <w:spacing w:after="0"/>
              <w:jc w:val="center"/>
            </w:pPr>
            <w:r/>
            <w:r>
              <w:rPr>
                <w:b w:val="0"/>
                <w:sz w:val="17"/>
                <w:rFonts w:eastAsia="宋体"/>
              </w:rPr>
              <w:t>73</w:t>
            </w:r>
          </w:p>
        </w:tc>
        <w:tc>
          <w:tcPr>
            <w:tcW w:type="dxa" w:w="1170"/>
            <w:vAlign w:val="center"/>
          </w:tcPr>
          <w:p>
            <w:pPr>
              <w:spacing w:after="0"/>
              <w:jc w:val="center"/>
            </w:pPr>
            <w:r/>
            <w:r>
              <w:rPr>
                <w:b w:val="0"/>
                <w:sz w:val="17"/>
                <w:rFonts w:eastAsia="宋体"/>
              </w:rPr>
              <w:t>6</w:t>
            </w:r>
          </w:p>
        </w:tc>
        <w:tc>
          <w:tcPr>
            <w:tcW w:type="dxa" w:w="1170"/>
            <w:vAlign w:val="center"/>
          </w:tcPr>
          <w:p>
            <w:pPr>
              <w:spacing w:after="0"/>
              <w:jc w:val="center"/>
            </w:pPr>
            <w:r/>
            <w:r>
              <w:rPr>
                <w:b w:val="0"/>
                <w:sz w:val="17"/>
                <w:rFonts w:eastAsia="宋体"/>
              </w:rPr>
              <w:t>22.07</w:t>
            </w:r>
          </w:p>
        </w:tc>
        <w:tc>
          <w:tcPr>
            <w:tcW w:type="dxa" w:w="1170"/>
            <w:vAlign w:val="center"/>
          </w:tcPr>
          <w:p>
            <w:pPr>
              <w:spacing w:after="0"/>
              <w:jc w:val="center"/>
            </w:pPr>
            <w:r/>
            <w:r>
              <w:rPr>
                <w:b w:val="0"/>
                <w:sz w:val="17"/>
                <w:rFonts w:eastAsia="宋体"/>
              </w:rPr>
              <w:t>53</w:t>
            </w:r>
          </w:p>
        </w:tc>
        <w:tc>
          <w:tcPr>
            <w:tcW w:type="dxa" w:w="1170"/>
            <w:vAlign w:val="center"/>
          </w:tcPr>
          <w:p>
            <w:pPr>
              <w:spacing w:after="0"/>
              <w:jc w:val="center"/>
            </w:pPr>
            <w:r/>
            <w:r>
              <w:rPr>
                <w:b w:val="0"/>
                <w:sz w:val="17"/>
                <w:rFonts w:eastAsia="宋体"/>
              </w:rPr>
              <w:t>6</w:t>
            </w:r>
          </w:p>
        </w:tc>
      </w:tr>
      <w:tr>
        <w:tc>
          <w:tcPr>
            <w:tcW w:type="dxa" w:w="1170"/>
            <w:vAlign w:val="center"/>
          </w:tcPr>
          <w:p>
            <w:pPr>
              <w:spacing w:after="0"/>
              <w:jc w:val="left"/>
            </w:pPr>
            <w:r/>
            <w:r>
              <w:rPr>
                <w:b w:val="0"/>
                <w:sz w:val="17"/>
                <w:rFonts w:eastAsia="宋体"/>
              </w:rPr>
              <w:t>MGP_NORD</w:t>
            </w:r>
          </w:p>
        </w:tc>
        <w:tc>
          <w:tcPr>
            <w:tcW w:type="dxa" w:w="1170"/>
            <w:vAlign w:val="center"/>
          </w:tcPr>
          <w:p>
            <w:pPr>
              <w:spacing w:after="0"/>
              <w:jc w:val="left"/>
            </w:pPr>
            <w:r/>
            <w:r>
              <w:rPr>
                <w:b w:val="0"/>
                <w:sz w:val="17"/>
                <w:rFonts w:eastAsia="宋体"/>
              </w:rPr>
              <w:t>CQR</w:t>
            </w:r>
          </w:p>
        </w:tc>
        <w:tc>
          <w:tcPr>
            <w:tcW w:type="dxa" w:w="1170"/>
            <w:vAlign w:val="center"/>
          </w:tcPr>
          <w:p>
            <w:pPr>
              <w:spacing w:after="0"/>
              <w:jc w:val="center"/>
            </w:pPr>
            <w:r/>
            <w:r>
              <w:rPr>
                <w:b w:val="0"/>
                <w:sz w:val="17"/>
                <w:rFonts w:eastAsia="宋体"/>
              </w:rPr>
              <w:t>1.804</w:t>
            </w:r>
          </w:p>
        </w:tc>
        <w:tc>
          <w:tcPr>
            <w:tcW w:type="dxa" w:w="1170"/>
            <w:vAlign w:val="center"/>
          </w:tcPr>
          <w:p>
            <w:pPr>
              <w:spacing w:after="0"/>
              <w:jc w:val="center"/>
            </w:pPr>
            <w:r/>
            <w:r>
              <w:rPr>
                <w:b w:val="0"/>
                <w:sz w:val="17"/>
                <w:rFonts w:eastAsia="宋体"/>
              </w:rPr>
              <w:t>77</w:t>
            </w:r>
          </w:p>
        </w:tc>
        <w:tc>
          <w:tcPr>
            <w:tcW w:type="dxa" w:w="1170"/>
            <w:vAlign w:val="center"/>
          </w:tcPr>
          <w:p>
            <w:pPr>
              <w:spacing w:after="0"/>
              <w:jc w:val="center"/>
            </w:pPr>
            <w:r/>
            <w:r>
              <w:rPr>
                <w:b w:val="0"/>
                <w:sz w:val="17"/>
                <w:rFonts w:eastAsia="宋体"/>
              </w:rPr>
              <w:t>19</w:t>
            </w:r>
          </w:p>
        </w:tc>
        <w:tc>
          <w:tcPr>
            <w:tcW w:type="dxa" w:w="1170"/>
            <w:vAlign w:val="center"/>
          </w:tcPr>
          <w:p>
            <w:pPr>
              <w:spacing w:after="0"/>
              <w:jc w:val="center"/>
            </w:pPr>
            <w:r/>
            <w:r>
              <w:rPr>
                <w:b w:val="0"/>
                <w:sz w:val="17"/>
                <w:rFonts w:eastAsia="宋体"/>
              </w:rPr>
              <w:t>21.89</w:t>
            </w:r>
          </w:p>
        </w:tc>
        <w:tc>
          <w:tcPr>
            <w:tcW w:type="dxa" w:w="1170"/>
            <w:vAlign w:val="center"/>
          </w:tcPr>
          <w:p>
            <w:pPr>
              <w:spacing w:after="0"/>
              <w:jc w:val="center"/>
            </w:pPr>
            <w:r/>
            <w:r>
              <w:rPr>
                <w:b w:val="0"/>
                <w:sz w:val="17"/>
                <w:rFonts w:eastAsia="宋体"/>
              </w:rPr>
              <w:t>57</w:t>
            </w:r>
          </w:p>
        </w:tc>
        <w:tc>
          <w:tcPr>
            <w:tcW w:type="dxa" w:w="1170"/>
            <w:vAlign w:val="center"/>
          </w:tcPr>
          <w:p>
            <w:pPr>
              <w:spacing w:after="0"/>
              <w:jc w:val="center"/>
            </w:pPr>
            <w:r/>
            <w:r>
              <w:rPr>
                <w:b w:val="0"/>
                <w:sz w:val="17"/>
                <w:rFonts w:eastAsia="宋体"/>
              </w:rPr>
              <w:t>21</w:t>
            </w:r>
          </w:p>
        </w:tc>
      </w:tr>
      <w:tr>
        <w:tc>
          <w:tcPr>
            <w:tcW w:type="dxa" w:w="1170"/>
            <w:vAlign w:val="center"/>
          </w:tcPr>
          <w:p>
            <w:pPr>
              <w:spacing w:after="0"/>
              <w:jc w:val="left"/>
            </w:pPr>
            <w:r/>
            <w:r>
              <w:rPr>
                <w:b w:val="0"/>
                <w:sz w:val="17"/>
                <w:rFonts w:eastAsia="宋体"/>
              </w:rPr>
              <w:t>MGP_NORD</w:t>
            </w:r>
          </w:p>
        </w:tc>
        <w:tc>
          <w:tcPr>
            <w:tcW w:type="dxa" w:w="1170"/>
            <w:vAlign w:val="center"/>
          </w:tcPr>
          <w:p>
            <w:pPr>
              <w:spacing w:after="0"/>
              <w:jc w:val="left"/>
            </w:pPr>
            <w:r/>
            <w:r>
              <w:rPr>
                <w:b w:val="0"/>
                <w:sz w:val="17"/>
                <w:rFonts w:eastAsia="宋体"/>
              </w:rPr>
              <w:t>OCQR</w:t>
            </w:r>
          </w:p>
        </w:tc>
        <w:tc>
          <w:tcPr>
            <w:tcW w:type="dxa" w:w="1170"/>
            <w:vAlign w:val="center"/>
          </w:tcPr>
          <w:p>
            <w:pPr>
              <w:spacing w:after="0"/>
              <w:jc w:val="center"/>
            </w:pPr>
            <w:r/>
            <w:r>
              <w:rPr>
                <w:b w:val="0"/>
                <w:sz w:val="17"/>
                <w:rFonts w:eastAsia="宋体"/>
              </w:rPr>
              <w:t>1.803</w:t>
            </w:r>
          </w:p>
        </w:tc>
        <w:tc>
          <w:tcPr>
            <w:tcW w:type="dxa" w:w="1170"/>
            <w:vAlign w:val="center"/>
          </w:tcPr>
          <w:p>
            <w:pPr>
              <w:spacing w:after="0"/>
              <w:jc w:val="center"/>
            </w:pPr>
            <w:r/>
            <w:r>
              <w:rPr>
                <w:b w:val="0"/>
                <w:sz w:val="17"/>
                <w:rFonts w:eastAsia="宋体"/>
              </w:rPr>
              <w:t>80</w:t>
            </w:r>
          </w:p>
        </w:tc>
        <w:tc>
          <w:tcPr>
            <w:tcW w:type="dxa" w:w="1170"/>
            <w:vAlign w:val="center"/>
          </w:tcPr>
          <w:p>
            <w:pPr>
              <w:spacing w:after="0"/>
              <w:jc w:val="center"/>
            </w:pPr>
            <w:r/>
            <w:r>
              <w:rPr>
                <w:b w:val="0"/>
                <w:sz w:val="17"/>
                <w:rFonts w:eastAsia="宋体"/>
              </w:rPr>
              <w:t>24</w:t>
            </w:r>
          </w:p>
        </w:tc>
        <w:tc>
          <w:tcPr>
            <w:tcW w:type="dxa" w:w="1170"/>
            <w:vAlign w:val="center"/>
          </w:tcPr>
          <w:p>
            <w:pPr>
              <w:spacing w:after="0"/>
              <w:jc w:val="center"/>
            </w:pPr>
            <w:r/>
            <w:r>
              <w:rPr>
                <w:b w:val="0"/>
                <w:sz w:val="17"/>
                <w:rFonts w:eastAsia="宋体"/>
              </w:rPr>
              <w:t>21.79</w:t>
            </w:r>
          </w:p>
        </w:tc>
        <w:tc>
          <w:tcPr>
            <w:tcW w:type="dxa" w:w="1170"/>
            <w:vAlign w:val="center"/>
          </w:tcPr>
          <w:p>
            <w:pPr>
              <w:spacing w:after="0"/>
              <w:jc w:val="center"/>
            </w:pPr>
            <w:r/>
            <w:r>
              <w:rPr>
                <w:b w:val="0"/>
                <w:sz w:val="17"/>
                <w:rFonts w:eastAsia="宋体"/>
              </w:rPr>
              <w:t>60</w:t>
            </w:r>
          </w:p>
        </w:tc>
        <w:tc>
          <w:tcPr>
            <w:tcW w:type="dxa" w:w="1170"/>
            <w:vAlign w:val="center"/>
          </w:tcPr>
          <w:p>
            <w:pPr>
              <w:spacing w:after="0"/>
              <w:jc w:val="center"/>
            </w:pPr>
            <w:r/>
            <w:r>
              <w:rPr>
                <w:b w:val="0"/>
                <w:sz w:val="17"/>
                <w:rFonts w:eastAsia="宋体"/>
              </w:rPr>
              <w:t>24</w:t>
            </w:r>
          </w:p>
        </w:tc>
      </w:tr>
      <w:tr>
        <w:tc>
          <w:tcPr>
            <w:tcW w:type="dxa" w:w="1170"/>
            <w:vAlign w:val="center"/>
          </w:tcPr>
          <w:p>
            <w:pPr>
              <w:spacing w:after="0"/>
              <w:jc w:val="left"/>
            </w:pPr>
            <w:r/>
            <w:r>
              <w:rPr>
                <w:b w:val="0"/>
                <w:sz w:val="17"/>
                <w:rFonts w:eastAsia="宋体"/>
              </w:rPr>
              <w:t>MGP_SARD</w:t>
            </w:r>
          </w:p>
        </w:tc>
        <w:tc>
          <w:tcPr>
            <w:tcW w:type="dxa" w:w="1170"/>
            <w:vAlign w:val="center"/>
          </w:tcPr>
          <w:p>
            <w:pPr>
              <w:spacing w:after="0"/>
              <w:jc w:val="left"/>
            </w:pPr>
            <w:r/>
            <w:r>
              <w:rPr>
                <w:b w:val="0"/>
                <w:sz w:val="17"/>
                <w:rFonts w:eastAsia="宋体"/>
              </w:rPr>
              <w:t>CP</w:t>
            </w:r>
          </w:p>
        </w:tc>
        <w:tc>
          <w:tcPr>
            <w:tcW w:type="dxa" w:w="1170"/>
            <w:vAlign w:val="center"/>
          </w:tcPr>
          <w:p>
            <w:pPr>
              <w:spacing w:after="0"/>
              <w:jc w:val="center"/>
            </w:pPr>
            <w:r/>
            <w:r>
              <w:rPr>
                <w:b w:val="0"/>
                <w:sz w:val="17"/>
                <w:rFonts w:eastAsia="宋体"/>
              </w:rPr>
              <w:t>2.258</w:t>
            </w:r>
          </w:p>
        </w:tc>
        <w:tc>
          <w:tcPr>
            <w:tcW w:type="dxa" w:w="1170"/>
            <w:vAlign w:val="center"/>
          </w:tcPr>
          <w:p>
            <w:pPr>
              <w:spacing w:after="0"/>
              <w:jc w:val="center"/>
            </w:pPr>
            <w:r/>
            <w:r>
              <w:rPr>
                <w:b w:val="0"/>
                <w:sz w:val="17"/>
                <w:rFonts w:eastAsia="宋体"/>
              </w:rPr>
              <w:t>78</w:t>
            </w:r>
          </w:p>
        </w:tc>
        <w:tc>
          <w:tcPr>
            <w:tcW w:type="dxa" w:w="1170"/>
            <w:vAlign w:val="center"/>
          </w:tcPr>
          <w:p>
            <w:pPr>
              <w:spacing w:after="0"/>
              <w:jc w:val="center"/>
            </w:pPr>
            <w:r/>
            <w:r>
              <w:rPr>
                <w:b w:val="0"/>
                <w:sz w:val="17"/>
                <w:rFonts w:eastAsia="宋体"/>
              </w:rPr>
              <w:t>23</w:t>
            </w:r>
          </w:p>
        </w:tc>
        <w:tc>
          <w:tcPr>
            <w:tcW w:type="dxa" w:w="1170"/>
            <w:vAlign w:val="center"/>
          </w:tcPr>
          <w:p>
            <w:pPr>
              <w:spacing w:after="0"/>
              <w:jc w:val="center"/>
            </w:pPr>
            <w:r/>
            <w:r>
              <w:rPr>
                <w:b w:val="0"/>
                <w:sz w:val="17"/>
                <w:rFonts w:eastAsia="宋体"/>
              </w:rPr>
              <w:t>28.14</w:t>
            </w:r>
          </w:p>
        </w:tc>
        <w:tc>
          <w:tcPr>
            <w:tcW w:type="dxa" w:w="1170"/>
            <w:vAlign w:val="center"/>
          </w:tcPr>
          <w:p>
            <w:pPr>
              <w:spacing w:after="0"/>
              <w:jc w:val="center"/>
            </w:pPr>
            <w:r/>
            <w:r>
              <w:rPr>
                <w:b w:val="0"/>
                <w:sz w:val="17"/>
                <w:rFonts w:eastAsia="宋体"/>
              </w:rPr>
              <w:t>58</w:t>
            </w:r>
          </w:p>
        </w:tc>
        <w:tc>
          <w:tcPr>
            <w:tcW w:type="dxa" w:w="1170"/>
            <w:vAlign w:val="center"/>
          </w:tcPr>
          <w:p>
            <w:pPr>
              <w:spacing w:after="0"/>
              <w:jc w:val="center"/>
            </w:pPr>
            <w:r/>
            <w:r>
              <w:rPr>
                <w:b w:val="0"/>
                <w:sz w:val="17"/>
                <w:rFonts w:eastAsia="宋体"/>
              </w:rPr>
              <w:t>23</w:t>
            </w:r>
          </w:p>
        </w:tc>
      </w:tr>
      <w:tr>
        <w:tc>
          <w:tcPr>
            <w:tcW w:type="dxa" w:w="1170"/>
            <w:vAlign w:val="center"/>
          </w:tcPr>
          <w:p>
            <w:pPr>
              <w:spacing w:after="0"/>
              <w:jc w:val="left"/>
            </w:pPr>
            <w:r/>
            <w:r>
              <w:rPr>
                <w:b w:val="0"/>
                <w:sz w:val="17"/>
                <w:rFonts w:eastAsia="宋体"/>
              </w:rPr>
              <w:t>MGP_SARD</w:t>
            </w:r>
          </w:p>
        </w:tc>
        <w:tc>
          <w:tcPr>
            <w:tcW w:type="dxa" w:w="1170"/>
            <w:vAlign w:val="center"/>
          </w:tcPr>
          <w:p>
            <w:pPr>
              <w:spacing w:after="0"/>
              <w:jc w:val="left"/>
            </w:pPr>
            <w:r/>
            <w:r>
              <w:rPr>
                <w:b w:val="0"/>
                <w:sz w:val="17"/>
                <w:rFonts w:eastAsia="宋体"/>
              </w:rPr>
              <w:t>QRA</w:t>
            </w:r>
          </w:p>
        </w:tc>
        <w:tc>
          <w:tcPr>
            <w:tcW w:type="dxa" w:w="1170"/>
            <w:vAlign w:val="center"/>
          </w:tcPr>
          <w:p>
            <w:pPr>
              <w:spacing w:after="0"/>
              <w:jc w:val="center"/>
            </w:pPr>
            <w:r/>
            <w:r>
              <w:rPr>
                <w:b w:val="0"/>
                <w:sz w:val="17"/>
                <w:rFonts w:eastAsia="宋体"/>
              </w:rPr>
              <w:t>2.261</w:t>
            </w:r>
          </w:p>
        </w:tc>
        <w:tc>
          <w:tcPr>
            <w:tcW w:type="dxa" w:w="1170"/>
            <w:vAlign w:val="center"/>
          </w:tcPr>
          <w:p>
            <w:pPr>
              <w:spacing w:after="0"/>
              <w:jc w:val="center"/>
            </w:pPr>
            <w:r/>
            <w:r>
              <w:rPr>
                <w:b w:val="0"/>
                <w:sz w:val="17"/>
                <w:rFonts w:eastAsia="宋体"/>
              </w:rPr>
              <w:t>76</w:t>
            </w:r>
          </w:p>
        </w:tc>
        <w:tc>
          <w:tcPr>
            <w:tcW w:type="dxa" w:w="1170"/>
            <w:vAlign w:val="center"/>
          </w:tcPr>
          <w:p>
            <w:pPr>
              <w:spacing w:after="0"/>
              <w:jc w:val="center"/>
            </w:pPr>
            <w:r/>
            <w:r>
              <w:rPr>
                <w:b w:val="0"/>
                <w:sz w:val="17"/>
                <w:rFonts w:eastAsia="宋体"/>
              </w:rPr>
              <w:t>9</w:t>
            </w:r>
          </w:p>
        </w:tc>
        <w:tc>
          <w:tcPr>
            <w:tcW w:type="dxa" w:w="1170"/>
            <w:vAlign w:val="center"/>
          </w:tcPr>
          <w:p>
            <w:pPr>
              <w:spacing w:after="0"/>
              <w:jc w:val="center"/>
            </w:pPr>
            <w:r/>
            <w:r>
              <w:rPr>
                <w:b w:val="0"/>
                <w:sz w:val="17"/>
                <w:rFonts w:eastAsia="宋体"/>
              </w:rPr>
              <w:t>28.53</w:t>
            </w:r>
          </w:p>
        </w:tc>
        <w:tc>
          <w:tcPr>
            <w:tcW w:type="dxa" w:w="1170"/>
            <w:vAlign w:val="center"/>
          </w:tcPr>
          <w:p>
            <w:pPr>
              <w:spacing w:after="0"/>
              <w:jc w:val="center"/>
            </w:pPr>
            <w:r/>
            <w:r>
              <w:rPr>
                <w:b w:val="0"/>
                <w:sz w:val="17"/>
                <w:rFonts w:eastAsia="宋体"/>
              </w:rPr>
              <w:t>55</w:t>
            </w:r>
          </w:p>
        </w:tc>
        <w:tc>
          <w:tcPr>
            <w:tcW w:type="dxa" w:w="1170"/>
            <w:vAlign w:val="center"/>
          </w:tcPr>
          <w:p>
            <w:pPr>
              <w:spacing w:after="0"/>
              <w:jc w:val="center"/>
            </w:pPr>
            <w:r/>
            <w:r>
              <w:rPr>
                <w:b w:val="0"/>
                <w:sz w:val="17"/>
                <w:rFonts w:eastAsia="宋体"/>
              </w:rPr>
              <w:t>10</w:t>
            </w:r>
          </w:p>
        </w:tc>
      </w:tr>
      <w:tr>
        <w:tc>
          <w:tcPr>
            <w:tcW w:type="dxa" w:w="1170"/>
            <w:vAlign w:val="center"/>
          </w:tcPr>
          <w:p>
            <w:pPr>
              <w:spacing w:after="0"/>
              <w:jc w:val="left"/>
            </w:pPr>
            <w:r/>
            <w:r>
              <w:rPr>
                <w:b w:val="0"/>
                <w:sz w:val="17"/>
                <w:rFonts w:eastAsia="宋体"/>
              </w:rPr>
              <w:t>MGP_SARD</w:t>
            </w:r>
          </w:p>
        </w:tc>
        <w:tc>
          <w:tcPr>
            <w:tcW w:type="dxa" w:w="1170"/>
            <w:vAlign w:val="center"/>
          </w:tcPr>
          <w:p>
            <w:pPr>
              <w:spacing w:after="0"/>
              <w:jc w:val="left"/>
            </w:pPr>
            <w:r/>
            <w:r>
              <w:rPr>
                <w:b w:val="0"/>
                <w:sz w:val="17"/>
                <w:rFonts w:eastAsia="宋体"/>
              </w:rPr>
              <w:t>QR</w:t>
            </w:r>
          </w:p>
        </w:tc>
        <w:tc>
          <w:tcPr>
            <w:tcW w:type="dxa" w:w="1170"/>
            <w:vAlign w:val="center"/>
          </w:tcPr>
          <w:p>
            <w:pPr>
              <w:spacing w:after="0"/>
              <w:jc w:val="center"/>
            </w:pPr>
            <w:r/>
            <w:r>
              <w:rPr>
                <w:b w:val="0"/>
                <w:sz w:val="17"/>
                <w:rFonts w:eastAsia="宋体"/>
              </w:rPr>
              <w:t>2.275</w:t>
            </w:r>
          </w:p>
        </w:tc>
        <w:tc>
          <w:tcPr>
            <w:tcW w:type="dxa" w:w="1170"/>
            <w:vAlign w:val="center"/>
          </w:tcPr>
          <w:p>
            <w:pPr>
              <w:spacing w:after="0"/>
              <w:jc w:val="center"/>
            </w:pPr>
            <w:r/>
            <w:r>
              <w:rPr>
                <w:b w:val="0"/>
                <w:sz w:val="17"/>
                <w:rFonts w:eastAsia="宋体"/>
              </w:rPr>
              <w:t>71</w:t>
            </w:r>
          </w:p>
        </w:tc>
        <w:tc>
          <w:tcPr>
            <w:tcW w:type="dxa" w:w="1170"/>
            <w:vAlign w:val="center"/>
          </w:tcPr>
          <w:p>
            <w:pPr>
              <w:spacing w:after="0"/>
              <w:jc w:val="center"/>
            </w:pPr>
            <w:r/>
            <w:r>
              <w:rPr>
                <w:b w:val="0"/>
                <w:sz w:val="17"/>
                <w:rFonts w:eastAsia="宋体"/>
              </w:rPr>
              <w:t>3</w:t>
            </w:r>
          </w:p>
        </w:tc>
        <w:tc>
          <w:tcPr>
            <w:tcW w:type="dxa" w:w="1170"/>
            <w:vAlign w:val="center"/>
          </w:tcPr>
          <w:p>
            <w:pPr>
              <w:spacing w:after="0"/>
              <w:jc w:val="center"/>
            </w:pPr>
            <w:r/>
            <w:r>
              <w:rPr>
                <w:b w:val="0"/>
                <w:sz w:val="17"/>
                <w:rFonts w:eastAsia="宋体"/>
              </w:rPr>
              <w:t>28.58</w:t>
            </w:r>
          </w:p>
        </w:tc>
        <w:tc>
          <w:tcPr>
            <w:tcW w:type="dxa" w:w="1170"/>
            <w:vAlign w:val="center"/>
          </w:tcPr>
          <w:p>
            <w:pPr>
              <w:spacing w:after="0"/>
              <w:jc w:val="center"/>
            </w:pPr>
            <w:r/>
            <w:r>
              <w:rPr>
                <w:b w:val="0"/>
                <w:sz w:val="17"/>
                <w:rFonts w:eastAsia="宋体"/>
              </w:rPr>
              <w:t>51</w:t>
            </w:r>
          </w:p>
        </w:tc>
        <w:tc>
          <w:tcPr>
            <w:tcW w:type="dxa" w:w="1170"/>
            <w:vAlign w:val="center"/>
          </w:tcPr>
          <w:p>
            <w:pPr>
              <w:spacing w:after="0"/>
              <w:jc w:val="center"/>
            </w:pPr>
            <w:r/>
            <w:r>
              <w:rPr>
                <w:b w:val="0"/>
                <w:sz w:val="17"/>
                <w:rFonts w:eastAsia="宋体"/>
              </w:rPr>
              <w:t>6</w:t>
            </w:r>
          </w:p>
        </w:tc>
      </w:tr>
      <w:tr>
        <w:tc>
          <w:tcPr>
            <w:tcW w:type="dxa" w:w="1170"/>
            <w:vAlign w:val="center"/>
          </w:tcPr>
          <w:p>
            <w:pPr>
              <w:spacing w:after="0"/>
              <w:jc w:val="left"/>
            </w:pPr>
            <w:r/>
            <w:r>
              <w:rPr>
                <w:b w:val="0"/>
                <w:sz w:val="17"/>
                <w:rFonts w:eastAsia="宋体"/>
              </w:rPr>
              <w:t>MGP_SARD</w:t>
            </w:r>
          </w:p>
        </w:tc>
        <w:tc>
          <w:tcPr>
            <w:tcW w:type="dxa" w:w="1170"/>
            <w:vAlign w:val="center"/>
          </w:tcPr>
          <w:p>
            <w:pPr>
              <w:spacing w:after="0"/>
              <w:jc w:val="left"/>
            </w:pPr>
            <w:r/>
            <w:r>
              <w:rPr>
                <w:b w:val="0"/>
                <w:sz w:val="17"/>
                <w:rFonts w:eastAsia="宋体"/>
              </w:rPr>
              <w:t>CQR</w:t>
            </w:r>
          </w:p>
        </w:tc>
        <w:tc>
          <w:tcPr>
            <w:tcW w:type="dxa" w:w="1170"/>
            <w:vAlign w:val="center"/>
          </w:tcPr>
          <w:p>
            <w:pPr>
              <w:spacing w:after="0"/>
              <w:jc w:val="center"/>
            </w:pPr>
            <w:r/>
            <w:r>
              <w:rPr>
                <w:b w:val="0"/>
                <w:sz w:val="17"/>
                <w:rFonts w:eastAsia="宋体"/>
              </w:rPr>
              <w:t>2.255</w:t>
            </w:r>
          </w:p>
        </w:tc>
        <w:tc>
          <w:tcPr>
            <w:tcW w:type="dxa" w:w="1170"/>
            <w:vAlign w:val="center"/>
          </w:tcPr>
          <w:p>
            <w:pPr>
              <w:spacing w:after="0"/>
              <w:jc w:val="center"/>
            </w:pPr>
            <w:r/>
            <w:r>
              <w:rPr>
                <w:b w:val="0"/>
                <w:sz w:val="17"/>
                <w:rFonts w:eastAsia="宋体"/>
              </w:rPr>
              <w:t>75</w:t>
            </w:r>
          </w:p>
        </w:tc>
        <w:tc>
          <w:tcPr>
            <w:tcW w:type="dxa" w:w="1170"/>
            <w:vAlign w:val="center"/>
          </w:tcPr>
          <w:p>
            <w:pPr>
              <w:spacing w:after="0"/>
              <w:jc w:val="center"/>
            </w:pPr>
            <w:r/>
            <w:r>
              <w:rPr>
                <w:b w:val="0"/>
                <w:sz w:val="17"/>
                <w:rFonts w:eastAsia="宋体"/>
              </w:rPr>
              <w:t>5</w:t>
            </w:r>
          </w:p>
        </w:tc>
        <w:tc>
          <w:tcPr>
            <w:tcW w:type="dxa" w:w="1170"/>
            <w:vAlign w:val="center"/>
          </w:tcPr>
          <w:p>
            <w:pPr>
              <w:spacing w:after="0"/>
              <w:jc w:val="center"/>
            </w:pPr>
            <w:r/>
            <w:r>
              <w:rPr>
                <w:b w:val="0"/>
                <w:sz w:val="17"/>
                <w:rFonts w:eastAsia="宋体"/>
              </w:rPr>
              <w:t>27.89</w:t>
            </w:r>
          </w:p>
        </w:tc>
        <w:tc>
          <w:tcPr>
            <w:tcW w:type="dxa" w:w="1170"/>
            <w:vAlign w:val="center"/>
          </w:tcPr>
          <w:p>
            <w:pPr>
              <w:spacing w:after="0"/>
              <w:jc w:val="center"/>
            </w:pPr>
            <w:r/>
            <w:r>
              <w:rPr>
                <w:b w:val="0"/>
                <w:sz w:val="17"/>
                <w:rFonts w:eastAsia="宋体"/>
              </w:rPr>
              <w:t>55</w:t>
            </w:r>
          </w:p>
        </w:tc>
        <w:tc>
          <w:tcPr>
            <w:tcW w:type="dxa" w:w="1170"/>
            <w:vAlign w:val="center"/>
          </w:tcPr>
          <w:p>
            <w:pPr>
              <w:spacing w:after="0"/>
              <w:jc w:val="center"/>
            </w:pPr>
            <w:r/>
            <w:r>
              <w:rPr>
                <w:b w:val="0"/>
                <w:sz w:val="17"/>
                <w:rFonts w:eastAsia="宋体"/>
              </w:rPr>
              <w:t>9</w:t>
            </w:r>
          </w:p>
        </w:tc>
      </w:tr>
      <w:tr>
        <w:tc>
          <w:tcPr>
            <w:tcW w:type="dxa" w:w="1170"/>
            <w:vAlign w:val="center"/>
          </w:tcPr>
          <w:p>
            <w:pPr>
              <w:spacing w:after="0"/>
              <w:jc w:val="left"/>
            </w:pPr>
            <w:r/>
            <w:r>
              <w:rPr>
                <w:b w:val="0"/>
                <w:sz w:val="17"/>
                <w:rFonts w:eastAsia="宋体"/>
              </w:rPr>
              <w:t>MGP_SARD</w:t>
            </w:r>
          </w:p>
        </w:tc>
        <w:tc>
          <w:tcPr>
            <w:tcW w:type="dxa" w:w="1170"/>
            <w:vAlign w:val="center"/>
          </w:tcPr>
          <w:p>
            <w:pPr>
              <w:spacing w:after="0"/>
              <w:jc w:val="left"/>
            </w:pPr>
            <w:r/>
            <w:r>
              <w:rPr>
                <w:b w:val="0"/>
                <w:sz w:val="17"/>
                <w:rFonts w:eastAsia="宋体"/>
              </w:rPr>
              <w:t>OCQR</w:t>
            </w:r>
          </w:p>
        </w:tc>
        <w:tc>
          <w:tcPr>
            <w:tcW w:type="dxa" w:w="1170"/>
            <w:vAlign w:val="center"/>
          </w:tcPr>
          <w:p>
            <w:pPr>
              <w:spacing w:after="0"/>
              <w:jc w:val="center"/>
            </w:pPr>
            <w:r/>
            <w:r>
              <w:rPr>
                <w:b w:val="0"/>
                <w:sz w:val="17"/>
                <w:rFonts w:eastAsia="宋体"/>
              </w:rPr>
              <w:t>2.251</w:t>
            </w:r>
          </w:p>
        </w:tc>
        <w:tc>
          <w:tcPr>
            <w:tcW w:type="dxa" w:w="1170"/>
            <w:vAlign w:val="center"/>
          </w:tcPr>
          <w:p>
            <w:pPr>
              <w:spacing w:after="0"/>
              <w:jc w:val="center"/>
            </w:pPr>
            <w:r/>
            <w:r>
              <w:rPr>
                <w:b w:val="0"/>
                <w:sz w:val="17"/>
                <w:rFonts w:eastAsia="宋体"/>
              </w:rPr>
              <w:t>78</w:t>
            </w:r>
          </w:p>
        </w:tc>
        <w:tc>
          <w:tcPr>
            <w:tcW w:type="dxa" w:w="1170"/>
            <w:vAlign w:val="center"/>
          </w:tcPr>
          <w:p>
            <w:pPr>
              <w:spacing w:after="0"/>
              <w:jc w:val="center"/>
            </w:pPr>
            <w:r/>
            <w:r>
              <w:rPr>
                <w:b w:val="0"/>
                <w:sz w:val="17"/>
                <w:rFonts w:eastAsia="宋体"/>
              </w:rPr>
              <w:t>21</w:t>
            </w:r>
          </w:p>
        </w:tc>
        <w:tc>
          <w:tcPr>
            <w:tcW w:type="dxa" w:w="1170"/>
            <w:vAlign w:val="center"/>
          </w:tcPr>
          <w:p>
            <w:pPr>
              <w:spacing w:after="0"/>
              <w:jc w:val="center"/>
            </w:pPr>
            <w:r/>
            <w:r>
              <w:rPr>
                <w:b w:val="0"/>
                <w:sz w:val="17"/>
                <w:rFonts w:eastAsia="宋体"/>
              </w:rPr>
              <w:t>27.66</w:t>
            </w:r>
          </w:p>
        </w:tc>
        <w:tc>
          <w:tcPr>
            <w:tcW w:type="dxa" w:w="1170"/>
            <w:vAlign w:val="center"/>
          </w:tcPr>
          <w:p>
            <w:pPr>
              <w:spacing w:after="0"/>
              <w:jc w:val="center"/>
            </w:pPr>
            <w:r/>
            <w:r>
              <w:rPr>
                <w:b w:val="0"/>
                <w:sz w:val="17"/>
                <w:rFonts w:eastAsia="宋体"/>
              </w:rPr>
              <w:t>58</w:t>
            </w:r>
          </w:p>
        </w:tc>
        <w:tc>
          <w:tcPr>
            <w:tcW w:type="dxa" w:w="1170"/>
            <w:vAlign w:val="center"/>
          </w:tcPr>
          <w:p>
            <w:pPr>
              <w:spacing w:after="0"/>
              <w:jc w:val="center"/>
            </w:pPr>
            <w:r/>
            <w:r>
              <w:rPr>
                <w:b w:val="0"/>
                <w:sz w:val="17"/>
                <w:rFonts w:eastAsia="宋体"/>
              </w:rPr>
              <w:t>24</w:t>
            </w:r>
          </w:p>
        </w:tc>
      </w:tr>
    </w:tbl>
    <w:p>
      <w:pPr>
        <w:pStyle w:val="Heading2"/>
      </w:pPr>
      <w:r>
        <w:t>4.3 分小时覆盖率分析</w:t>
      </w:r>
    </w:p>
    <w:p>
      <w:r>
        <w:rPr>
          <w:rFonts w:eastAsia="宋体"/>
        </w:rPr>
        <w:t>分小时 PICP 能够揭示模型是否只在总体平均上接近名义覆盖率，还是在 24 个小时上都具有稳定覆盖。图 3 和图 4 展示了德国市场和 MGP_NORD 市场在 alpha=0.2 下的分小时覆盖曲线。相比未校准 QR 和静态后处理方法，OCQR 的覆盖率更接近名义水平，说明在线校准对多步预测中的小时差异具有修正作用。</w:t>
      </w:r>
    </w:p>
    <w:p>
      <w:pPr>
        <w:spacing w:before="80" w:after="80"/>
        <w:jc w:val="center"/>
      </w:pPr>
      <w:r>
        <w:rPr>
          <w:b/>
          <w:sz w:val="20"/>
          <w:rFonts w:eastAsia="宋体"/>
        </w:rPr>
        <w:t>图 3 DE_price 市场 alpha=0.2 下分小时 PICP</w:t>
      </w:r>
    </w:p>
    <w:p>
      <w:pPr>
        <w:jc w:val="center"/>
      </w:pPr>
      <w:r>
        <w:drawing>
          <wp:inline xmlns:a="http://schemas.openxmlformats.org/drawingml/2006/main" xmlns:pic="http://schemas.openxmlformats.org/drawingml/2006/picture">
            <wp:extent cx="5577840" cy="3043099"/>
            <wp:docPr id="3" name="Picture 3"/>
            <wp:cNvGraphicFramePr>
              <a:graphicFrameLocks noChangeAspect="1"/>
            </wp:cNvGraphicFramePr>
            <a:graphic>
              <a:graphicData uri="http://schemas.openxmlformats.org/drawingml/2006/picture">
                <pic:pic>
                  <pic:nvPicPr>
                    <pic:cNvPr id="0" name="hourly_picp_DE_price_alpha_0p2.png"/>
                    <pic:cNvPicPr/>
                  </pic:nvPicPr>
                  <pic:blipFill>
                    <a:blip r:embed="rId11"/>
                    <a:stretch>
                      <a:fillRect/>
                    </a:stretch>
                  </pic:blipFill>
                  <pic:spPr>
                    <a:xfrm>
                      <a:off x="0" y="0"/>
                      <a:ext cx="5577840" cy="3043099"/>
                    </a:xfrm>
                    <a:prstGeom prst="rect"/>
                  </pic:spPr>
                </pic:pic>
              </a:graphicData>
            </a:graphic>
          </wp:inline>
        </w:drawing>
      </w:r>
    </w:p>
    <w:p>
      <w:pPr>
        <w:spacing w:before="80" w:after="80"/>
        <w:jc w:val="center"/>
      </w:pPr>
      <w:r>
        <w:rPr>
          <w:b/>
          <w:sz w:val="20"/>
          <w:rFonts w:eastAsia="宋体"/>
        </w:rPr>
        <w:t>图 4 MGP_NORD 市场 alpha=0.2 下分小时 PICP</w:t>
      </w:r>
    </w:p>
    <w:p>
      <w:pPr>
        <w:jc w:val="center"/>
      </w:pPr>
      <w:r>
        <w:drawing>
          <wp:inline xmlns:a="http://schemas.openxmlformats.org/drawingml/2006/main" xmlns:pic="http://schemas.openxmlformats.org/drawingml/2006/picture">
            <wp:extent cx="5577840" cy="3043099"/>
            <wp:docPr id="4" name="Picture 4"/>
            <wp:cNvGraphicFramePr>
              <a:graphicFrameLocks noChangeAspect="1"/>
            </wp:cNvGraphicFramePr>
            <a:graphic>
              <a:graphicData uri="http://schemas.openxmlformats.org/drawingml/2006/picture">
                <pic:pic>
                  <pic:nvPicPr>
                    <pic:cNvPr id="0" name="hourly_picp_MGP_NORD_alpha_0p2.png"/>
                    <pic:cNvPicPr/>
                  </pic:nvPicPr>
                  <pic:blipFill>
                    <a:blip r:embed="rId12"/>
                    <a:stretch>
                      <a:fillRect/>
                    </a:stretch>
                  </pic:blipFill>
                  <pic:spPr>
                    <a:xfrm>
                      <a:off x="0" y="0"/>
                      <a:ext cx="5577840" cy="3043099"/>
                    </a:xfrm>
                    <a:prstGeom prst="rect"/>
                  </pic:spPr>
                </pic:pic>
              </a:graphicData>
            </a:graphic>
          </wp:inline>
        </w:drawing>
      </w:r>
    </w:p>
    <w:p>
      <w:pPr>
        <w:pStyle w:val="Heading2"/>
      </w:pPr>
      <w:r>
        <w:t>4.4 DM 检验结果文件</w:t>
      </w:r>
    </w:p>
    <w:p>
      <w:r>
        <w:rPr>
          <w:rFonts w:eastAsia="宋体"/>
        </w:rPr>
        <w:t>本文已将 Pinball、MAE 和不同 alpha 下 Winkler Score 的多变量 DM 检验 p-value 矩阵导出至 paper_outputs/results_tables/dm_tests/。DM 矩阵中的行列均为模型名称，p-value 越小，越支持列模型相对于行模型具有更优预测表现。由于当前修订目标是重构论文主线，本文正文暂不展开逐市场 DM 热力图分析，后续可根据最终图表版式选择典型市场补充。</w:t>
      </w:r>
    </w:p>
    <w:p>
      <w:pPr>
        <w:pStyle w:val="Heading1"/>
      </w:pPr>
      <w:r>
        <w:t>5 后续拟实现方法</w:t>
      </w:r>
    </w:p>
    <w:p>
      <w:pPr>
        <w:pStyle w:val="Heading2"/>
      </w:pPr>
      <w:r>
        <w:t>5.1 小时条件化在线共形校准方法（H-OCQ）</w:t>
      </w:r>
    </w:p>
    <w:p>
      <w:pPr>
        <w:pStyle w:val="Heading2"/>
      </w:pPr>
      <w:r>
        <w:t>5.2 小时条件化波动感知在线共形校准方法（HV-OCQ）</w:t>
      </w:r>
    </w:p>
    <w:p>
      <w:pPr>
        <w:pStyle w:val="Heading2"/>
      </w:pPr>
      <w:r>
        <w:t>5.3 消融实验：OCQ、H-OCQ 与 HV-OCQ 对比</w:t>
      </w:r>
    </w:p>
    <w:p>
      <w:pPr>
        <w:pStyle w:val="Heading2"/>
      </w:pPr>
      <w:r>
        <w:t>5.4 新方法实验结果</w:t>
      </w:r>
    </w:p>
    <w:p>
      <w:pPr>
        <w:pStyle w:val="Heading1"/>
      </w:pPr>
      <w:r>
        <w:t>6 结论与下一步工作</w:t>
      </w:r>
    </w:p>
    <w:p>
      <w:r>
        <w:rPr>
          <w:rFonts w:eastAsia="宋体"/>
        </w:rPr>
        <w:t>本文已将原有 Transformer 点预测方向的草稿修订为日前电价概率预测与在线共形校准方向。基于当前仓库中的复现实验结果，本文能够较为稳妥地得出以下阶段性结论：在线共形校准方法在多个市场上显著提升预测区间的分小时覆盖稳定性，尤其在 Kupiec 通过小时数上相对原始概率预测模型提升明显；相比之下，MAE 的变化较小，说明共形校准的主要价值在于不确定性校准而非点预测精度提升。</w:t>
      </w:r>
    </w:p>
    <w:p>
      <w:r>
        <w:rPr>
          <w:rFonts w:eastAsia="宋体"/>
        </w:rPr>
        <w:t>后续工作应优先实现 H-OCQ 和 HV-OCQ 两个扩展方法，并使用与复现实验完全一致的数据划分、评价指标和导出流程重新生成结果表。只有当新方法结果完成后，才能在第 5 章补充方法细节、消融实验和最终结论。</w:t>
      </w:r>
    </w:p>
    <w:p>
      <w:pPr>
        <w:pStyle w:val="Heading1"/>
      </w:pPr>
      <w:r>
        <w:t>参考文献</w:t>
      </w:r>
    </w:p>
    <w:p>
      <w:pPr>
        <w:ind w:hanging="360" w:left="360"/>
      </w:pPr>
      <w:r>
        <w:rPr>
          <w:rFonts w:eastAsia="宋体"/>
        </w:rPr>
        <w:t>[1] Brusaferri A, Ballarino A, Grossi L, Laurini F. On-line conformalized neural networks ensembles for probabilistic forecasting of day-ahead electricity prices[J]. Applied Energy, 2025, 398: 126412. DOI: 10.1016/j.apenergy.2025.126412.</w:t>
      </w:r>
    </w:p>
    <w:p>
      <w:pPr>
        <w:ind w:hanging="360" w:left="360"/>
      </w:pPr>
      <w:r>
        <w:rPr>
          <w:rFonts w:eastAsia="宋体"/>
        </w:rPr>
        <w:t>[2] Weron R. Electricity price forecasting: A review of the state-of-the-art with a look into the future[J]. International Journal of Forecasting, 2014, 30(4): 1030-1081.</w:t>
      </w:r>
    </w:p>
    <w:p>
      <w:pPr>
        <w:ind w:hanging="360" w:left="360"/>
      </w:pPr>
      <w:r>
        <w:rPr>
          <w:rFonts w:eastAsia="宋体"/>
        </w:rPr>
        <w:t>[3] Lago J, Marcjasz G, De Schutter B, Weron R. Forecasting day-ahead electricity prices: A review of state-of-the-art algorithms, best practices and an open-access benchmark[J]. Applied Energy, 2021, 293: 116983.</w:t>
      </w:r>
    </w:p>
    <w:p>
      <w:pPr>
        <w:ind w:hanging="360" w:left="360"/>
      </w:pPr>
      <w:r>
        <w:rPr>
          <w:rFonts w:eastAsia="宋体"/>
        </w:rPr>
        <w:t>[4] Lipiecki A, Uniejewski B, Weron R. Postprocessing of point predictions for probabilistic forecasting of day-ahead electricity prices: The benefits of using isotonic distributional regression[J]. Energy Economics, 2024, 139: 107934.</w:t>
      </w:r>
    </w:p>
    <w:p>
      <w:pPr>
        <w:ind w:hanging="360" w:left="360"/>
      </w:pPr>
      <w:r>
        <w:rPr>
          <w:rFonts w:eastAsia="宋体"/>
        </w:rPr>
        <w:t>[5] O'Connor C, Bahloul M, Rossi R, Prestwich S, Visentin A. Conformal Prediction for electricity price forecasting in the day-ahead and real-time balancing market[J]. Energy and AI, 2025, 21: 100571.</w:t>
      </w:r>
    </w:p>
    <w:p>
      <w:pPr>
        <w:ind w:hanging="360" w:left="360"/>
      </w:pPr>
      <w:r>
        <w:rPr>
          <w:rFonts w:eastAsia="宋体"/>
        </w:rPr>
        <w:t>[6] Wang X, Hyndman R J. Online conformal inference for multi-step time series forecasting[EB/OL]. arXiv:2410.13115, 2024.</w:t>
      </w:r>
    </w:p>
    <w:p>
      <w:pPr>
        <w:ind w:hanging="360" w:left="360"/>
      </w:pPr>
      <w:r>
        <w:rPr>
          <w:rFonts w:eastAsia="宋体"/>
        </w:rPr>
        <w:t>[7] Angelopoulos A N, Candes E J, Tibshirani R J. Conformal PID Control for Time Series Prediction[EB/OL]. arXiv:2307.16895, 2023.</w:t>
      </w:r>
    </w:p>
    <w:sectPr w:rsidR="00FC693F" w:rsidRPr="0006063C" w:rsidSect="00034616">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Fonts w:eastAsia="宋体"/>
      </w:rPr>
      <w:t>修订稿｜复现实验结果版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