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B2545"/>
          <w:sz w:val="40"/>
          <w:rFonts w:eastAsia="黑体"/>
        </w:rPr>
        <w:t>基于复现诊断的日前电价概率预测在线共形校准改进研究</w:t>
      </w:r>
    </w:p>
    <w:p>
      <w:pPr>
        <w:spacing w:after="320"/>
        <w:jc w:val="center"/>
      </w:pPr>
      <w:r>
        <w:rPr>
          <w:color w:val="555555"/>
          <w:sz w:val="22"/>
          <w:rFonts w:eastAsia="宋体"/>
        </w:rPr>
        <w:t>已有强基线 → 缺陷诊断 → 针对性改进 → 同框架验证</w:t>
      </w:r>
    </w:p>
    <w:p>
      <w:pPr>
        <w:pStyle w:val="Heading1"/>
      </w:pPr>
      <w:r>
        <w:t>摘  要</w:t>
      </w:r>
    </w:p>
    <w:p>
      <w:r>
        <w:rPr>
          <w:rFonts w:eastAsia="宋体"/>
        </w:rPr>
        <w:t>日前电价概率预测需要同时关注预测分布精度、区间覆盖可靠性和区间效率。已有在线共形化神经网络集成方法为该问题提供了强基线，能够在多个电力市场上改善预测区间校准效果。然而，日前电价具有显著的小时异质性和波动状态差异，仅观察整体平均指标不足以判断模型在具体时段和高波动场景下是否稳定可靠。</w:t>
      </w:r>
    </w:p>
    <w:p>
      <w:r>
        <w:rPr>
          <w:rFonts w:eastAsia="宋体"/>
        </w:rPr>
        <w:t>本文采用“基准论文复现/继承 + 针对性缺陷诊断 + 新校准方法改进”的行文框架。首先，在原论文同一实验框架下复现并整理 N-DNN、JSU-DNN、STU-DNN、QR-DNN、QRA、CP、CQ 与 OCQ 等方法的结果；其次，通过分小时 PICP、Kupiec 检验和 Winkler Score 诊断已有方法仍可能存在的小时覆盖不均衡和区间效率问题；最后，拟提出小时条件化与波动感知的在线共形校准方法，在不更换基础预测模型的前提下改进共形后处理层。</w:t>
      </w:r>
    </w:p>
    <w:p>
      <w:r>
        <w:rPr>
          <w:rFonts w:eastAsia="宋体"/>
        </w:rPr>
        <w:t>当前阶段已经完成基准论文复现结果整理和初步分小时诊断。结果显示，OCQ 相比原始概率预测模型显著提升了 Kupiec 通过小时数，例如 alpha=0.2 下由 9.64/24 提升至 22.29/24，说明强基线本身有效。尚未实现的新方法、波动状态诊断和消融实验在本文中仅保留章节标题，不写入未完成结论。</w:t>
      </w:r>
    </w:p>
    <w:p>
      <w:r>
        <w:rPr>
          <w:rFonts w:eastAsia="宋体"/>
        </w:rPr>
        <w:t>关键词：日前电价预测；概率预测；在线共形校准；复现诊断；小时条件化；波动感知</w:t>
      </w:r>
    </w:p>
    <w:p>
      <w:pPr>
        <w:pStyle w:val="Heading1"/>
      </w:pPr>
      <w:r>
        <w:t>1 引言</w:t>
      </w:r>
    </w:p>
    <w:p>
      <w:r>
        <w:rPr>
          <w:rFonts w:eastAsia="宋体"/>
        </w:rPr>
        <w:t>电力市场中的日前电价直接影响发电报价、售电购电、需求响应和储能套利等决策。与普通时间序列相比，日前电价具有更强的日内周期、尖峰跳变、非平稳性和高波动聚集特征。市场主体不仅需要未来价格的点估计，更需要能够反映不确定性的预测区间或预测分布。</w:t>
      </w:r>
    </w:p>
    <w:p>
      <w:r>
        <w:rPr>
          <w:rFonts w:eastAsia="宋体"/>
        </w:rPr>
        <w:t>概率预测模型能够输出分位数、参数分布或预测区间，但模型原始输出并不天然满足可靠覆盖。共形预测提供了一类模型无关的校准框架，在线共形校准进一步允许预测区间随着新观测动态调整，因此适合处理日前电价这类存在市场状态漂移的多步预测任务。</w:t>
      </w:r>
    </w:p>
    <w:p>
      <w:r>
        <w:rPr>
          <w:rFonts w:eastAsia="宋体"/>
        </w:rPr>
        <w:t>本文不把研究起点设定为从零提出一个新模型，而是继承已有强基线：Brusaferri 等人提出的在线共形化神经网络集成方法。该方法已经证明在线共形后处理能够改善日前电价概率预测区间。本文首先复现和整理这一强基线，然后通过更细粒度的诊断发现其未充分解决的问题，最后围绕这些问题设计针对性改进。</w:t>
      </w:r>
    </w:p>
    <w:p>
      <w:r>
        <w:rPr>
          <w:rFonts w:eastAsia="宋体"/>
        </w:rPr>
        <w:t>因此，本文的研究逻辑是：已有强基线能够提供可靠起点；复现实验用于确认强基线确实有效；分小时和波动状态诊断用于发现仍未解决的局部校准问题；新方法则只针对这些诊断暴露的问题改进共形校准层，而不是重新设计基础神经网络预测器。</w:t>
      </w:r>
    </w:p>
    <w:p>
      <w:pPr>
        <w:pStyle w:val="Heading1"/>
      </w:pPr>
      <w:r>
        <w:t>2 相关工作</w:t>
      </w:r>
    </w:p>
    <w:p>
      <w:pPr>
        <w:pStyle w:val="Heading2"/>
      </w:pPr>
      <w:r>
        <w:t>2.1 日前电价概率预测</w:t>
      </w:r>
    </w:p>
    <w:p>
      <w:r>
        <w:rPr>
          <w:rFonts w:eastAsia="宋体"/>
        </w:rPr>
        <w:t>日前电价预测研究从统计模型、机器学习模型逐渐发展到深度学习概率预测模型。相比点预测，概率预测更关注分位数、预测区间和风险信息。由于电价尖峰和非平稳性明显，Pinball Loss、Winkler Score、PICP 和覆盖检验等指标比单一 MAE 更适合描述不确定性预测质量。</w:t>
      </w:r>
    </w:p>
    <w:p>
      <w:pPr>
        <w:pStyle w:val="Heading2"/>
      </w:pPr>
      <w:r>
        <w:t>2.2 神经网络概率预测与后处理</w:t>
      </w:r>
    </w:p>
    <w:p>
      <w:r>
        <w:rPr>
          <w:rFonts w:eastAsia="宋体"/>
        </w:rPr>
        <w:t>神经网络概率预测可以通过参数分布、分位数回归或模型集成生成预测分布。本文继承的实验框架包含 Normal、Johnson SU、Student-t 和 Quantile Regression 等基础预测器，也包含 QRA、CP、CQ 和 OCQ 等后处理或校准方法。</w:t>
      </w:r>
    </w:p>
    <w:p>
      <w:pPr>
        <w:pStyle w:val="Heading2"/>
      </w:pPr>
      <w:r>
        <w:t>2.3 共形预测与在线校准</w:t>
      </w:r>
    </w:p>
    <w:p>
      <w:r>
        <w:rPr>
          <w:rFonts w:eastAsia="宋体"/>
        </w:rPr>
        <w:t>共形预测利用校准误差构造具有覆盖保证的预测区间。对于时间序列任务，固定校准集往往难以适应分布漂移，因此在线共形方法通过滚动更新校准分数或校准分位数提升适应性。本文拟扩展的方向属于在线共形校准后处理，而非基础预测模型替换。</w:t>
      </w:r>
    </w:p>
    <w:p>
      <w:pPr>
        <w:pStyle w:val="Heading1"/>
      </w:pPr>
      <w:r>
        <w:t>3 基准论文复现与继承</w:t>
      </w:r>
    </w:p>
    <w:p>
      <w:pPr>
        <w:pStyle w:val="Heading2"/>
      </w:pPr>
      <w:r>
        <w:t>3.1 强基线选择</w:t>
      </w:r>
    </w:p>
    <w:p>
      <w:r>
        <w:rPr>
          <w:rFonts w:eastAsia="宋体"/>
        </w:rPr>
        <w:t>本文选择在线共形化神经网络集成方法作为强基线。选择该方法的原因在于：其任务对象与本文一致，均为日前电价概率预测；其方法重点与本文一致，均关注共形校准后处理；其公开代码包含完整数据、模型、评价指标和实验结果，便于在同一框架下进行继承式改进。</w:t>
      </w:r>
    </w:p>
    <w:p>
      <w:pPr>
        <w:pStyle w:val="Heading2"/>
      </w:pPr>
      <w:r>
        <w:t>3.2 复现实验对象</w:t>
      </w:r>
    </w:p>
    <w:p>
      <w:r>
        <w:rPr>
          <w:rFonts w:eastAsia="宋体"/>
        </w:rPr>
        <w:t>复现实验覆盖德国电力市场 DE_price 和意大利区域市场 MGP_NORD、MGP_CNOR、MGP_CSUD、MGP_SUD、MGP_SARD、MGP_SICI。对比方法包括原始概率预测模型 Norm、Jsu、Stu、QR，后处理基线 CP、QRA，共形校准方法 CQN、CQJ、CQS、CQR，以及在线共形校准方法 OCQN、OCQJ、OCQS、OCQR。</w:t>
      </w:r>
    </w:p>
    <w:p>
      <w:pPr>
        <w:pStyle w:val="Heading2"/>
      </w:pPr>
      <w:r>
        <w:t>3.3 评价指标</w:t>
      </w:r>
    </w:p>
    <w:p>
      <w:r>
        <w:rPr>
          <w:rFonts w:eastAsia="宋体"/>
        </w:rPr>
        <w:t>本文采用 Pinball Loss、MAE、PICP、Winkler Score、Kupiec 检验和 DM 检验评价复现实验。Pinball Loss 衡量分位数预测质量，Winkler Score 同时惩罚区间宽度和未覆盖样本，Kupiec 检验用于判断各小时覆盖率是否与名义覆盖水平一致。</w:t>
      </w:r>
    </w:p>
    <w:p>
      <w:pPr>
        <w:pStyle w:val="Heading1"/>
      </w:pPr>
      <w:r>
        <w:t>4 针对性缺陷诊断</w:t>
      </w:r>
    </w:p>
    <w:p>
      <w:pPr>
        <w:pStyle w:val="Heading2"/>
      </w:pPr>
      <w:r>
        <w:t>4.1 强基线有效性确认</w:t>
      </w:r>
    </w:p>
    <w:p>
      <w:r>
        <w:rPr>
          <w:rFonts w:eastAsia="宋体"/>
        </w:rPr>
        <w:t>表 1 给出原始概率预测模型、CQ 模型和 OCQ 模型在所有市场上的方法组平均结果。可以看到，OCQ 在 Pinball 和 Winkler 指标上相对原始模型有一定改善，但更显著的优势体现在 Kupiec 通过小时数上。这说明在线共形校准确实是一个强基线，后续改进应建立在继承而非否定该基线的基础上。</w:t>
      </w:r>
    </w:p>
    <w:p>
      <w:pPr>
        <w:spacing w:before="80" w:after="80"/>
        <w:jc w:val="center"/>
      </w:pPr>
      <w:r>
        <w:rPr>
          <w:b/>
          <w:sz w:val="20"/>
          <w:rFonts w:eastAsia="宋体"/>
        </w:rPr>
        <w:t>表 1 强基线复现结果的方法组平均对比</w:t>
      </w:r>
    </w:p>
    <w:tbl>
      <w:tblPr>
        <w:tblStyle w:val="TableGrid"/>
        <w:tblW w:type="dxa" w:w="9360"/>
        <w:jc w:val="center"/>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2520"/>
            <w:vAlign w:val="center"/>
            <w:shd w:fill="F4F6F9"/>
          </w:tcPr>
          <w:p>
            <w:pPr>
              <w:spacing w:after="0"/>
              <w:jc w:val="center"/>
            </w:pPr>
            <w:r/>
            <w:r>
              <w:rPr>
                <w:b/>
                <w:sz w:val="17"/>
                <w:rFonts w:eastAsia="宋体"/>
              </w:rPr>
              <w:t>指标</w:t>
            </w:r>
          </w:p>
        </w:tc>
        <w:tc>
          <w:tcPr>
            <w:tcW w:type="dxa" w:w="1224"/>
            <w:vAlign w:val="center"/>
            <w:shd w:fill="F4F6F9"/>
          </w:tcPr>
          <w:p>
            <w:pPr>
              <w:spacing w:after="0"/>
              <w:jc w:val="center"/>
            </w:pPr>
            <w:r/>
            <w:r>
              <w:rPr>
                <w:b/>
                <w:sz w:val="17"/>
                <w:rFonts w:eastAsia="宋体"/>
              </w:rPr>
              <w:t>方向</w:t>
            </w:r>
          </w:p>
        </w:tc>
        <w:tc>
          <w:tcPr>
            <w:tcW w:type="dxa" w:w="1368"/>
            <w:vAlign w:val="center"/>
            <w:shd w:fill="F4F6F9"/>
          </w:tcPr>
          <w:p>
            <w:pPr>
              <w:spacing w:after="0"/>
              <w:jc w:val="center"/>
            </w:pPr>
            <w:r/>
            <w:r>
              <w:rPr>
                <w:b/>
                <w:sz w:val="17"/>
                <w:rFonts w:eastAsia="宋体"/>
              </w:rPr>
              <w:t>原始模型</w:t>
            </w:r>
          </w:p>
        </w:tc>
        <w:tc>
          <w:tcPr>
            <w:tcW w:type="dxa" w:w="1224"/>
            <w:vAlign w:val="center"/>
            <w:shd w:fill="F4F6F9"/>
          </w:tcPr>
          <w:p>
            <w:pPr>
              <w:spacing w:after="0"/>
              <w:jc w:val="center"/>
            </w:pPr>
            <w:r/>
            <w:r>
              <w:rPr>
                <w:b/>
                <w:sz w:val="17"/>
                <w:rFonts w:eastAsia="宋体"/>
              </w:rPr>
              <w:t>CQ</w:t>
            </w:r>
          </w:p>
        </w:tc>
        <w:tc>
          <w:tcPr>
            <w:tcW w:type="dxa" w:w="1224"/>
            <w:vAlign w:val="center"/>
            <w:shd w:fill="F4F6F9"/>
          </w:tcPr>
          <w:p>
            <w:pPr>
              <w:spacing w:after="0"/>
              <w:jc w:val="center"/>
            </w:pPr>
            <w:r/>
            <w:r>
              <w:rPr>
                <w:b/>
                <w:sz w:val="17"/>
                <w:rFonts w:eastAsia="宋体"/>
              </w:rPr>
              <w:t>OCQ</w:t>
            </w:r>
          </w:p>
        </w:tc>
        <w:tc>
          <w:tcPr>
            <w:tcW w:type="dxa" w:w="1800"/>
            <w:vAlign w:val="center"/>
            <w:shd w:fill="F4F6F9"/>
          </w:tcPr>
          <w:p>
            <w:pPr>
              <w:spacing w:after="0"/>
              <w:jc w:val="center"/>
            </w:pPr>
            <w:r/>
            <w:r>
              <w:rPr>
                <w:b/>
                <w:sz w:val="17"/>
                <w:rFonts w:eastAsia="宋体"/>
              </w:rPr>
              <w:t>OCQ相对原始模型</w:t>
            </w:r>
          </w:p>
        </w:tc>
      </w:tr>
      <w:tr>
        <w:tc>
          <w:tcPr>
            <w:tcW w:type="dxa" w:w="1560"/>
            <w:vAlign w:val="center"/>
          </w:tcPr>
          <w:p>
            <w:pPr>
              <w:spacing w:after="0"/>
              <w:jc w:val="left"/>
            </w:pPr>
            <w:r/>
            <w:r>
              <w:rPr>
                <w:b w:val="0"/>
                <w:sz w:val="17"/>
                <w:rFonts w:eastAsia="宋体"/>
              </w:rPr>
              <w:t>Pinball</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2.305</w:t>
            </w:r>
          </w:p>
        </w:tc>
        <w:tc>
          <w:tcPr>
            <w:tcW w:type="dxa" w:w="1560"/>
            <w:vAlign w:val="center"/>
          </w:tcPr>
          <w:p>
            <w:pPr>
              <w:spacing w:after="0"/>
              <w:jc w:val="center"/>
            </w:pPr>
            <w:r/>
            <w:r>
              <w:rPr>
                <w:b w:val="0"/>
                <w:sz w:val="17"/>
                <w:rFonts w:eastAsia="宋体"/>
              </w:rPr>
              <w:t>2.286</w:t>
            </w:r>
          </w:p>
        </w:tc>
        <w:tc>
          <w:tcPr>
            <w:tcW w:type="dxa" w:w="1560"/>
            <w:vAlign w:val="center"/>
          </w:tcPr>
          <w:p>
            <w:pPr>
              <w:spacing w:after="0"/>
              <w:jc w:val="center"/>
            </w:pPr>
            <w:r/>
            <w:r>
              <w:rPr>
                <w:b w:val="0"/>
                <w:sz w:val="17"/>
                <w:rFonts w:eastAsia="宋体"/>
              </w:rPr>
              <w:t>2.284</w:t>
            </w:r>
          </w:p>
        </w:tc>
        <w:tc>
          <w:tcPr>
            <w:tcW w:type="dxa" w:w="1560"/>
            <w:vAlign w:val="center"/>
          </w:tcPr>
          <w:p>
            <w:pPr>
              <w:spacing w:after="0"/>
              <w:jc w:val="center"/>
            </w:pPr>
            <w:r/>
            <w:r>
              <w:rPr>
                <w:b w:val="0"/>
                <w:sz w:val="17"/>
                <w:rFonts w:eastAsia="宋体"/>
              </w:rPr>
              <w:t>0.90%</w:t>
            </w:r>
          </w:p>
        </w:tc>
      </w:tr>
      <w:tr>
        <w:tc>
          <w:tcPr>
            <w:tcW w:type="dxa" w:w="1560"/>
            <w:vAlign w:val="center"/>
          </w:tcPr>
          <w:p>
            <w:pPr>
              <w:spacing w:after="0"/>
              <w:jc w:val="left"/>
            </w:pPr>
            <w:r/>
            <w:r>
              <w:rPr>
                <w:b w:val="0"/>
                <w:sz w:val="17"/>
                <w:rFonts w:eastAsia="宋体"/>
              </w:rPr>
              <w:t>Winkler_alpha_0.2</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28.597</w:t>
            </w:r>
          </w:p>
        </w:tc>
        <w:tc>
          <w:tcPr>
            <w:tcW w:type="dxa" w:w="1560"/>
            <w:vAlign w:val="center"/>
          </w:tcPr>
          <w:p>
            <w:pPr>
              <w:spacing w:after="0"/>
              <w:jc w:val="center"/>
            </w:pPr>
            <w:r/>
            <w:r>
              <w:rPr>
                <w:b w:val="0"/>
                <w:sz w:val="17"/>
                <w:rFonts w:eastAsia="宋体"/>
              </w:rPr>
              <w:t>28.115</w:t>
            </w:r>
          </w:p>
        </w:tc>
        <w:tc>
          <w:tcPr>
            <w:tcW w:type="dxa" w:w="1560"/>
            <w:vAlign w:val="center"/>
          </w:tcPr>
          <w:p>
            <w:pPr>
              <w:spacing w:after="0"/>
              <w:jc w:val="center"/>
            </w:pPr>
            <w:r/>
            <w:r>
              <w:rPr>
                <w:b w:val="0"/>
                <w:sz w:val="17"/>
                <w:rFonts w:eastAsia="宋体"/>
              </w:rPr>
              <w:t>28.025</w:t>
            </w:r>
          </w:p>
        </w:tc>
        <w:tc>
          <w:tcPr>
            <w:tcW w:type="dxa" w:w="1560"/>
            <w:vAlign w:val="center"/>
          </w:tcPr>
          <w:p>
            <w:pPr>
              <w:spacing w:after="0"/>
              <w:jc w:val="center"/>
            </w:pPr>
            <w:r/>
            <w:r>
              <w:rPr>
                <w:b w:val="0"/>
                <w:sz w:val="17"/>
                <w:rFonts w:eastAsia="宋体"/>
              </w:rPr>
              <w:t>2.00%</w:t>
            </w:r>
          </w:p>
        </w:tc>
      </w:tr>
      <w:tr>
        <w:tc>
          <w:tcPr>
            <w:tcW w:type="dxa" w:w="1560"/>
            <w:vAlign w:val="center"/>
          </w:tcPr>
          <w:p>
            <w:pPr>
              <w:spacing w:after="0"/>
              <w:jc w:val="left"/>
            </w:pPr>
            <w:r/>
            <w:r>
              <w:rPr>
                <w:b w:val="0"/>
                <w:sz w:val="17"/>
                <w:rFonts w:eastAsia="宋体"/>
              </w:rPr>
              <w:t>Winkler_alpha_0.4</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21.280</w:t>
            </w:r>
          </w:p>
        </w:tc>
        <w:tc>
          <w:tcPr>
            <w:tcW w:type="dxa" w:w="1560"/>
            <w:vAlign w:val="center"/>
          </w:tcPr>
          <w:p>
            <w:pPr>
              <w:spacing w:after="0"/>
              <w:jc w:val="center"/>
            </w:pPr>
            <w:r/>
            <w:r>
              <w:rPr>
                <w:b w:val="0"/>
                <w:sz w:val="17"/>
                <w:rFonts w:eastAsia="宋体"/>
              </w:rPr>
              <w:t>21.074</w:t>
            </w:r>
          </w:p>
        </w:tc>
        <w:tc>
          <w:tcPr>
            <w:tcW w:type="dxa" w:w="1560"/>
            <w:vAlign w:val="center"/>
          </w:tcPr>
          <w:p>
            <w:pPr>
              <w:spacing w:after="0"/>
              <w:jc w:val="center"/>
            </w:pPr>
            <w:r/>
            <w:r>
              <w:rPr>
                <w:b w:val="0"/>
                <w:sz w:val="17"/>
                <w:rFonts w:eastAsia="宋体"/>
              </w:rPr>
              <w:t>21.063</w:t>
            </w:r>
          </w:p>
        </w:tc>
        <w:tc>
          <w:tcPr>
            <w:tcW w:type="dxa" w:w="1560"/>
            <w:vAlign w:val="center"/>
          </w:tcPr>
          <w:p>
            <w:pPr>
              <w:spacing w:after="0"/>
              <w:jc w:val="center"/>
            </w:pPr>
            <w:r/>
            <w:r>
              <w:rPr>
                <w:b w:val="0"/>
                <w:sz w:val="17"/>
                <w:rFonts w:eastAsia="宋体"/>
              </w:rPr>
              <w:t>1.02%</w:t>
            </w:r>
          </w:p>
        </w:tc>
      </w:tr>
      <w:tr>
        <w:tc>
          <w:tcPr>
            <w:tcW w:type="dxa" w:w="1560"/>
            <w:vAlign w:val="center"/>
          </w:tcPr>
          <w:p>
            <w:pPr>
              <w:spacing w:after="0"/>
              <w:jc w:val="left"/>
            </w:pPr>
            <w:r/>
            <w:r>
              <w:rPr>
                <w:b w:val="0"/>
                <w:sz w:val="17"/>
                <w:rFonts w:eastAsia="宋体"/>
              </w:rPr>
              <w:t>Kupiec_passed_alpha_0.2</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9.643</w:t>
            </w:r>
          </w:p>
        </w:tc>
        <w:tc>
          <w:tcPr>
            <w:tcW w:type="dxa" w:w="1560"/>
            <w:vAlign w:val="center"/>
          </w:tcPr>
          <w:p>
            <w:pPr>
              <w:spacing w:after="0"/>
              <w:jc w:val="center"/>
            </w:pPr>
            <w:r/>
            <w:r>
              <w:rPr>
                <w:b w:val="0"/>
                <w:sz w:val="17"/>
                <w:rFonts w:eastAsia="宋体"/>
              </w:rPr>
              <w:t>17.250</w:t>
            </w:r>
          </w:p>
        </w:tc>
        <w:tc>
          <w:tcPr>
            <w:tcW w:type="dxa" w:w="1560"/>
            <w:vAlign w:val="center"/>
          </w:tcPr>
          <w:p>
            <w:pPr>
              <w:spacing w:after="0"/>
              <w:jc w:val="center"/>
            </w:pPr>
            <w:r/>
            <w:r>
              <w:rPr>
                <w:b w:val="0"/>
                <w:sz w:val="17"/>
                <w:rFonts w:eastAsia="宋体"/>
              </w:rPr>
              <w:t>22.286</w:t>
            </w:r>
          </w:p>
        </w:tc>
        <w:tc>
          <w:tcPr>
            <w:tcW w:type="dxa" w:w="1560"/>
            <w:vAlign w:val="center"/>
          </w:tcPr>
          <w:p>
            <w:pPr>
              <w:spacing w:after="0"/>
              <w:jc w:val="center"/>
            </w:pPr>
            <w:r/>
            <w:r>
              <w:rPr>
                <w:b w:val="0"/>
                <w:sz w:val="17"/>
                <w:rFonts w:eastAsia="宋体"/>
              </w:rPr>
              <w:t>131.11%</w:t>
            </w:r>
          </w:p>
        </w:tc>
      </w:tr>
      <w:tr>
        <w:tc>
          <w:tcPr>
            <w:tcW w:type="dxa" w:w="1560"/>
            <w:vAlign w:val="center"/>
          </w:tcPr>
          <w:p>
            <w:pPr>
              <w:spacing w:after="0"/>
              <w:jc w:val="left"/>
            </w:pPr>
            <w:r/>
            <w:r>
              <w:rPr>
                <w:b w:val="0"/>
                <w:sz w:val="17"/>
                <w:rFonts w:eastAsia="宋体"/>
              </w:rPr>
              <w:t>Kupiec_passed_alpha_0.4</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11.214</w:t>
            </w:r>
          </w:p>
        </w:tc>
        <w:tc>
          <w:tcPr>
            <w:tcW w:type="dxa" w:w="1560"/>
            <w:vAlign w:val="center"/>
          </w:tcPr>
          <w:p>
            <w:pPr>
              <w:spacing w:after="0"/>
              <w:jc w:val="center"/>
            </w:pPr>
            <w:r/>
            <w:r>
              <w:rPr>
                <w:b w:val="0"/>
                <w:sz w:val="17"/>
                <w:rFonts w:eastAsia="宋体"/>
              </w:rPr>
              <w:t>19.071</w:t>
            </w:r>
          </w:p>
        </w:tc>
        <w:tc>
          <w:tcPr>
            <w:tcW w:type="dxa" w:w="1560"/>
            <w:vAlign w:val="center"/>
          </w:tcPr>
          <w:p>
            <w:pPr>
              <w:spacing w:after="0"/>
              <w:jc w:val="center"/>
            </w:pPr>
            <w:r/>
            <w:r>
              <w:rPr>
                <w:b w:val="0"/>
                <w:sz w:val="17"/>
                <w:rFonts w:eastAsia="宋体"/>
              </w:rPr>
              <w:t>23.679</w:t>
            </w:r>
          </w:p>
        </w:tc>
        <w:tc>
          <w:tcPr>
            <w:tcW w:type="dxa" w:w="1560"/>
            <w:vAlign w:val="center"/>
          </w:tcPr>
          <w:p>
            <w:pPr>
              <w:spacing w:after="0"/>
              <w:jc w:val="center"/>
            </w:pPr>
            <w:r/>
            <w:r>
              <w:rPr>
                <w:b w:val="0"/>
                <w:sz w:val="17"/>
                <w:rFonts w:eastAsia="宋体"/>
              </w:rPr>
              <w:t>111.15%</w:t>
            </w:r>
          </w:p>
        </w:tc>
      </w:tr>
      <w:tr>
        <w:tc>
          <w:tcPr>
            <w:tcW w:type="dxa" w:w="1560"/>
            <w:vAlign w:val="center"/>
          </w:tcPr>
          <w:p>
            <w:pPr>
              <w:spacing w:after="0"/>
              <w:jc w:val="left"/>
            </w:pPr>
            <w:r/>
            <w:r>
              <w:rPr>
                <w:b w:val="0"/>
                <w:sz w:val="17"/>
                <w:rFonts w:eastAsia="宋体"/>
              </w:rPr>
              <w:t>Kupiec_passed_alpha_0.6</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13.857</w:t>
            </w:r>
          </w:p>
        </w:tc>
        <w:tc>
          <w:tcPr>
            <w:tcW w:type="dxa" w:w="1560"/>
            <w:vAlign w:val="center"/>
          </w:tcPr>
          <w:p>
            <w:pPr>
              <w:spacing w:after="0"/>
              <w:jc w:val="center"/>
            </w:pPr>
            <w:r/>
            <w:r>
              <w:rPr>
                <w:b w:val="0"/>
                <w:sz w:val="17"/>
                <w:rFonts w:eastAsia="宋体"/>
              </w:rPr>
              <w:t>20.571</w:t>
            </w:r>
          </w:p>
        </w:tc>
        <w:tc>
          <w:tcPr>
            <w:tcW w:type="dxa" w:w="1560"/>
            <w:vAlign w:val="center"/>
          </w:tcPr>
          <w:p>
            <w:pPr>
              <w:spacing w:after="0"/>
              <w:jc w:val="center"/>
            </w:pPr>
            <w:r/>
            <w:r>
              <w:rPr>
                <w:b w:val="0"/>
                <w:sz w:val="17"/>
                <w:rFonts w:eastAsia="宋体"/>
              </w:rPr>
              <w:t>23.929</w:t>
            </w:r>
          </w:p>
        </w:tc>
        <w:tc>
          <w:tcPr>
            <w:tcW w:type="dxa" w:w="1560"/>
            <w:vAlign w:val="center"/>
          </w:tcPr>
          <w:p>
            <w:pPr>
              <w:spacing w:after="0"/>
              <w:jc w:val="center"/>
            </w:pPr>
            <w:r/>
            <w:r>
              <w:rPr>
                <w:b w:val="0"/>
                <w:sz w:val="17"/>
                <w:rFonts w:eastAsia="宋体"/>
              </w:rPr>
              <w:t>72.68%</w:t>
            </w:r>
          </w:p>
        </w:tc>
      </w:tr>
      <w:tr>
        <w:tc>
          <w:tcPr>
            <w:tcW w:type="dxa" w:w="1560"/>
            <w:vAlign w:val="center"/>
          </w:tcPr>
          <w:p>
            <w:pPr>
              <w:spacing w:after="0"/>
              <w:jc w:val="left"/>
            </w:pPr>
            <w:r/>
            <w:r>
              <w:rPr>
                <w:b w:val="0"/>
                <w:sz w:val="17"/>
                <w:rFonts w:eastAsia="宋体"/>
              </w:rPr>
              <w:t>Kupiec_passed_alpha_0.8</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18.571</w:t>
            </w:r>
          </w:p>
        </w:tc>
        <w:tc>
          <w:tcPr>
            <w:tcW w:type="dxa" w:w="1560"/>
            <w:vAlign w:val="center"/>
          </w:tcPr>
          <w:p>
            <w:pPr>
              <w:spacing w:after="0"/>
              <w:jc w:val="center"/>
            </w:pPr>
            <w:r/>
            <w:r>
              <w:rPr>
                <w:b w:val="0"/>
                <w:sz w:val="17"/>
                <w:rFonts w:eastAsia="宋体"/>
              </w:rPr>
              <w:t>23.321</w:t>
            </w:r>
          </w:p>
        </w:tc>
        <w:tc>
          <w:tcPr>
            <w:tcW w:type="dxa" w:w="1560"/>
            <w:vAlign w:val="center"/>
          </w:tcPr>
          <w:p>
            <w:pPr>
              <w:spacing w:after="0"/>
              <w:jc w:val="center"/>
            </w:pPr>
            <w:r/>
            <w:r>
              <w:rPr>
                <w:b w:val="0"/>
                <w:sz w:val="17"/>
                <w:rFonts w:eastAsia="宋体"/>
              </w:rPr>
              <w:t>23.250</w:t>
            </w:r>
          </w:p>
        </w:tc>
        <w:tc>
          <w:tcPr>
            <w:tcW w:type="dxa" w:w="1560"/>
            <w:vAlign w:val="center"/>
          </w:tcPr>
          <w:p>
            <w:pPr>
              <w:spacing w:after="0"/>
              <w:jc w:val="center"/>
            </w:pPr>
            <w:r/>
            <w:r>
              <w:rPr>
                <w:b w:val="0"/>
                <w:sz w:val="17"/>
                <w:rFonts w:eastAsia="宋体"/>
              </w:rPr>
              <w:t>25.19%</w:t>
            </w:r>
          </w:p>
        </w:tc>
      </w:tr>
    </w:tbl>
    <w:p>
      <w:pPr>
        <w:spacing w:before="80" w:after="80"/>
        <w:jc w:val="center"/>
      </w:pPr>
      <w:r>
        <w:rPr>
          <w:b/>
          <w:sz w:val="20"/>
          <w:rFonts w:eastAsia="宋体"/>
        </w:rPr>
        <w:t>图 1 alpha=0.2 下方法组 Kupiec 平均通过小时数</w:t>
      </w:r>
    </w:p>
    <w:p>
      <w:pPr>
        <w:jc w:val="center"/>
      </w:pPr>
      <w:r>
        <w:drawing>
          <wp:inline xmlns:a="http://schemas.openxmlformats.org/drawingml/2006/main" xmlns:pic="http://schemas.openxmlformats.org/drawingml/2006/picture">
            <wp:extent cx="4480560" cy="3318933"/>
            <wp:docPr id="1" name="Picture 1"/>
            <wp:cNvGraphicFramePr>
              <a:graphicFrameLocks noChangeAspect="1"/>
            </wp:cNvGraphicFramePr>
            <a:graphic>
              <a:graphicData uri="http://schemas.openxmlformats.org/drawingml/2006/picture">
                <pic:pic>
                  <pic:nvPicPr>
                    <pic:cNvPr id="0" name="method_group_Kupiec_passed_alpha_0.2.png"/>
                    <pic:cNvPicPr/>
                  </pic:nvPicPr>
                  <pic:blipFill>
                    <a:blip r:embed="rId9"/>
                    <a:stretch>
                      <a:fillRect/>
                    </a:stretch>
                  </pic:blipFill>
                  <pic:spPr>
                    <a:xfrm>
                      <a:off x="0" y="0"/>
                      <a:ext cx="4480560" cy="3318933"/>
                    </a:xfrm>
                    <a:prstGeom prst="rect"/>
                  </pic:spPr>
                </pic:pic>
              </a:graphicData>
            </a:graphic>
          </wp:inline>
        </w:drawing>
      </w:r>
    </w:p>
    <w:p>
      <w:pPr>
        <w:pStyle w:val="Heading2"/>
      </w:pPr>
      <w:r>
        <w:t>4.2 小时异质性诊断</w:t>
      </w:r>
    </w:p>
    <w:p>
      <w:r>
        <w:rPr>
          <w:rFonts w:eastAsia="宋体"/>
        </w:rPr>
        <w:t>仅看整体 PICP 容易掩盖多步预测中的小时差异。日前电价的 24 个小时对应不同负荷水平、交易行为和波动风险，因此同一校准策略可能在某些小时覆盖充分，在另一些小时覆盖不足。本文已导出分小时 PICP 结果，用于诊断强基线在小时维度上的局部校准情况。</w:t>
      </w:r>
    </w:p>
    <w:p>
      <w:pPr>
        <w:spacing w:before="80" w:after="80"/>
        <w:jc w:val="center"/>
      </w:pPr>
      <w:r>
        <w:rPr>
          <w:b/>
          <w:sz w:val="20"/>
          <w:rFonts w:eastAsia="宋体"/>
        </w:rPr>
        <w:t>图 2 DE_price 市场 alpha=0.2 下分小时 PICP 诊断</w:t>
      </w:r>
    </w:p>
    <w:p>
      <w:pPr>
        <w:jc w:val="center"/>
      </w:pPr>
      <w:r>
        <w:drawing>
          <wp:inline xmlns:a="http://schemas.openxmlformats.org/drawingml/2006/main" xmlns:pic="http://schemas.openxmlformats.org/drawingml/2006/picture">
            <wp:extent cx="5577840" cy="3043099"/>
            <wp:docPr id="2" name="Picture 2"/>
            <wp:cNvGraphicFramePr>
              <a:graphicFrameLocks noChangeAspect="1"/>
            </wp:cNvGraphicFramePr>
            <a:graphic>
              <a:graphicData uri="http://schemas.openxmlformats.org/drawingml/2006/picture">
                <pic:pic>
                  <pic:nvPicPr>
                    <pic:cNvPr id="0" name="hourly_picp_DE_price_alpha_0p2.png"/>
                    <pic:cNvPicPr/>
                  </pic:nvPicPr>
                  <pic:blipFill>
                    <a:blip r:embed="rId10"/>
                    <a:stretch>
                      <a:fillRect/>
                    </a:stretch>
                  </pic:blipFill>
                  <pic:spPr>
                    <a:xfrm>
                      <a:off x="0" y="0"/>
                      <a:ext cx="5577840" cy="3043099"/>
                    </a:xfrm>
                    <a:prstGeom prst="rect"/>
                  </pic:spPr>
                </pic:pic>
              </a:graphicData>
            </a:graphic>
          </wp:inline>
        </w:drawing>
      </w:r>
    </w:p>
    <w:p>
      <w:pPr>
        <w:spacing w:before="80" w:after="80"/>
        <w:jc w:val="center"/>
      </w:pPr>
      <w:r>
        <w:rPr>
          <w:b/>
          <w:sz w:val="20"/>
          <w:rFonts w:eastAsia="宋体"/>
        </w:rPr>
        <w:t>图 3 MGP_NORD 市场 alpha=0.2 下分小时 PICP 诊断</w:t>
      </w:r>
    </w:p>
    <w:p>
      <w:pPr>
        <w:jc w:val="center"/>
      </w:pPr>
      <w:r>
        <w:drawing>
          <wp:inline xmlns:a="http://schemas.openxmlformats.org/drawingml/2006/main" xmlns:pic="http://schemas.openxmlformats.org/drawingml/2006/picture">
            <wp:extent cx="5577840" cy="3043099"/>
            <wp:docPr id="3" name="Picture 3"/>
            <wp:cNvGraphicFramePr>
              <a:graphicFrameLocks noChangeAspect="1"/>
            </wp:cNvGraphicFramePr>
            <a:graphic>
              <a:graphicData uri="http://schemas.openxmlformats.org/drawingml/2006/picture">
                <pic:pic>
                  <pic:nvPicPr>
                    <pic:cNvPr id="0" name="hourly_picp_MGP_NORD_alpha_0p2.png"/>
                    <pic:cNvPicPr/>
                  </pic:nvPicPr>
                  <pic:blipFill>
                    <a:blip r:embed="rId11"/>
                    <a:stretch>
                      <a:fillRect/>
                    </a:stretch>
                  </pic:blipFill>
                  <pic:spPr>
                    <a:xfrm>
                      <a:off x="0" y="0"/>
                      <a:ext cx="5577840" cy="3043099"/>
                    </a:xfrm>
                    <a:prstGeom prst="rect"/>
                  </pic:spPr>
                </pic:pic>
              </a:graphicData>
            </a:graphic>
          </wp:inline>
        </w:drawing>
      </w:r>
    </w:p>
    <w:p>
      <w:r>
        <w:rPr>
          <w:rFonts w:eastAsia="宋体"/>
        </w:rPr>
        <w:t>从当前分小时诊断可以看出，OCQR 相比 QR 和部分静态后处理方法更接近名义覆盖率，但不同市场和不同小时仍存在差异。这一现象为后续小时条件化校准提供了直接动机：如果误差分布具有小时异质性，则应按小时维护校准误差或校准分位数，而不是让所有小时共享同一校准状态。</w:t>
      </w:r>
    </w:p>
    <w:p>
      <w:pPr>
        <w:pStyle w:val="Heading2"/>
      </w:pPr>
      <w:r>
        <w:t>4.3 波动状态诊断</w:t>
      </w:r>
    </w:p>
    <w:p>
      <w:pPr>
        <w:pStyle w:val="Heading2"/>
      </w:pPr>
      <w:r>
        <w:t>4.4 缺陷归纳：为什么需要新校准方法</w:t>
      </w:r>
    </w:p>
    <w:p>
      <w:r>
        <w:rPr>
          <w:rFonts w:eastAsia="宋体"/>
        </w:rPr>
        <w:t>基于已完成复现和分小时诊断，本文将后续改进目标限定为共形后处理层的针对性增强：一方面，利用小时条件化处理 24 个预测步之间的误差异质性；另一方面，利用波动感知机制处理高波动状态下的覆盖不足和区间效率下降。这样可以保持与原论文同一基础模型、同一数据集和同一评价指标，从而使新方法的提升更容易归因于校准策略本身。</w:t>
      </w:r>
    </w:p>
    <w:p>
      <w:pPr>
        <w:pStyle w:val="Heading1"/>
      </w:pPr>
      <w:r>
        <w:t>5 新校准方法改进</w:t>
      </w:r>
    </w:p>
    <w:p>
      <w:pPr>
        <w:pStyle w:val="Heading2"/>
      </w:pPr>
      <w:r>
        <w:t>5.1 小时条件化在线共形校准方法（H-OCQ）</w:t>
      </w:r>
    </w:p>
    <w:p>
      <w:pPr>
        <w:pStyle w:val="Heading2"/>
      </w:pPr>
      <w:r>
        <w:t>5.2 小时条件化波动感知在线共形校准方法（HV-OCQ）</w:t>
      </w:r>
    </w:p>
    <w:p>
      <w:pPr>
        <w:pStyle w:val="Heading2"/>
      </w:pPr>
      <w:r>
        <w:t>5.3 在线更新机制与原 OCQ 的关系</w:t>
      </w:r>
    </w:p>
    <w:p>
      <w:pPr>
        <w:pStyle w:val="Heading1"/>
      </w:pPr>
      <w:r>
        <w:t>6 同一实验框架下的改进验证</w:t>
      </w:r>
    </w:p>
    <w:p>
      <w:pPr>
        <w:pStyle w:val="Heading2"/>
      </w:pPr>
      <w:r>
        <w:t>6.1 实验设置</w:t>
      </w:r>
    </w:p>
    <w:p>
      <w:r>
        <w:rPr>
          <w:rFonts w:eastAsia="宋体"/>
        </w:rPr>
        <w:t>新方法完成后，应沿用基准论文的同一数据集、基础预测模型、训练结果和评价指标。对比对象至少包括 QR、CQR、OCQR、CP 和 QRA，并加入 H-OCQ 与 HV-OCQ。这样可以避免由于数据划分、模型训练或评价口径变化导致结论不可比。</w:t>
      </w:r>
    </w:p>
    <w:p>
      <w:pPr>
        <w:pStyle w:val="Heading2"/>
      </w:pPr>
      <w:r>
        <w:t>6.2 复现实验主结果</w:t>
      </w:r>
    </w:p>
    <w:p>
      <w:r>
        <w:rPr>
          <w:rFonts w:eastAsia="宋体"/>
        </w:rPr>
        <w:t>表 2 展示当前已完成的代表性复现结果。该表可作为后续加入 H-OCQ 和 HV-OCQ 后的主结果表模板。</w:t>
      </w:r>
    </w:p>
    <w:p>
      <w:pPr>
        <w:spacing w:before="80" w:after="80"/>
        <w:jc w:val="center"/>
      </w:pPr>
      <w:r>
        <w:rPr>
          <w:b/>
          <w:sz w:val="20"/>
          <w:rFonts w:eastAsia="宋体"/>
        </w:rPr>
        <w:t>表 2 代表性市场复现实验主结果</w:t>
      </w:r>
    </w:p>
    <w:tbl>
      <w:tblPr>
        <w:tblStyle w:val="TableGrid"/>
        <w:tblW w:type="dxa" w:w="9360"/>
        <w:jc w:val="center"/>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c>
          <w:tcPr>
            <w:tcW w:type="dxa" w:w="1224"/>
            <w:vAlign w:val="center"/>
            <w:shd w:fill="F4F6F9"/>
          </w:tcPr>
          <w:p>
            <w:pPr>
              <w:spacing w:after="0"/>
              <w:jc w:val="center"/>
            </w:pPr>
            <w:r/>
            <w:r>
              <w:rPr>
                <w:b/>
                <w:sz w:val="17"/>
                <w:rFonts w:eastAsia="宋体"/>
              </w:rPr>
              <w:t>市场</w:t>
            </w:r>
          </w:p>
        </w:tc>
        <w:tc>
          <w:tcPr>
            <w:tcW w:type="dxa" w:w="1008"/>
            <w:vAlign w:val="center"/>
            <w:shd w:fill="F4F6F9"/>
          </w:tcPr>
          <w:p>
            <w:pPr>
              <w:spacing w:after="0"/>
              <w:jc w:val="center"/>
            </w:pPr>
            <w:r/>
            <w:r>
              <w:rPr>
                <w:b/>
                <w:sz w:val="17"/>
                <w:rFonts w:eastAsia="宋体"/>
              </w:rPr>
              <w:t>方法</w:t>
            </w:r>
          </w:p>
        </w:tc>
        <w:tc>
          <w:tcPr>
            <w:tcW w:type="dxa" w:w="1008"/>
            <w:vAlign w:val="center"/>
            <w:shd w:fill="F4F6F9"/>
          </w:tcPr>
          <w:p>
            <w:pPr>
              <w:spacing w:after="0"/>
              <w:jc w:val="center"/>
            </w:pPr>
            <w:r/>
            <w:r>
              <w:rPr>
                <w:b/>
                <w:sz w:val="17"/>
                <w:rFonts w:eastAsia="宋体"/>
              </w:rPr>
              <w:t>Pinball</w:t>
            </w:r>
          </w:p>
        </w:tc>
        <w:tc>
          <w:tcPr>
            <w:tcW w:type="dxa" w:w="1080"/>
            <w:vAlign w:val="center"/>
            <w:shd w:fill="F4F6F9"/>
          </w:tcPr>
          <w:p>
            <w:pPr>
              <w:spacing w:after="0"/>
              <w:jc w:val="center"/>
            </w:pPr>
            <w:r/>
            <w:r>
              <w:rPr>
                <w:b/>
                <w:sz w:val="17"/>
                <w:rFonts w:eastAsia="宋体"/>
              </w:rPr>
              <w:t>PICP 0.2</w:t>
            </w:r>
          </w:p>
        </w:tc>
        <w:tc>
          <w:tcPr>
            <w:tcW w:type="dxa" w:w="1080"/>
            <w:vAlign w:val="center"/>
            <w:shd w:fill="F4F6F9"/>
          </w:tcPr>
          <w:p>
            <w:pPr>
              <w:spacing w:after="0"/>
              <w:jc w:val="center"/>
            </w:pPr>
            <w:r/>
            <w:r>
              <w:rPr>
                <w:b/>
                <w:sz w:val="17"/>
                <w:rFonts w:eastAsia="宋体"/>
              </w:rPr>
              <w:t>Kupiec 0.2</w:t>
            </w:r>
          </w:p>
        </w:tc>
        <w:tc>
          <w:tcPr>
            <w:tcW w:type="dxa" w:w="1224"/>
            <w:vAlign w:val="center"/>
            <w:shd w:fill="F4F6F9"/>
          </w:tcPr>
          <w:p>
            <w:pPr>
              <w:spacing w:after="0"/>
              <w:jc w:val="center"/>
            </w:pPr>
            <w:r/>
            <w:r>
              <w:rPr>
                <w:b/>
                <w:sz w:val="17"/>
                <w:rFonts w:eastAsia="宋体"/>
              </w:rPr>
              <w:t>Winkler 0.2</w:t>
            </w:r>
          </w:p>
        </w:tc>
        <w:tc>
          <w:tcPr>
            <w:tcW w:type="dxa" w:w="1080"/>
            <w:vAlign w:val="center"/>
            <w:shd w:fill="F4F6F9"/>
          </w:tcPr>
          <w:p>
            <w:pPr>
              <w:spacing w:after="0"/>
              <w:jc w:val="center"/>
            </w:pPr>
            <w:r/>
            <w:r>
              <w:rPr>
                <w:b/>
                <w:sz w:val="17"/>
                <w:rFonts w:eastAsia="宋体"/>
              </w:rPr>
              <w:t>PICP 0.4</w:t>
            </w:r>
          </w:p>
        </w:tc>
        <w:tc>
          <w:tcPr>
            <w:tcW w:type="dxa" w:w="1080"/>
            <w:vAlign w:val="center"/>
            <w:shd w:fill="F4F6F9"/>
          </w:tcPr>
          <w:p>
            <w:pPr>
              <w:spacing w:after="0"/>
              <w:jc w:val="center"/>
            </w:pPr>
            <w:r/>
            <w:r>
              <w:rPr>
                <w:b/>
                <w:sz w:val="17"/>
                <w:rFonts w:eastAsia="宋体"/>
              </w:rPr>
              <w:t>Kupiec 0.4</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CP</w:t>
            </w:r>
          </w:p>
        </w:tc>
        <w:tc>
          <w:tcPr>
            <w:tcW w:type="dxa" w:w="1170"/>
            <w:vAlign w:val="center"/>
          </w:tcPr>
          <w:p>
            <w:pPr>
              <w:spacing w:after="0"/>
              <w:jc w:val="center"/>
            </w:pPr>
            <w:r/>
            <w:r>
              <w:rPr>
                <w:b w:val="0"/>
                <w:sz w:val="17"/>
                <w:rFonts w:eastAsia="宋体"/>
              </w:rPr>
              <w:t>1.549</w:t>
            </w:r>
          </w:p>
        </w:tc>
        <w:tc>
          <w:tcPr>
            <w:tcW w:type="dxa" w:w="1170"/>
            <w:vAlign w:val="center"/>
          </w:tcPr>
          <w:p>
            <w:pPr>
              <w:spacing w:after="0"/>
              <w:jc w:val="center"/>
            </w:pPr>
            <w:r/>
            <w:r>
              <w:rPr>
                <w:b w:val="0"/>
                <w:sz w:val="17"/>
                <w:rFonts w:eastAsia="宋体"/>
              </w:rPr>
              <w:t>79</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20.27</w:t>
            </w:r>
          </w:p>
        </w:tc>
        <w:tc>
          <w:tcPr>
            <w:tcW w:type="dxa" w:w="1170"/>
            <w:vAlign w:val="center"/>
          </w:tcPr>
          <w:p>
            <w:pPr>
              <w:spacing w:after="0"/>
              <w:jc w:val="center"/>
            </w:pPr>
            <w:r/>
            <w:r>
              <w:rPr>
                <w:b w:val="0"/>
                <w:sz w:val="17"/>
                <w:rFonts w:eastAsia="宋体"/>
              </w:rPr>
              <w:t>59</w:t>
            </w:r>
          </w:p>
        </w:tc>
        <w:tc>
          <w:tcPr>
            <w:tcW w:type="dxa" w:w="1170"/>
            <w:vAlign w:val="center"/>
          </w:tcPr>
          <w:p>
            <w:pPr>
              <w:spacing w:after="0"/>
              <w:jc w:val="center"/>
            </w:pPr>
            <w:r/>
            <w:r>
              <w:rPr>
                <w:b w:val="0"/>
                <w:sz w:val="17"/>
                <w:rFonts w:eastAsia="宋体"/>
              </w:rPr>
              <w:t>24</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QRA</w:t>
            </w:r>
          </w:p>
        </w:tc>
        <w:tc>
          <w:tcPr>
            <w:tcW w:type="dxa" w:w="1170"/>
            <w:vAlign w:val="center"/>
          </w:tcPr>
          <w:p>
            <w:pPr>
              <w:spacing w:after="0"/>
              <w:jc w:val="center"/>
            </w:pPr>
            <w:r/>
            <w:r>
              <w:rPr>
                <w:b w:val="0"/>
                <w:sz w:val="17"/>
                <w:rFonts w:eastAsia="宋体"/>
              </w:rPr>
              <w:t>1.557</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6</w:t>
            </w:r>
          </w:p>
        </w:tc>
        <w:tc>
          <w:tcPr>
            <w:tcW w:type="dxa" w:w="1170"/>
            <w:vAlign w:val="center"/>
          </w:tcPr>
          <w:p>
            <w:pPr>
              <w:spacing w:after="0"/>
              <w:jc w:val="center"/>
            </w:pPr>
            <w:r/>
            <w:r>
              <w:rPr>
                <w:b w:val="0"/>
                <w:sz w:val="17"/>
                <w:rFonts w:eastAsia="宋体"/>
              </w:rPr>
              <w:t>20.62</w:t>
            </w:r>
          </w:p>
        </w:tc>
        <w:tc>
          <w:tcPr>
            <w:tcW w:type="dxa" w:w="1170"/>
            <w:vAlign w:val="center"/>
          </w:tcPr>
          <w:p>
            <w:pPr>
              <w:spacing w:after="0"/>
              <w:jc w:val="center"/>
            </w:pPr>
            <w:r/>
            <w:r>
              <w:rPr>
                <w:b w:val="0"/>
                <w:sz w:val="17"/>
                <w:rFonts w:eastAsia="宋体"/>
              </w:rPr>
              <w:t>59</w:t>
            </w:r>
          </w:p>
        </w:tc>
        <w:tc>
          <w:tcPr>
            <w:tcW w:type="dxa" w:w="1170"/>
            <w:vAlign w:val="center"/>
          </w:tcPr>
          <w:p>
            <w:pPr>
              <w:spacing w:after="0"/>
              <w:jc w:val="center"/>
            </w:pPr>
            <w:r/>
            <w:r>
              <w:rPr>
                <w:b w:val="0"/>
                <w:sz w:val="17"/>
                <w:rFonts w:eastAsia="宋体"/>
              </w:rPr>
              <w:t>5</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QR</w:t>
            </w:r>
          </w:p>
        </w:tc>
        <w:tc>
          <w:tcPr>
            <w:tcW w:type="dxa" w:w="1170"/>
            <w:vAlign w:val="center"/>
          </w:tcPr>
          <w:p>
            <w:pPr>
              <w:spacing w:after="0"/>
              <w:jc w:val="center"/>
            </w:pPr>
            <w:r/>
            <w:r>
              <w:rPr>
                <w:b w:val="0"/>
                <w:sz w:val="17"/>
                <w:rFonts w:eastAsia="宋体"/>
              </w:rPr>
              <w:t>1.474</w:t>
            </w:r>
          </w:p>
        </w:tc>
        <w:tc>
          <w:tcPr>
            <w:tcW w:type="dxa" w:w="1170"/>
            <w:vAlign w:val="center"/>
          </w:tcPr>
          <w:p>
            <w:pPr>
              <w:spacing w:after="0"/>
              <w:jc w:val="center"/>
            </w:pPr>
            <w:r/>
            <w:r>
              <w:rPr>
                <w:b w:val="0"/>
                <w:sz w:val="17"/>
                <w:rFonts w:eastAsia="宋体"/>
              </w:rPr>
              <w:t>75</w:t>
            </w:r>
          </w:p>
        </w:tc>
        <w:tc>
          <w:tcPr>
            <w:tcW w:type="dxa" w:w="1170"/>
            <w:vAlign w:val="center"/>
          </w:tcPr>
          <w:p>
            <w:pPr>
              <w:spacing w:after="0"/>
              <w:jc w:val="center"/>
            </w:pPr>
            <w:r/>
            <w:r>
              <w:rPr>
                <w:b w:val="0"/>
                <w:sz w:val="17"/>
                <w:rFonts w:eastAsia="宋体"/>
              </w:rPr>
              <w:t>9</w:t>
            </w:r>
          </w:p>
        </w:tc>
        <w:tc>
          <w:tcPr>
            <w:tcW w:type="dxa" w:w="1170"/>
            <w:vAlign w:val="center"/>
          </w:tcPr>
          <w:p>
            <w:pPr>
              <w:spacing w:after="0"/>
              <w:jc w:val="center"/>
            </w:pPr>
            <w:r/>
            <w:r>
              <w:rPr>
                <w:b w:val="0"/>
                <w:sz w:val="17"/>
                <w:rFonts w:eastAsia="宋体"/>
              </w:rPr>
              <w:t>17.71</w:t>
            </w:r>
          </w:p>
        </w:tc>
        <w:tc>
          <w:tcPr>
            <w:tcW w:type="dxa" w:w="1170"/>
            <w:vAlign w:val="center"/>
          </w:tcPr>
          <w:p>
            <w:pPr>
              <w:spacing w:after="0"/>
              <w:jc w:val="center"/>
            </w:pPr>
            <w:r/>
            <w:r>
              <w:rPr>
                <w:b w:val="0"/>
                <w:sz w:val="17"/>
                <w:rFonts w:eastAsia="宋体"/>
              </w:rPr>
              <w:t>54</w:t>
            </w:r>
          </w:p>
        </w:tc>
        <w:tc>
          <w:tcPr>
            <w:tcW w:type="dxa" w:w="1170"/>
            <w:vAlign w:val="center"/>
          </w:tcPr>
          <w:p>
            <w:pPr>
              <w:spacing w:after="0"/>
              <w:jc w:val="center"/>
            </w:pPr>
            <w:r/>
            <w:r>
              <w:rPr>
                <w:b w:val="0"/>
                <w:sz w:val="17"/>
                <w:rFonts w:eastAsia="宋体"/>
              </w:rPr>
              <w:t>5</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CQR</w:t>
            </w:r>
          </w:p>
        </w:tc>
        <w:tc>
          <w:tcPr>
            <w:tcW w:type="dxa" w:w="1170"/>
            <w:vAlign w:val="center"/>
          </w:tcPr>
          <w:p>
            <w:pPr>
              <w:spacing w:after="0"/>
              <w:jc w:val="center"/>
            </w:pPr>
            <w:r/>
            <w:r>
              <w:rPr>
                <w:b w:val="0"/>
                <w:sz w:val="17"/>
                <w:rFonts w:eastAsia="宋体"/>
              </w:rPr>
              <w:t>1.462</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19</w:t>
            </w:r>
          </w:p>
        </w:tc>
        <w:tc>
          <w:tcPr>
            <w:tcW w:type="dxa" w:w="1170"/>
            <w:vAlign w:val="center"/>
          </w:tcPr>
          <w:p>
            <w:pPr>
              <w:spacing w:after="0"/>
              <w:jc w:val="center"/>
            </w:pPr>
            <w:r/>
            <w:r>
              <w:rPr>
                <w:b w:val="0"/>
                <w:sz w:val="17"/>
                <w:rFonts w:eastAsia="宋体"/>
              </w:rPr>
              <w:t>17.50</w:t>
            </w:r>
          </w:p>
        </w:tc>
        <w:tc>
          <w:tcPr>
            <w:tcW w:type="dxa" w:w="1170"/>
            <w:vAlign w:val="center"/>
          </w:tcPr>
          <w:p>
            <w:pPr>
              <w:spacing w:after="0"/>
              <w:jc w:val="center"/>
            </w:pPr>
            <w:r/>
            <w:r>
              <w:rPr>
                <w:b w:val="0"/>
                <w:sz w:val="17"/>
                <w:rFonts w:eastAsia="宋体"/>
              </w:rPr>
              <w:t>57</w:t>
            </w:r>
          </w:p>
        </w:tc>
        <w:tc>
          <w:tcPr>
            <w:tcW w:type="dxa" w:w="1170"/>
            <w:vAlign w:val="center"/>
          </w:tcPr>
          <w:p>
            <w:pPr>
              <w:spacing w:after="0"/>
              <w:jc w:val="center"/>
            </w:pPr>
            <w:r/>
            <w:r>
              <w:rPr>
                <w:b w:val="0"/>
                <w:sz w:val="17"/>
                <w:rFonts w:eastAsia="宋体"/>
              </w:rPr>
              <w:t>19</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OCQR</w:t>
            </w:r>
          </w:p>
        </w:tc>
        <w:tc>
          <w:tcPr>
            <w:tcW w:type="dxa" w:w="1170"/>
            <w:vAlign w:val="center"/>
          </w:tcPr>
          <w:p>
            <w:pPr>
              <w:spacing w:after="0"/>
              <w:jc w:val="center"/>
            </w:pPr>
            <w:r/>
            <w:r>
              <w:rPr>
                <w:b w:val="0"/>
                <w:sz w:val="17"/>
                <w:rFonts w:eastAsia="宋体"/>
              </w:rPr>
              <w:t>1.459</w:t>
            </w:r>
          </w:p>
        </w:tc>
        <w:tc>
          <w:tcPr>
            <w:tcW w:type="dxa" w:w="1170"/>
            <w:vAlign w:val="center"/>
          </w:tcPr>
          <w:p>
            <w:pPr>
              <w:spacing w:after="0"/>
              <w:jc w:val="center"/>
            </w:pPr>
            <w:r/>
            <w:r>
              <w:rPr>
                <w:b w:val="0"/>
                <w:sz w:val="17"/>
                <w:rFonts w:eastAsia="宋体"/>
              </w:rPr>
              <w:t>80</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17.45</w:t>
            </w:r>
          </w:p>
        </w:tc>
        <w:tc>
          <w:tcPr>
            <w:tcW w:type="dxa" w:w="1170"/>
            <w:vAlign w:val="center"/>
          </w:tcPr>
          <w:p>
            <w:pPr>
              <w:spacing w:after="0"/>
              <w:jc w:val="center"/>
            </w:pPr>
            <w:r/>
            <w:r>
              <w:rPr>
                <w:b w:val="0"/>
                <w:sz w:val="17"/>
                <w:rFonts w:eastAsia="宋体"/>
              </w:rPr>
              <w:t>60</w:t>
            </w:r>
          </w:p>
        </w:tc>
        <w:tc>
          <w:tcPr>
            <w:tcW w:type="dxa" w:w="1170"/>
            <w:vAlign w:val="center"/>
          </w:tcPr>
          <w:p>
            <w:pPr>
              <w:spacing w:after="0"/>
              <w:jc w:val="center"/>
            </w:pPr>
            <w:r/>
            <w:r>
              <w:rPr>
                <w:b w:val="0"/>
                <w:sz w:val="17"/>
                <w:rFonts w:eastAsia="宋体"/>
              </w:rPr>
              <w:t>24</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CP</w:t>
            </w:r>
          </w:p>
        </w:tc>
        <w:tc>
          <w:tcPr>
            <w:tcW w:type="dxa" w:w="1170"/>
            <w:vAlign w:val="center"/>
          </w:tcPr>
          <w:p>
            <w:pPr>
              <w:spacing w:after="0"/>
              <w:jc w:val="center"/>
            </w:pPr>
            <w:r/>
            <w:r>
              <w:rPr>
                <w:b w:val="0"/>
                <w:sz w:val="17"/>
                <w:rFonts w:eastAsia="宋体"/>
              </w:rPr>
              <w:t>1.847</w:t>
            </w:r>
          </w:p>
        </w:tc>
        <w:tc>
          <w:tcPr>
            <w:tcW w:type="dxa" w:w="1170"/>
            <w:vAlign w:val="center"/>
          </w:tcPr>
          <w:p>
            <w:pPr>
              <w:spacing w:after="0"/>
              <w:jc w:val="center"/>
            </w:pPr>
            <w:r/>
            <w:r>
              <w:rPr>
                <w:b w:val="0"/>
                <w:sz w:val="17"/>
                <w:rFonts w:eastAsia="宋体"/>
              </w:rPr>
              <w:t>81</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22.64</w:t>
            </w:r>
          </w:p>
        </w:tc>
        <w:tc>
          <w:tcPr>
            <w:tcW w:type="dxa" w:w="1170"/>
            <w:vAlign w:val="center"/>
          </w:tcPr>
          <w:p>
            <w:pPr>
              <w:spacing w:after="0"/>
              <w:jc w:val="center"/>
            </w:pPr>
            <w:r/>
            <w:r>
              <w:rPr>
                <w:b w:val="0"/>
                <w:sz w:val="17"/>
                <w:rFonts w:eastAsia="宋体"/>
              </w:rPr>
              <w:t>62</w:t>
            </w:r>
          </w:p>
        </w:tc>
        <w:tc>
          <w:tcPr>
            <w:tcW w:type="dxa" w:w="1170"/>
            <w:vAlign w:val="center"/>
          </w:tcPr>
          <w:p>
            <w:pPr>
              <w:spacing w:after="0"/>
              <w:jc w:val="center"/>
            </w:pPr>
            <w:r/>
            <w:r>
              <w:rPr>
                <w:b w:val="0"/>
                <w:sz w:val="17"/>
                <w:rFonts w:eastAsia="宋体"/>
              </w:rPr>
              <w:t>22</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QRA</w:t>
            </w:r>
          </w:p>
        </w:tc>
        <w:tc>
          <w:tcPr>
            <w:tcW w:type="dxa" w:w="1170"/>
            <w:vAlign w:val="center"/>
          </w:tcPr>
          <w:p>
            <w:pPr>
              <w:spacing w:after="0"/>
              <w:jc w:val="center"/>
            </w:pPr>
            <w:r/>
            <w:r>
              <w:rPr>
                <w:b w:val="0"/>
                <w:sz w:val="17"/>
                <w:rFonts w:eastAsia="宋体"/>
              </w:rPr>
              <w:t>1.861</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12</w:t>
            </w:r>
          </w:p>
        </w:tc>
        <w:tc>
          <w:tcPr>
            <w:tcW w:type="dxa" w:w="1170"/>
            <w:vAlign w:val="center"/>
          </w:tcPr>
          <w:p>
            <w:pPr>
              <w:spacing w:after="0"/>
              <w:jc w:val="center"/>
            </w:pPr>
            <w:r/>
            <w:r>
              <w:rPr>
                <w:b w:val="0"/>
                <w:sz w:val="17"/>
                <w:rFonts w:eastAsia="宋体"/>
              </w:rPr>
              <w:t>23.07</w:t>
            </w:r>
          </w:p>
        </w:tc>
        <w:tc>
          <w:tcPr>
            <w:tcW w:type="dxa" w:w="1170"/>
            <w:vAlign w:val="center"/>
          </w:tcPr>
          <w:p>
            <w:pPr>
              <w:spacing w:after="0"/>
              <w:jc w:val="center"/>
            </w:pPr>
            <w:r/>
            <w:r>
              <w:rPr>
                <w:b w:val="0"/>
                <w:sz w:val="17"/>
                <w:rFonts w:eastAsia="宋体"/>
              </w:rPr>
              <w:t>57</w:t>
            </w:r>
          </w:p>
        </w:tc>
        <w:tc>
          <w:tcPr>
            <w:tcW w:type="dxa" w:w="1170"/>
            <w:vAlign w:val="center"/>
          </w:tcPr>
          <w:p>
            <w:pPr>
              <w:spacing w:after="0"/>
              <w:jc w:val="center"/>
            </w:pPr>
            <w:r/>
            <w:r>
              <w:rPr>
                <w:b w:val="0"/>
                <w:sz w:val="17"/>
                <w:rFonts w:eastAsia="宋体"/>
              </w:rPr>
              <w:t>12</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QR</w:t>
            </w:r>
          </w:p>
        </w:tc>
        <w:tc>
          <w:tcPr>
            <w:tcW w:type="dxa" w:w="1170"/>
            <w:vAlign w:val="center"/>
          </w:tcPr>
          <w:p>
            <w:pPr>
              <w:spacing w:after="0"/>
              <w:jc w:val="center"/>
            </w:pPr>
            <w:r/>
            <w:r>
              <w:rPr>
                <w:b w:val="0"/>
                <w:sz w:val="17"/>
                <w:rFonts w:eastAsia="宋体"/>
              </w:rPr>
              <w:t>1.806</w:t>
            </w:r>
          </w:p>
        </w:tc>
        <w:tc>
          <w:tcPr>
            <w:tcW w:type="dxa" w:w="1170"/>
            <w:vAlign w:val="center"/>
          </w:tcPr>
          <w:p>
            <w:pPr>
              <w:spacing w:after="0"/>
              <w:jc w:val="center"/>
            </w:pPr>
            <w:r/>
            <w:r>
              <w:rPr>
                <w:b w:val="0"/>
                <w:sz w:val="17"/>
                <w:rFonts w:eastAsia="宋体"/>
              </w:rPr>
              <w:t>73</w:t>
            </w:r>
          </w:p>
        </w:tc>
        <w:tc>
          <w:tcPr>
            <w:tcW w:type="dxa" w:w="1170"/>
            <w:vAlign w:val="center"/>
          </w:tcPr>
          <w:p>
            <w:pPr>
              <w:spacing w:after="0"/>
              <w:jc w:val="center"/>
            </w:pPr>
            <w:r/>
            <w:r>
              <w:rPr>
                <w:b w:val="0"/>
                <w:sz w:val="17"/>
                <w:rFonts w:eastAsia="宋体"/>
              </w:rPr>
              <w:t>6</w:t>
            </w:r>
          </w:p>
        </w:tc>
        <w:tc>
          <w:tcPr>
            <w:tcW w:type="dxa" w:w="1170"/>
            <w:vAlign w:val="center"/>
          </w:tcPr>
          <w:p>
            <w:pPr>
              <w:spacing w:after="0"/>
              <w:jc w:val="center"/>
            </w:pPr>
            <w:r/>
            <w:r>
              <w:rPr>
                <w:b w:val="0"/>
                <w:sz w:val="17"/>
                <w:rFonts w:eastAsia="宋体"/>
              </w:rPr>
              <w:t>22.07</w:t>
            </w:r>
          </w:p>
        </w:tc>
        <w:tc>
          <w:tcPr>
            <w:tcW w:type="dxa" w:w="1170"/>
            <w:vAlign w:val="center"/>
          </w:tcPr>
          <w:p>
            <w:pPr>
              <w:spacing w:after="0"/>
              <w:jc w:val="center"/>
            </w:pPr>
            <w:r/>
            <w:r>
              <w:rPr>
                <w:b w:val="0"/>
                <w:sz w:val="17"/>
                <w:rFonts w:eastAsia="宋体"/>
              </w:rPr>
              <w:t>53</w:t>
            </w:r>
          </w:p>
        </w:tc>
        <w:tc>
          <w:tcPr>
            <w:tcW w:type="dxa" w:w="1170"/>
            <w:vAlign w:val="center"/>
          </w:tcPr>
          <w:p>
            <w:pPr>
              <w:spacing w:after="0"/>
              <w:jc w:val="center"/>
            </w:pPr>
            <w:r/>
            <w:r>
              <w:rPr>
                <w:b w:val="0"/>
                <w:sz w:val="17"/>
                <w:rFonts w:eastAsia="宋体"/>
              </w:rPr>
              <w:t>6</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CQR</w:t>
            </w:r>
          </w:p>
        </w:tc>
        <w:tc>
          <w:tcPr>
            <w:tcW w:type="dxa" w:w="1170"/>
            <w:vAlign w:val="center"/>
          </w:tcPr>
          <w:p>
            <w:pPr>
              <w:spacing w:after="0"/>
              <w:jc w:val="center"/>
            </w:pPr>
            <w:r/>
            <w:r>
              <w:rPr>
                <w:b w:val="0"/>
                <w:sz w:val="17"/>
                <w:rFonts w:eastAsia="宋体"/>
              </w:rPr>
              <w:t>1.804</w:t>
            </w:r>
          </w:p>
        </w:tc>
        <w:tc>
          <w:tcPr>
            <w:tcW w:type="dxa" w:w="1170"/>
            <w:vAlign w:val="center"/>
          </w:tcPr>
          <w:p>
            <w:pPr>
              <w:spacing w:after="0"/>
              <w:jc w:val="center"/>
            </w:pPr>
            <w:r/>
            <w:r>
              <w:rPr>
                <w:b w:val="0"/>
                <w:sz w:val="17"/>
                <w:rFonts w:eastAsia="宋体"/>
              </w:rPr>
              <w:t>77</w:t>
            </w:r>
          </w:p>
        </w:tc>
        <w:tc>
          <w:tcPr>
            <w:tcW w:type="dxa" w:w="1170"/>
            <w:vAlign w:val="center"/>
          </w:tcPr>
          <w:p>
            <w:pPr>
              <w:spacing w:after="0"/>
              <w:jc w:val="center"/>
            </w:pPr>
            <w:r/>
            <w:r>
              <w:rPr>
                <w:b w:val="0"/>
                <w:sz w:val="17"/>
                <w:rFonts w:eastAsia="宋体"/>
              </w:rPr>
              <w:t>19</w:t>
            </w:r>
          </w:p>
        </w:tc>
        <w:tc>
          <w:tcPr>
            <w:tcW w:type="dxa" w:w="1170"/>
            <w:vAlign w:val="center"/>
          </w:tcPr>
          <w:p>
            <w:pPr>
              <w:spacing w:after="0"/>
              <w:jc w:val="center"/>
            </w:pPr>
            <w:r/>
            <w:r>
              <w:rPr>
                <w:b w:val="0"/>
                <w:sz w:val="17"/>
                <w:rFonts w:eastAsia="宋体"/>
              </w:rPr>
              <w:t>21.89</w:t>
            </w:r>
          </w:p>
        </w:tc>
        <w:tc>
          <w:tcPr>
            <w:tcW w:type="dxa" w:w="1170"/>
            <w:vAlign w:val="center"/>
          </w:tcPr>
          <w:p>
            <w:pPr>
              <w:spacing w:after="0"/>
              <w:jc w:val="center"/>
            </w:pPr>
            <w:r/>
            <w:r>
              <w:rPr>
                <w:b w:val="0"/>
                <w:sz w:val="17"/>
                <w:rFonts w:eastAsia="宋体"/>
              </w:rPr>
              <w:t>57</w:t>
            </w:r>
          </w:p>
        </w:tc>
        <w:tc>
          <w:tcPr>
            <w:tcW w:type="dxa" w:w="1170"/>
            <w:vAlign w:val="center"/>
          </w:tcPr>
          <w:p>
            <w:pPr>
              <w:spacing w:after="0"/>
              <w:jc w:val="center"/>
            </w:pPr>
            <w:r/>
            <w:r>
              <w:rPr>
                <w:b w:val="0"/>
                <w:sz w:val="17"/>
                <w:rFonts w:eastAsia="宋体"/>
              </w:rPr>
              <w:t>21</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OCQR</w:t>
            </w:r>
          </w:p>
        </w:tc>
        <w:tc>
          <w:tcPr>
            <w:tcW w:type="dxa" w:w="1170"/>
            <w:vAlign w:val="center"/>
          </w:tcPr>
          <w:p>
            <w:pPr>
              <w:spacing w:after="0"/>
              <w:jc w:val="center"/>
            </w:pPr>
            <w:r/>
            <w:r>
              <w:rPr>
                <w:b w:val="0"/>
                <w:sz w:val="17"/>
                <w:rFonts w:eastAsia="宋体"/>
              </w:rPr>
              <w:t>1.803</w:t>
            </w:r>
          </w:p>
        </w:tc>
        <w:tc>
          <w:tcPr>
            <w:tcW w:type="dxa" w:w="1170"/>
            <w:vAlign w:val="center"/>
          </w:tcPr>
          <w:p>
            <w:pPr>
              <w:spacing w:after="0"/>
              <w:jc w:val="center"/>
            </w:pPr>
            <w:r/>
            <w:r>
              <w:rPr>
                <w:b w:val="0"/>
                <w:sz w:val="17"/>
                <w:rFonts w:eastAsia="宋体"/>
              </w:rPr>
              <w:t>80</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21.79</w:t>
            </w:r>
          </w:p>
        </w:tc>
        <w:tc>
          <w:tcPr>
            <w:tcW w:type="dxa" w:w="1170"/>
            <w:vAlign w:val="center"/>
          </w:tcPr>
          <w:p>
            <w:pPr>
              <w:spacing w:after="0"/>
              <w:jc w:val="center"/>
            </w:pPr>
            <w:r/>
            <w:r>
              <w:rPr>
                <w:b w:val="0"/>
                <w:sz w:val="17"/>
                <w:rFonts w:eastAsia="宋体"/>
              </w:rPr>
              <w:t>60</w:t>
            </w:r>
          </w:p>
        </w:tc>
        <w:tc>
          <w:tcPr>
            <w:tcW w:type="dxa" w:w="1170"/>
            <w:vAlign w:val="center"/>
          </w:tcPr>
          <w:p>
            <w:pPr>
              <w:spacing w:after="0"/>
              <w:jc w:val="center"/>
            </w:pPr>
            <w:r/>
            <w:r>
              <w:rPr>
                <w:b w:val="0"/>
                <w:sz w:val="17"/>
                <w:rFonts w:eastAsia="宋体"/>
              </w:rPr>
              <w:t>24</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CP</w:t>
            </w:r>
          </w:p>
        </w:tc>
        <w:tc>
          <w:tcPr>
            <w:tcW w:type="dxa" w:w="1170"/>
            <w:vAlign w:val="center"/>
          </w:tcPr>
          <w:p>
            <w:pPr>
              <w:spacing w:after="0"/>
              <w:jc w:val="center"/>
            </w:pPr>
            <w:r/>
            <w:r>
              <w:rPr>
                <w:b w:val="0"/>
                <w:sz w:val="17"/>
                <w:rFonts w:eastAsia="宋体"/>
              </w:rPr>
              <w:t>2.258</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23</w:t>
            </w:r>
          </w:p>
        </w:tc>
        <w:tc>
          <w:tcPr>
            <w:tcW w:type="dxa" w:w="1170"/>
            <w:vAlign w:val="center"/>
          </w:tcPr>
          <w:p>
            <w:pPr>
              <w:spacing w:after="0"/>
              <w:jc w:val="center"/>
            </w:pPr>
            <w:r/>
            <w:r>
              <w:rPr>
                <w:b w:val="0"/>
                <w:sz w:val="17"/>
                <w:rFonts w:eastAsia="宋体"/>
              </w:rPr>
              <w:t>28.14</w:t>
            </w:r>
          </w:p>
        </w:tc>
        <w:tc>
          <w:tcPr>
            <w:tcW w:type="dxa" w:w="1170"/>
            <w:vAlign w:val="center"/>
          </w:tcPr>
          <w:p>
            <w:pPr>
              <w:spacing w:after="0"/>
              <w:jc w:val="center"/>
            </w:pPr>
            <w:r/>
            <w:r>
              <w:rPr>
                <w:b w:val="0"/>
                <w:sz w:val="17"/>
                <w:rFonts w:eastAsia="宋体"/>
              </w:rPr>
              <w:t>58</w:t>
            </w:r>
          </w:p>
        </w:tc>
        <w:tc>
          <w:tcPr>
            <w:tcW w:type="dxa" w:w="1170"/>
            <w:vAlign w:val="center"/>
          </w:tcPr>
          <w:p>
            <w:pPr>
              <w:spacing w:after="0"/>
              <w:jc w:val="center"/>
            </w:pPr>
            <w:r/>
            <w:r>
              <w:rPr>
                <w:b w:val="0"/>
                <w:sz w:val="17"/>
                <w:rFonts w:eastAsia="宋体"/>
              </w:rPr>
              <w:t>23</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QRA</w:t>
            </w:r>
          </w:p>
        </w:tc>
        <w:tc>
          <w:tcPr>
            <w:tcW w:type="dxa" w:w="1170"/>
            <w:vAlign w:val="center"/>
          </w:tcPr>
          <w:p>
            <w:pPr>
              <w:spacing w:after="0"/>
              <w:jc w:val="center"/>
            </w:pPr>
            <w:r/>
            <w:r>
              <w:rPr>
                <w:b w:val="0"/>
                <w:sz w:val="17"/>
                <w:rFonts w:eastAsia="宋体"/>
              </w:rPr>
              <w:t>2.261</w:t>
            </w:r>
          </w:p>
        </w:tc>
        <w:tc>
          <w:tcPr>
            <w:tcW w:type="dxa" w:w="1170"/>
            <w:vAlign w:val="center"/>
          </w:tcPr>
          <w:p>
            <w:pPr>
              <w:spacing w:after="0"/>
              <w:jc w:val="center"/>
            </w:pPr>
            <w:r/>
            <w:r>
              <w:rPr>
                <w:b w:val="0"/>
                <w:sz w:val="17"/>
                <w:rFonts w:eastAsia="宋体"/>
              </w:rPr>
              <w:t>76</w:t>
            </w:r>
          </w:p>
        </w:tc>
        <w:tc>
          <w:tcPr>
            <w:tcW w:type="dxa" w:w="1170"/>
            <w:vAlign w:val="center"/>
          </w:tcPr>
          <w:p>
            <w:pPr>
              <w:spacing w:after="0"/>
              <w:jc w:val="center"/>
            </w:pPr>
            <w:r/>
            <w:r>
              <w:rPr>
                <w:b w:val="0"/>
                <w:sz w:val="17"/>
                <w:rFonts w:eastAsia="宋体"/>
              </w:rPr>
              <w:t>9</w:t>
            </w:r>
          </w:p>
        </w:tc>
        <w:tc>
          <w:tcPr>
            <w:tcW w:type="dxa" w:w="1170"/>
            <w:vAlign w:val="center"/>
          </w:tcPr>
          <w:p>
            <w:pPr>
              <w:spacing w:after="0"/>
              <w:jc w:val="center"/>
            </w:pPr>
            <w:r/>
            <w:r>
              <w:rPr>
                <w:b w:val="0"/>
                <w:sz w:val="17"/>
                <w:rFonts w:eastAsia="宋体"/>
              </w:rPr>
              <w:t>28.53</w:t>
            </w:r>
          </w:p>
        </w:tc>
        <w:tc>
          <w:tcPr>
            <w:tcW w:type="dxa" w:w="1170"/>
            <w:vAlign w:val="center"/>
          </w:tcPr>
          <w:p>
            <w:pPr>
              <w:spacing w:after="0"/>
              <w:jc w:val="center"/>
            </w:pPr>
            <w:r/>
            <w:r>
              <w:rPr>
                <w:b w:val="0"/>
                <w:sz w:val="17"/>
                <w:rFonts w:eastAsia="宋体"/>
              </w:rPr>
              <w:t>55</w:t>
            </w:r>
          </w:p>
        </w:tc>
        <w:tc>
          <w:tcPr>
            <w:tcW w:type="dxa" w:w="1170"/>
            <w:vAlign w:val="center"/>
          </w:tcPr>
          <w:p>
            <w:pPr>
              <w:spacing w:after="0"/>
              <w:jc w:val="center"/>
            </w:pPr>
            <w:r/>
            <w:r>
              <w:rPr>
                <w:b w:val="0"/>
                <w:sz w:val="17"/>
                <w:rFonts w:eastAsia="宋体"/>
              </w:rPr>
              <w:t>10</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QR</w:t>
            </w:r>
          </w:p>
        </w:tc>
        <w:tc>
          <w:tcPr>
            <w:tcW w:type="dxa" w:w="1170"/>
            <w:vAlign w:val="center"/>
          </w:tcPr>
          <w:p>
            <w:pPr>
              <w:spacing w:after="0"/>
              <w:jc w:val="center"/>
            </w:pPr>
            <w:r/>
            <w:r>
              <w:rPr>
                <w:b w:val="0"/>
                <w:sz w:val="17"/>
                <w:rFonts w:eastAsia="宋体"/>
              </w:rPr>
              <w:t>2.275</w:t>
            </w:r>
          </w:p>
        </w:tc>
        <w:tc>
          <w:tcPr>
            <w:tcW w:type="dxa" w:w="1170"/>
            <w:vAlign w:val="center"/>
          </w:tcPr>
          <w:p>
            <w:pPr>
              <w:spacing w:after="0"/>
              <w:jc w:val="center"/>
            </w:pPr>
            <w:r/>
            <w:r>
              <w:rPr>
                <w:b w:val="0"/>
                <w:sz w:val="17"/>
                <w:rFonts w:eastAsia="宋体"/>
              </w:rPr>
              <w:t>71</w:t>
            </w:r>
          </w:p>
        </w:tc>
        <w:tc>
          <w:tcPr>
            <w:tcW w:type="dxa" w:w="1170"/>
            <w:vAlign w:val="center"/>
          </w:tcPr>
          <w:p>
            <w:pPr>
              <w:spacing w:after="0"/>
              <w:jc w:val="center"/>
            </w:pPr>
            <w:r/>
            <w:r>
              <w:rPr>
                <w:b w:val="0"/>
                <w:sz w:val="17"/>
                <w:rFonts w:eastAsia="宋体"/>
              </w:rPr>
              <w:t>3</w:t>
            </w:r>
          </w:p>
        </w:tc>
        <w:tc>
          <w:tcPr>
            <w:tcW w:type="dxa" w:w="1170"/>
            <w:vAlign w:val="center"/>
          </w:tcPr>
          <w:p>
            <w:pPr>
              <w:spacing w:after="0"/>
              <w:jc w:val="center"/>
            </w:pPr>
            <w:r/>
            <w:r>
              <w:rPr>
                <w:b w:val="0"/>
                <w:sz w:val="17"/>
                <w:rFonts w:eastAsia="宋体"/>
              </w:rPr>
              <w:t>28.58</w:t>
            </w:r>
          </w:p>
        </w:tc>
        <w:tc>
          <w:tcPr>
            <w:tcW w:type="dxa" w:w="1170"/>
            <w:vAlign w:val="center"/>
          </w:tcPr>
          <w:p>
            <w:pPr>
              <w:spacing w:after="0"/>
              <w:jc w:val="center"/>
            </w:pPr>
            <w:r/>
            <w:r>
              <w:rPr>
                <w:b w:val="0"/>
                <w:sz w:val="17"/>
                <w:rFonts w:eastAsia="宋体"/>
              </w:rPr>
              <w:t>51</w:t>
            </w:r>
          </w:p>
        </w:tc>
        <w:tc>
          <w:tcPr>
            <w:tcW w:type="dxa" w:w="1170"/>
            <w:vAlign w:val="center"/>
          </w:tcPr>
          <w:p>
            <w:pPr>
              <w:spacing w:after="0"/>
              <w:jc w:val="center"/>
            </w:pPr>
            <w:r/>
            <w:r>
              <w:rPr>
                <w:b w:val="0"/>
                <w:sz w:val="17"/>
                <w:rFonts w:eastAsia="宋体"/>
              </w:rPr>
              <w:t>6</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CQR</w:t>
            </w:r>
          </w:p>
        </w:tc>
        <w:tc>
          <w:tcPr>
            <w:tcW w:type="dxa" w:w="1170"/>
            <w:vAlign w:val="center"/>
          </w:tcPr>
          <w:p>
            <w:pPr>
              <w:spacing w:after="0"/>
              <w:jc w:val="center"/>
            </w:pPr>
            <w:r/>
            <w:r>
              <w:rPr>
                <w:b w:val="0"/>
                <w:sz w:val="17"/>
                <w:rFonts w:eastAsia="宋体"/>
              </w:rPr>
              <w:t>2.255</w:t>
            </w:r>
          </w:p>
        </w:tc>
        <w:tc>
          <w:tcPr>
            <w:tcW w:type="dxa" w:w="1170"/>
            <w:vAlign w:val="center"/>
          </w:tcPr>
          <w:p>
            <w:pPr>
              <w:spacing w:after="0"/>
              <w:jc w:val="center"/>
            </w:pPr>
            <w:r/>
            <w:r>
              <w:rPr>
                <w:b w:val="0"/>
                <w:sz w:val="17"/>
                <w:rFonts w:eastAsia="宋体"/>
              </w:rPr>
              <w:t>75</w:t>
            </w:r>
          </w:p>
        </w:tc>
        <w:tc>
          <w:tcPr>
            <w:tcW w:type="dxa" w:w="1170"/>
            <w:vAlign w:val="center"/>
          </w:tcPr>
          <w:p>
            <w:pPr>
              <w:spacing w:after="0"/>
              <w:jc w:val="center"/>
            </w:pPr>
            <w:r/>
            <w:r>
              <w:rPr>
                <w:b w:val="0"/>
                <w:sz w:val="17"/>
                <w:rFonts w:eastAsia="宋体"/>
              </w:rPr>
              <w:t>5</w:t>
            </w:r>
          </w:p>
        </w:tc>
        <w:tc>
          <w:tcPr>
            <w:tcW w:type="dxa" w:w="1170"/>
            <w:vAlign w:val="center"/>
          </w:tcPr>
          <w:p>
            <w:pPr>
              <w:spacing w:after="0"/>
              <w:jc w:val="center"/>
            </w:pPr>
            <w:r/>
            <w:r>
              <w:rPr>
                <w:b w:val="0"/>
                <w:sz w:val="17"/>
                <w:rFonts w:eastAsia="宋体"/>
              </w:rPr>
              <w:t>27.89</w:t>
            </w:r>
          </w:p>
        </w:tc>
        <w:tc>
          <w:tcPr>
            <w:tcW w:type="dxa" w:w="1170"/>
            <w:vAlign w:val="center"/>
          </w:tcPr>
          <w:p>
            <w:pPr>
              <w:spacing w:after="0"/>
              <w:jc w:val="center"/>
            </w:pPr>
            <w:r/>
            <w:r>
              <w:rPr>
                <w:b w:val="0"/>
                <w:sz w:val="17"/>
                <w:rFonts w:eastAsia="宋体"/>
              </w:rPr>
              <w:t>55</w:t>
            </w:r>
          </w:p>
        </w:tc>
        <w:tc>
          <w:tcPr>
            <w:tcW w:type="dxa" w:w="1170"/>
            <w:vAlign w:val="center"/>
          </w:tcPr>
          <w:p>
            <w:pPr>
              <w:spacing w:after="0"/>
              <w:jc w:val="center"/>
            </w:pPr>
            <w:r/>
            <w:r>
              <w:rPr>
                <w:b w:val="0"/>
                <w:sz w:val="17"/>
                <w:rFonts w:eastAsia="宋体"/>
              </w:rPr>
              <w:t>9</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OCQR</w:t>
            </w:r>
          </w:p>
        </w:tc>
        <w:tc>
          <w:tcPr>
            <w:tcW w:type="dxa" w:w="1170"/>
            <w:vAlign w:val="center"/>
          </w:tcPr>
          <w:p>
            <w:pPr>
              <w:spacing w:after="0"/>
              <w:jc w:val="center"/>
            </w:pPr>
            <w:r/>
            <w:r>
              <w:rPr>
                <w:b w:val="0"/>
                <w:sz w:val="17"/>
                <w:rFonts w:eastAsia="宋体"/>
              </w:rPr>
              <w:t>2.251</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21</w:t>
            </w:r>
          </w:p>
        </w:tc>
        <w:tc>
          <w:tcPr>
            <w:tcW w:type="dxa" w:w="1170"/>
            <w:vAlign w:val="center"/>
          </w:tcPr>
          <w:p>
            <w:pPr>
              <w:spacing w:after="0"/>
              <w:jc w:val="center"/>
            </w:pPr>
            <w:r/>
            <w:r>
              <w:rPr>
                <w:b w:val="0"/>
                <w:sz w:val="17"/>
                <w:rFonts w:eastAsia="宋体"/>
              </w:rPr>
              <w:t>27.66</w:t>
            </w:r>
          </w:p>
        </w:tc>
        <w:tc>
          <w:tcPr>
            <w:tcW w:type="dxa" w:w="1170"/>
            <w:vAlign w:val="center"/>
          </w:tcPr>
          <w:p>
            <w:pPr>
              <w:spacing w:after="0"/>
              <w:jc w:val="center"/>
            </w:pPr>
            <w:r/>
            <w:r>
              <w:rPr>
                <w:b w:val="0"/>
                <w:sz w:val="17"/>
                <w:rFonts w:eastAsia="宋体"/>
              </w:rPr>
              <w:t>58</w:t>
            </w:r>
          </w:p>
        </w:tc>
        <w:tc>
          <w:tcPr>
            <w:tcW w:type="dxa" w:w="1170"/>
            <w:vAlign w:val="center"/>
          </w:tcPr>
          <w:p>
            <w:pPr>
              <w:spacing w:after="0"/>
              <w:jc w:val="center"/>
            </w:pPr>
            <w:r/>
            <w:r>
              <w:rPr>
                <w:b w:val="0"/>
                <w:sz w:val="17"/>
                <w:rFonts w:eastAsia="宋体"/>
              </w:rPr>
              <w:t>24</w:t>
            </w:r>
          </w:p>
        </w:tc>
      </w:tr>
    </w:tbl>
    <w:p>
      <w:pPr>
        <w:pStyle w:val="Heading2"/>
      </w:pPr>
      <w:r>
        <w:t>6.3 新方法结果</w:t>
      </w:r>
    </w:p>
    <w:p>
      <w:pPr>
        <w:pStyle w:val="Heading2"/>
      </w:pPr>
      <w:r>
        <w:t>6.4 消融实验：OCQ、H-OCQ 与 HV-OCQ 对比</w:t>
      </w:r>
    </w:p>
    <w:p>
      <w:pPr>
        <w:pStyle w:val="Heading2"/>
      </w:pPr>
      <w:r>
        <w:t>6.5 高波动时段分析</w:t>
      </w:r>
    </w:p>
    <w:p>
      <w:pPr>
        <w:pStyle w:val="Heading2"/>
      </w:pPr>
      <w:r>
        <w:t>6.6 DM 显著性检验</w:t>
      </w:r>
    </w:p>
    <w:p>
      <w:pPr>
        <w:pStyle w:val="Heading1"/>
      </w:pPr>
      <w:r>
        <w:t>7 结论与下一步工作</w:t>
      </w:r>
    </w:p>
    <w:p>
      <w:r>
        <w:rPr>
          <w:rFonts w:eastAsia="宋体"/>
        </w:rPr>
        <w:t>本文已经将论文主线调整为“基准论文复现/继承 + 针对性缺陷诊断 + 新校准方法改进”。当前已完成的工作证明，在线共形校准作为强基线在 Kupiec 分小时覆盖检验上具有明显优势；同时，分小时 PICP 诊断也说明日前电价概率预测仍存在小时层面的局部校准差异。</w:t>
      </w:r>
    </w:p>
    <w:p>
      <w:r>
        <w:rPr>
          <w:rFonts w:eastAsia="宋体"/>
        </w:rPr>
        <w:t>下一步应优先完成三项工作：第一，实现 H-OCQ，验证按小时维护校准误差是否改善分小时覆盖；第二，实现 HV-OCQ，验证波动感知机制是否改善高波动时段的覆盖与区间效率；第三，在同一实验框架下重新导出主结果、消融实验、波动状态分析和 DM 检验，最终形成完整论文闭环。</w:t>
      </w:r>
    </w:p>
    <w:p>
      <w:pPr>
        <w:pStyle w:val="Heading1"/>
      </w:pPr>
      <w:r>
        <w:t>参考文献</w:t>
      </w:r>
    </w:p>
    <w:p>
      <w:pPr>
        <w:ind w:hanging="360" w:left="360"/>
      </w:pPr>
      <w:r>
        <w:rPr>
          <w:rFonts w:eastAsia="宋体"/>
        </w:rPr>
        <w:t>[1] Brusaferri A, Ballarino A, Grossi L, Laurini F. On-line conformalized neural networks ensembles for probabilistic forecasting of day-ahead electricity prices[J]. Applied Energy, 2025, 398: 126412. DOI: 10.1016/j.apenergy.2025.126412.</w:t>
      </w:r>
    </w:p>
    <w:p>
      <w:pPr>
        <w:ind w:hanging="360" w:left="360"/>
      </w:pPr>
      <w:r>
        <w:rPr>
          <w:rFonts w:eastAsia="宋体"/>
        </w:rPr>
        <w:t>[2] Weron R. Electricity price forecasting: A review of the state-of-the-art with a look into the future[J]. International Journal of Forecasting, 2014, 30(4): 1030-1081.</w:t>
      </w:r>
    </w:p>
    <w:p>
      <w:pPr>
        <w:ind w:hanging="360" w:left="360"/>
      </w:pPr>
      <w:r>
        <w:rPr>
          <w:rFonts w:eastAsia="宋体"/>
        </w:rPr>
        <w:t>[3] Lago J, Marcjasz G, De Schutter B, Weron R. Forecasting day-ahead electricity prices: A review of state-of-the-art algorithms, best practices and an open-access benchmark[J]. Applied Energy, 2021, 293: 116983.</w:t>
      </w:r>
    </w:p>
    <w:p>
      <w:pPr>
        <w:ind w:hanging="360" w:left="360"/>
      </w:pPr>
      <w:r>
        <w:rPr>
          <w:rFonts w:eastAsia="宋体"/>
        </w:rPr>
        <w:t>[4] Lipiecki A, Uniejewski B, Weron R. Postprocessing of point predictions for probabilistic forecasting of day-ahead electricity prices: The benefits of using isotonic distributional regression[J]. Energy Economics, 2024, 139: 107934.</w:t>
      </w:r>
    </w:p>
    <w:p>
      <w:pPr>
        <w:ind w:hanging="360" w:left="360"/>
      </w:pPr>
      <w:r>
        <w:rPr>
          <w:rFonts w:eastAsia="宋体"/>
        </w:rPr>
        <w:t>[5] O'Connor C, Bahloul M, Rossi R, Prestwich S, Visentin A. Conformal Prediction for electricity price forecasting in the day-ahead and real-time balancing market[J]. Energy and AI, 2025, 21: 100571.</w:t>
      </w:r>
    </w:p>
    <w:p>
      <w:pPr>
        <w:ind w:hanging="360" w:left="360"/>
      </w:pPr>
      <w:r>
        <w:rPr>
          <w:rFonts w:eastAsia="宋体"/>
        </w:rPr>
        <w:t>[6] Wang X, Hyndman R J. Online conformal inference for multi-step time series forecasting[EB/OL]. arXiv:2410.13115, 2024.</w:t>
      </w:r>
    </w:p>
    <w:p>
      <w:pPr>
        <w:ind w:hanging="360" w:left="360"/>
      </w:pPr>
      <w:r>
        <w:rPr>
          <w:rFonts w:eastAsia="宋体"/>
        </w:rPr>
        <w:t>[7] Angelopoulos A N, Candes E J, Tibshirani R J. Conformal PID Control for Time Series Prediction[EB/OL]. arXiv:2307.16895, 2023.</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Fonts w:eastAsia="宋体"/>
      </w:rPr>
      <w:t>框架修订版｜复现诊断主线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