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410F6">
      <w:pPr>
        <w:pStyle w:val="2"/>
        <w:bidi w:val="0"/>
        <w:rPr>
          <w:rFonts w:hint="default"/>
          <w:lang w:val="en-US" w:eastAsia="zh-CN"/>
        </w:rPr>
      </w:pPr>
      <w:bookmarkStart w:id="0" w:name="_Toc136895957"/>
      <w:bookmarkStart w:id="1" w:name="_Toc6871"/>
      <w:r>
        <w:rPr>
          <w:lang w:val="en-US" w:eastAsia="zh-CN"/>
        </w:rPr>
        <w:t>第四章</w:t>
      </w:r>
      <w:r>
        <w:rPr>
          <w:rFonts w:hint="eastAsia"/>
          <w:lang w:val="en-US" w:eastAsia="zh-CN"/>
        </w:rPr>
        <w:t xml:space="preserve">  </w:t>
      </w:r>
      <w:bookmarkEnd w:id="0"/>
      <w:r>
        <w:rPr>
          <w:rFonts w:hint="eastAsia"/>
          <w:lang w:val="en-US" w:eastAsia="zh-CN"/>
        </w:rPr>
        <w:t>落实新质生产力重要论述的现实路径</w:t>
      </w:r>
      <w:bookmarkEnd w:id="1"/>
    </w:p>
    <w:p w14:paraId="39EC49C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宋体" w:hAnsi="宋体" w:eastAsia="宋体" w:cs="Times New Roman"/>
          <w:color w:val="0000FF"/>
          <w:kern w:val="2"/>
          <w:sz w:val="24"/>
          <w:szCs w:val="24"/>
          <w:lang w:val="en-US" w:eastAsia="zh-CN" w:bidi="ar-SA"/>
        </w:rPr>
      </w:pPr>
      <w:r>
        <w:rPr>
          <w:rFonts w:hint="eastAsia" w:ascii="宋体" w:hAnsi="宋体" w:eastAsia="宋体" w:cs="Times New Roman"/>
          <w:kern w:val="2"/>
          <w:sz w:val="24"/>
          <w:szCs w:val="24"/>
          <w:lang w:val="en-US" w:eastAsia="zh-CN" w:bidi="ar-SA"/>
        </w:rPr>
        <w:t>任何思想理论体系都根植于特定的社会实践土壤，并在指导实践的过程中不断检验其真理性，从而彰显其时代价值与生命力，实现从初步构建到系统完善的历史演进。习近平关于新质生产力的重要论述为推动新时代高质量发展提供了鲜明的实践指向，应以全面深化改革推动这一论述的落地落实。具体来讲，可从</w:t>
      </w:r>
      <w:r>
        <w:rPr>
          <w:rFonts w:hint="eastAsia" w:ascii="宋体" w:hAnsi="宋体" w:eastAsia="宋体" w:cs="Times New Roman"/>
          <w:color w:val="000000" w:themeColor="text1"/>
          <w:kern w:val="2"/>
          <w:sz w:val="24"/>
          <w:szCs w:val="24"/>
          <w:lang w:val="en-US" w:eastAsia="zh-CN" w:bidi="ar-SA"/>
          <w14:textFill>
            <w14:solidFill>
              <w14:schemeClr w14:val="tx1"/>
            </w14:solidFill>
          </w14:textFill>
        </w:rPr>
        <w:t>深化科技体制改革，筑牢</w:t>
      </w:r>
      <w:r>
        <w:rPr>
          <w:rFonts w:hint="default" w:ascii="宋体" w:hAnsi="宋体" w:eastAsia="宋体" w:cs="Times New Roman"/>
          <w:color w:val="000000" w:themeColor="text1"/>
          <w:kern w:val="2"/>
          <w:sz w:val="24"/>
          <w:szCs w:val="24"/>
          <w:lang w:val="en-US" w:eastAsia="zh-CN" w:bidi="ar-SA"/>
          <w14:textFill>
            <w14:solidFill>
              <w14:schemeClr w14:val="tx1"/>
            </w14:solidFill>
          </w14:textFill>
        </w:rPr>
        <w:t>发展新质生产力的科技支撑</w:t>
      </w:r>
      <w:r>
        <w:rPr>
          <w:rFonts w:hint="eastAsia" w:ascii="宋体" w:hAnsi="宋体" w:eastAsia="宋体" w:cs="Times New Roman"/>
          <w:color w:val="000000" w:themeColor="text1"/>
          <w:kern w:val="2"/>
          <w:sz w:val="24"/>
          <w:szCs w:val="24"/>
          <w:lang w:val="en-US" w:eastAsia="zh-CN" w:bidi="ar-SA"/>
          <w14:textFill>
            <w14:solidFill>
              <w14:schemeClr w14:val="tx1"/>
            </w14:solidFill>
          </w14:textFill>
        </w:rPr>
        <w:t>；建设现代化产业体系，增强发展新质生产力的载体支撑；深化教育与人才机制改革，夯实发展新质生产力的人才基础；扩大高水平对外开放，营造发展新质生产力的有利环境四个方面着手。</w:t>
      </w:r>
    </w:p>
    <w:p w14:paraId="68E91987">
      <w:pPr>
        <w:pStyle w:val="3"/>
        <w:numPr>
          <w:ilvl w:val="0"/>
          <w:numId w:val="0"/>
        </w:numPr>
        <w:rPr>
          <w:rFonts w:hint="default"/>
          <w:lang w:val="en-US" w:eastAsia="zh-CN"/>
        </w:rPr>
      </w:pPr>
      <w:bookmarkStart w:id="2" w:name="_Toc7821"/>
      <w:r>
        <w:rPr>
          <w:rFonts w:hint="eastAsia" w:cstheme="majorBidi"/>
          <w:bCs/>
          <w:kern w:val="2"/>
          <w:sz w:val="28"/>
          <w:szCs w:val="32"/>
          <w:lang w:val="en-US" w:eastAsia="zh-CN" w:bidi="ar-SA"/>
        </w:rPr>
        <w:t>一、深化科技体制改革</w:t>
      </w:r>
      <w:r>
        <w:rPr>
          <w:rFonts w:hint="default"/>
          <w:lang w:val="en-US" w:eastAsia="zh-CN"/>
        </w:rPr>
        <w:t>，</w:t>
      </w:r>
      <w:r>
        <w:rPr>
          <w:rFonts w:hint="eastAsia"/>
          <w:lang w:val="en-US" w:eastAsia="zh-CN"/>
        </w:rPr>
        <w:t>筑牢</w:t>
      </w:r>
      <w:r>
        <w:rPr>
          <w:rFonts w:hint="default"/>
          <w:lang w:val="en-US" w:eastAsia="zh-CN"/>
        </w:rPr>
        <w:t>发展新质生产力的科技支撑</w:t>
      </w:r>
      <w:bookmarkEnd w:id="2"/>
    </w:p>
    <w:p w14:paraId="1939E80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科技创新是培育和形成新质生产力的关键所在。习近平强调，“当今世界，谁牵住了科技创新这个‘牛鼻子’，谁走好了科技创新这步先手棋，谁就能占领先机、赢得优势。”</w:t>
      </w:r>
      <w:r>
        <w:rPr>
          <w:rStyle w:val="9"/>
          <w:rFonts w:hint="eastAsia" w:ascii="宋体" w:hAnsi="宋体" w:eastAsia="宋体" w:cs="Times New Roman"/>
          <w:kern w:val="2"/>
          <w:sz w:val="24"/>
          <w:szCs w:val="24"/>
          <w:lang w:val="en-US" w:eastAsia="zh-CN" w:bidi="ar-SA"/>
        </w:rPr>
        <w:footnoteReference w:id="0"/>
      </w:r>
      <w:r>
        <w:rPr>
          <w:rFonts w:hint="eastAsia" w:ascii="宋体" w:hAnsi="宋体" w:eastAsia="宋体" w:cs="Times New Roman"/>
          <w:kern w:val="2"/>
          <w:sz w:val="24"/>
          <w:szCs w:val="24"/>
          <w:lang w:val="en-US" w:eastAsia="zh-CN" w:bidi="ar-SA"/>
        </w:rPr>
        <w:t>随着我国生产力的发展动力由要素投入转向创新驱动，我们必须深化科技体制改革，发挥好</w:t>
      </w:r>
      <w:r>
        <w:rPr>
          <w:rFonts w:hint="default" w:ascii="宋体" w:hAnsi="宋体" w:eastAsia="宋体" w:cs="Times New Roman"/>
          <w:kern w:val="2"/>
          <w:sz w:val="24"/>
          <w:szCs w:val="24"/>
          <w:lang w:val="en-US" w:eastAsia="zh-CN" w:bidi="ar-SA"/>
        </w:rPr>
        <w:t>新型举国体制</w:t>
      </w:r>
      <w:r>
        <w:rPr>
          <w:rFonts w:hint="eastAsia" w:ascii="宋体" w:hAnsi="宋体" w:eastAsia="宋体" w:cs="Times New Roman"/>
          <w:kern w:val="2"/>
          <w:sz w:val="24"/>
          <w:szCs w:val="24"/>
          <w:lang w:val="en-US" w:eastAsia="zh-CN" w:bidi="ar-SA"/>
        </w:rPr>
        <w:t>的独特优势，不断</w:t>
      </w:r>
      <w:r>
        <w:rPr>
          <w:rFonts w:hint="default" w:ascii="宋体" w:hAnsi="宋体" w:eastAsia="宋体" w:cs="Times New Roman"/>
          <w:kern w:val="2"/>
          <w:sz w:val="24"/>
          <w:szCs w:val="24"/>
          <w:lang w:val="en-US" w:eastAsia="zh-CN" w:bidi="ar-SA"/>
        </w:rPr>
        <w:t>完善国家科技治理体系</w:t>
      </w:r>
      <w:r>
        <w:rPr>
          <w:rFonts w:hint="eastAsia" w:ascii="宋体" w:hAnsi="宋体" w:eastAsia="宋体" w:cs="Times New Roman"/>
          <w:kern w:val="2"/>
          <w:sz w:val="24"/>
          <w:szCs w:val="24"/>
          <w:lang w:val="en-US" w:eastAsia="zh-CN" w:bidi="ar-SA"/>
        </w:rPr>
        <w:t>，发挥企业创新主体地位，为发展新质生产力提供强大的动力引擎。</w:t>
      </w:r>
    </w:p>
    <w:p w14:paraId="5D3B9FF2">
      <w:pPr>
        <w:pStyle w:val="4"/>
        <w:numPr>
          <w:ilvl w:val="0"/>
          <w:numId w:val="0"/>
        </w:numPr>
        <w:rPr>
          <w:rFonts w:hint="default"/>
          <w:lang w:val="en-US" w:eastAsia="zh-CN"/>
        </w:rPr>
      </w:pPr>
      <w:bookmarkStart w:id="3" w:name="_Toc17818"/>
      <w:r>
        <w:rPr>
          <w:rFonts w:hint="eastAsia"/>
          <w:lang w:val="en-US" w:eastAsia="zh-CN"/>
        </w:rPr>
        <w:t>（一）</w:t>
      </w:r>
      <w:r>
        <w:rPr>
          <w:rFonts w:hint="default"/>
          <w:lang w:val="en-US" w:eastAsia="zh-CN"/>
        </w:rPr>
        <w:t>健全关键核心技术攻关的新型举国体制</w:t>
      </w:r>
      <w:bookmarkEnd w:id="3"/>
    </w:p>
    <w:p w14:paraId="6AA8970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关键核心技术是国之重器，直接关系着国家经济利益、国家安全与新质生产力发展的主动权。当前，全球科技竞争进入深水区，我国在光刻机、高端芯片等关键领域仍面临“卡脖子”难题，严重制约着我国工业的进一步发展。而新型举国体制能有效发挥集中力量的社会主义制度优势，与传统举国体制相比，更加强调政府主导与市场机制的有机结合，成为实现关键核心技术攻关的核心抓手。</w:t>
      </w:r>
    </w:p>
    <w:p w14:paraId="48F77EB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完善党对国家科技事业的集中统一领导。坚持党中央集中统一领导，事关科技强国建设的根本方向，是将党中央的科技创新决策部署落到实处的根本政治保证。一是加强科技创新的顶层设计与总体布局，深入实施创新驱动发展战略，通过方向引领与战略统筹把握科技创新的正确航向。完善党中央重大决策部署落实机制，健全跨部门、跨地区的重大项目协同推动机制，打破传统部门分割、区域壁垒带来的资源分散困境，提升科技治理效能；根据国家战略需求与技术发展趋势制定中长期科技发展规划，明确科技发展的方向和战略重点。二是完善科技领导体制，在中央科技委员会的统筹协调下建立统一领导、分工协作的管理体系。优化科学技术部职能配置，明确中央与地方在科技管理中的权责边界；健全科技资源配置的动态调整机制，通过政府引导、市场运作、社会参与的资源配置模式解决重复建设、条块分割等问题。</w:t>
      </w:r>
    </w:p>
    <w:p w14:paraId="7119202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第二，优化政府组织与管理职能，“推动政府职能从研发管理向创新服务转变”</w:t>
      </w:r>
      <w:r>
        <w:rPr>
          <w:rStyle w:val="9"/>
          <w:rFonts w:hint="eastAsia" w:ascii="宋体" w:hAnsi="宋体" w:eastAsia="宋体" w:cs="Times New Roman"/>
          <w:kern w:val="2"/>
          <w:sz w:val="24"/>
          <w:szCs w:val="24"/>
          <w:lang w:val="en-US" w:eastAsia="zh-CN" w:bidi="ar-SA"/>
        </w:rPr>
        <w:footnoteReference w:id="1"/>
      </w:r>
      <w:r>
        <w:rPr>
          <w:rFonts w:hint="eastAsia" w:ascii="宋体" w:hAnsi="宋体" w:eastAsia="宋体" w:cs="Times New Roman"/>
          <w:kern w:val="2"/>
          <w:sz w:val="24"/>
          <w:szCs w:val="24"/>
          <w:lang w:val="en-US" w:eastAsia="zh-CN" w:bidi="ar-SA"/>
        </w:rPr>
        <w:t>传统研发管理模式在特定历史时期发挥了重要作用，其核心逻辑是政府主导着项目审批、经费分配与过程监督。但这种模式难以精准捕捉新一轮科技革命背景下瞬息万变的市场需求，抑制了各类市场主体的创新活力。因此，政府应从科技创新活动的主导者转变为制度维护者、创新生态设计者，发挥市场机制在资源配置中的决定性作用，降低全社会进行科技创新的制度性交易成本。其一，政府应加强战略引领与政策供给服务，通过发布关键核心技术清单，为全社会科技创新提供明确的攻关方向；强化中央财政科技经费的统筹使用，重点支持基础研究和重大关键技术攻关项目。其二，通过融资担保、研发补助等政策工具支持科技创新，构建多元投入的创新生态体系。制定支持科技创新的专项担保计划，通过担保额度提升、风险担保优化等解决科技创新类中小企业的融资难、融资贵问题；通过研发投入增量奖补、高新技术企业奖励等形式提高资金使用效益。其三，应优化政府采购政策，为新技术、新产品提供早期的市场支持。政府可优先采购高新技术产品，向市场释放出对科技创新的明确需求，引导企业增加研发投入；通过预留采购份额、实行价格扣除政策加大对中小企业和高新技术企业的扶持力度。</w:t>
      </w:r>
    </w:p>
    <w:p w14:paraId="0B68031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三，建设全国统一大市场，激发有为市场活力。全国统一大市场能打破地方保护与准入壁垒，推动科技资源在全国范围内的有序自由流动，从而有效解决当前科技资源配置错位的问题，提高其利用效率。打造统一要素市场，推行“全国一张清单”管理模式，建立全国统一的反垄断与知识产权保护体系，完善市场准入、退出机制，从而统一技术标准，从源头上减少隐性门槛，推动要素资源跨区域自由流动；完善完善智慧物流网络、搭建科技成果转化智能服务平台实现市场实施的联通，提升成果转化效率。</w:t>
      </w:r>
    </w:p>
    <w:p w14:paraId="7C1ECB7B">
      <w:pPr>
        <w:pStyle w:val="4"/>
        <w:numPr>
          <w:ilvl w:val="0"/>
          <w:numId w:val="0"/>
        </w:numPr>
        <w:ind w:left="0" w:leftChars="0" w:firstLine="0" w:firstLineChars="0"/>
        <w:rPr>
          <w:rFonts w:hint="default"/>
          <w:lang w:val="en-US" w:eastAsia="zh-CN"/>
        </w:rPr>
      </w:pPr>
      <w:bookmarkStart w:id="4" w:name="_Toc9812"/>
      <w:r>
        <w:rPr>
          <w:rFonts w:hint="eastAsia"/>
          <w:lang w:val="en-US" w:eastAsia="zh-CN"/>
        </w:rPr>
        <w:t>（二）</w:t>
      </w:r>
      <w:r>
        <w:rPr>
          <w:rFonts w:hint="default"/>
          <w:lang w:val="en-US" w:eastAsia="zh-CN"/>
        </w:rPr>
        <w:t>完善国家科技治理体系，优化科技创新生态</w:t>
      </w:r>
      <w:bookmarkEnd w:id="4"/>
    </w:p>
    <w:p w14:paraId="5BDB589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高效、充满活力的科技创新生态能最大程度激发各类创新主体的潜能，是新质生产力培育与发展的土壤。当前我国科技治理面临科技伦理建设滞后、成果转化机制不完善、评价机制功利化等问题，需通过系统性改革完善国家科技治理体系，营造崇尚科学、开放协作的良好创新生态。</w:t>
      </w:r>
    </w:p>
    <w:p w14:paraId="49353C6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完善科技伦理治理机制。科技伦理是科技活动必须遵循的价值准则，近年来，人工智能技术、基因编辑技术迅猛发展，在造福人类的同时也带来伦理失范风险。科技伦理治理直接影响科技创新的质量与效率，面对新伦理问题的挑战，我国必然要加强科技伦理治理，推动科技事业健康发展。其一，充分发挥国家科技伦理委员会的统筹规范作用，通过制定科技伦理治理指导性文件不断完善我国科技伦理治理的监管框架与制度体系，“塑造科技向善的文化理念，让科技更好增进人类福祉”</w:t>
      </w:r>
      <w:r>
        <w:rPr>
          <w:rStyle w:val="9"/>
          <w:rFonts w:hint="eastAsia" w:ascii="宋体" w:hAnsi="宋体" w:eastAsia="宋体" w:cs="Times New Roman"/>
          <w:kern w:val="2"/>
          <w:sz w:val="24"/>
          <w:szCs w:val="24"/>
          <w:lang w:val="en-US" w:eastAsia="zh-CN" w:bidi="ar-SA"/>
        </w:rPr>
        <w:footnoteReference w:id="2"/>
      </w:r>
      <w:r>
        <w:rPr>
          <w:rFonts w:hint="eastAsia" w:ascii="宋体" w:hAnsi="宋体" w:eastAsia="宋体" w:cs="Times New Roman"/>
          <w:kern w:val="2"/>
          <w:sz w:val="24"/>
          <w:szCs w:val="24"/>
          <w:lang w:val="en-US" w:eastAsia="zh-CN" w:bidi="ar-SA"/>
        </w:rPr>
        <w:t>，实现科技创新与风险防范的良性互动。其二，推进科技伦理领域立法，强化科技领域的法律支撑。应优先推动生命科学、人工智能、医学等重点领域的相关立法研究，将重要的科技伦理规范上升为国家法律法规；同时健全科技伦理审查与监管制度，明确风险处置与违规处理流程，对违法行为加大处罚力度。其三，加强理论研究与国际交流合作。支持研究前沿科技引发的伦理规范，并与欧盟、世界卫生组织、联合国教科文组织合作制定国际科技伦理规范，为科技伦理治理提供统一标准。</w:t>
      </w:r>
    </w:p>
    <w:p w14:paraId="715B5E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完善科研经费管理体制。传统科研经费管理中存在审批流程繁琐、预算编制复杂、经费使用受限等问题，影响科研人员的创新活力。因此，要完善科研经费管理，提高科研人员获得感，促进科技事业健康发展。其一，扩大科研项目经费管理自主权，通过精简合并预算编制科目、设备费预算调剂权下放项目承担单位、扩大经费包干制实施范围等举措减少科研人员的行政负担，能够集中精力开展科学研究。其二，健全科研项目经费拨付机制，根据不同类型项目的资金需求合理制定经费拨付计划，财政主管部门加快经费拨付进度，为科研活动提供充足的资金保障。其三，加大科研人员激励力度，在保证科研人员稳定工资收入的基础上，向科研成绩突出的人员适当倾斜绩效工资，激发科研人员的创新热情。</w:t>
      </w:r>
    </w:p>
    <w:p w14:paraId="134BFC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三，完善重大科技项目立项机制。重大科技项目是突破关键核心技术、提升国家竞争力的关键支撑，其立项精准度能直接影响国家科技战略的实时成效。一方面，打破“重申报、轻需求”的倾向，强化科技项目的国家战略需要与市场需求导向，建立项目立项的多元主体评审机制，吸纳产业专家、技术专家、战略咨询专家等多方代表共同参与评审，重点评估科技项目的战略契合度、技术可行性与产业化潜力。另一方面，实行“揭榜挂帅”制度，精准生成关键核心技术攻关榜单，鼓励有条件的科研团队或个人“揭榜”，择优遴选让其承担科技项目，并减少行政干预，赋予“挂帅团队”充分的技术路线决定权、人才选聘权与经费支配权，充分激发科研人员创新活力。</w:t>
      </w:r>
    </w:p>
    <w:p w14:paraId="5192751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四，推进创新文化建设，大力弘扬科学家精神、工匠精神，营造出崇尚创新的良好社会氛围。其一，创新宣传范式，借助数字化手段生动传播黄大年、袁隆平等楷模的先进事迹，将科学家精神融入教育教学全过程，让崇尚科学、追求创新的理念深入人心，吸引更多优秀人才投身科技创新事业。其二，通过实施大国工匠人才培育工程、评选表彰技能型人才、开展先进事迹宣讲等方式，强化全社会对工匠精神的认知与认同，推动形成“重技能、崇精工、求卓越”的社会风尚。</w:t>
      </w:r>
    </w:p>
    <w:p w14:paraId="00092722">
      <w:pPr>
        <w:pStyle w:val="4"/>
        <w:numPr>
          <w:ilvl w:val="0"/>
          <w:numId w:val="0"/>
        </w:numPr>
        <w:rPr>
          <w:rFonts w:hint="default"/>
          <w:lang w:val="en-US" w:eastAsia="zh-CN"/>
        </w:rPr>
      </w:pPr>
      <w:bookmarkStart w:id="5" w:name="_Toc32056"/>
      <w:r>
        <w:rPr>
          <w:rFonts w:hint="eastAsia" w:cstheme="minorBidi"/>
          <w:bCs/>
          <w:kern w:val="2"/>
          <w:sz w:val="24"/>
          <w:szCs w:val="32"/>
          <w:lang w:val="en-US" w:eastAsia="zh-CN" w:bidi="ar-SA"/>
        </w:rPr>
        <w:t>（三）发挥企业创新主体地位</w:t>
      </w:r>
      <w:r>
        <w:rPr>
          <w:rFonts w:hint="default"/>
          <w:lang w:val="en-US" w:eastAsia="zh-CN"/>
        </w:rPr>
        <w:t>，促进科技成果转化应用</w:t>
      </w:r>
      <w:bookmarkEnd w:id="5"/>
    </w:p>
    <w:p w14:paraId="61AAF33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企业是经济活动的主要参与者，也是前沿技术进步的重要推动者，发挥企业创新主体地位是破解科技成果转化应用“最后一公里”难题的关键枢纽。当前我国在一些关键核心技术领域仍受制于人，与企业创新主体作用的“缺位”、产学研合作的“浅层化”密不可分。这需要充分发挥企业的创新主体地位，“推动创新链产业链资金链人才链深度融合”</w:t>
      </w:r>
      <w:r>
        <w:rPr>
          <w:rStyle w:val="9"/>
          <w:rFonts w:hint="eastAsia" w:ascii="宋体" w:hAnsi="宋体" w:eastAsia="宋体" w:cs="Times New Roman"/>
          <w:kern w:val="2"/>
          <w:sz w:val="24"/>
          <w:szCs w:val="24"/>
          <w:lang w:val="en-US" w:eastAsia="zh-CN" w:bidi="ar-SA"/>
        </w:rPr>
        <w:footnoteReference w:id="3"/>
      </w:r>
      <w:r>
        <w:rPr>
          <w:rFonts w:hint="eastAsia" w:ascii="宋体" w:hAnsi="宋体" w:eastAsia="宋体" w:cs="Times New Roman"/>
          <w:kern w:val="2"/>
          <w:sz w:val="24"/>
          <w:szCs w:val="24"/>
          <w:lang w:val="en-US" w:eastAsia="zh-CN" w:bidi="ar-SA"/>
        </w:rPr>
        <w:t>，实现产学研融合发展。</w:t>
      </w:r>
    </w:p>
    <w:p w14:paraId="7855A6E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第一，发挥国有企业在关键核心技术攻关中的主导作用。“国有企业是中国特色社会主义的重要物质基础和政治基础”</w:t>
      </w:r>
      <w:r>
        <w:rPr>
          <w:rStyle w:val="9"/>
          <w:rFonts w:hint="eastAsia" w:ascii="宋体" w:hAnsi="宋体" w:eastAsia="宋体" w:cs="Times New Roman"/>
          <w:kern w:val="2"/>
          <w:sz w:val="24"/>
          <w:szCs w:val="24"/>
          <w:lang w:val="en-US" w:eastAsia="zh-CN" w:bidi="ar-SA"/>
        </w:rPr>
        <w:footnoteReference w:id="4"/>
      </w:r>
      <w:r>
        <w:rPr>
          <w:rFonts w:hint="eastAsia" w:ascii="宋体" w:hAnsi="宋体" w:eastAsia="宋体" w:cs="Times New Roman"/>
          <w:kern w:val="2"/>
          <w:sz w:val="24"/>
          <w:szCs w:val="24"/>
          <w:lang w:val="en-US" w:eastAsia="zh-CN" w:bidi="ar-SA"/>
        </w:rPr>
        <w:t>，主动对接国家战略需求，积极承担国家重点科技攻关任务，是增强国家战略科技能力的主力军。因此，必须完善国有企业科技创新机制，推动实现高水平科技的自立自强。其一，推进国资国企改革，进一步明确不同类型国有企业的功能定位，推动国有资本向关乎国计民生的关键领域和重点行业集中，支持国有企业牵头组建创新联合体，通过布局建设原创技术策源地、共建联合实验室等方式整合产业链上下游科创资源，形成产学研融合的协同创新生态。其二，探索构建多元研发投入体系，合理利用资本市场获得融资，吸纳各类社会资本参与科技创新，解决研发投入来源渠道单一、强度不高的问题。其三，完善以创新价值、能力、贡献为导向的创新人才考核、评价与激励机制，对科技人才实施项目分红、股权激励等中长期积极举措。其四，坚持宽严并济，对高风险、长周期的科研项目建立尽职合规免责机制，营造允许试错、宽容失败的氛围。</w:t>
      </w:r>
    </w:p>
    <w:p w14:paraId="06787A8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充分释放民营企业科技创新的活力与动力，支持民营企业参与重大技术攻关。其一，强化政策引导与制度保障，为民营企业构建开放包容的营商环境。实行市场准入负面清单制度的动态调整机制，适时放宽准入门槛，降低民营企业降低市场准入的交易成本，保障各类市场主体平等获取发展机会；系统修订完善涉企法律法规，重点破除隐形市场准入壁垒的条款；完善公平竞争审查制度，纠治排除限制竞争行为，推动创新要素的自由流动。其二，精准扶持民营企业发展。通过中央财政支持专精特新中小企业高质量发展，鼓励地方因地制宜探索建设专精特新赋能体系，从而打造新动能、攻克新技术、开发新产品；健全与民营企业的常态化沟通交流机制，各级政府及涉企部门定期走访调查民营企业，及时回应并解决民营企业在融资、用工、科创等方面的问题。其三，发挥头部民企在科技创新领域的示范引领作用。针对头部企业复杂多样的创新需求，可推行“一企一策”的跟踪服务模式，在人才引进、资金支持等方面给予特殊照顾；政府应主动开放场景，率先使用头部企业的创新产品与服务，为创新产品提供验证和推广平台。</w:t>
      </w:r>
    </w:p>
    <w:p w14:paraId="45134CB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三，引导企业主导和参与标准制定。标准是企业打破竞争壁垒、掌握市场话语权的战略工具，代表着创新成果的规范化、市场化，成为推动产业链与创新链深度融合的关键纽带。政府应探索建立标准制定“企业提案绿色通道”，提高企业参与度，推动领军企业、龙头企业成为标准创新型企业；支持企业将自主创新成果转化为标准，对制定标准的企业给予资金奖励，激发其创新活力；加强国际合作交流，引导企业参与国际标准化建设，并通过“一带一路”、金砖国家等全球合作机制实现中国标准的海外应用。</w:t>
      </w:r>
    </w:p>
    <w:p w14:paraId="3E5145E9">
      <w:pPr>
        <w:pStyle w:val="3"/>
        <w:rPr>
          <w:rFonts w:hint="default"/>
          <w:lang w:val="en-US" w:eastAsia="zh-CN"/>
        </w:rPr>
      </w:pPr>
      <w:bookmarkStart w:id="6" w:name="_Toc23874"/>
      <w:r>
        <w:rPr>
          <w:rFonts w:hint="eastAsia"/>
          <w:lang w:val="en-US" w:eastAsia="zh-CN"/>
        </w:rPr>
        <w:t>二、</w:t>
      </w:r>
      <w:r>
        <w:rPr>
          <w:rFonts w:hint="default"/>
          <w:lang w:val="en-US" w:eastAsia="zh-CN"/>
        </w:rPr>
        <w:t>建设现代化产业体系，增强发展新质生产力的载体支撑</w:t>
      </w:r>
      <w:bookmarkEnd w:id="6"/>
    </w:p>
    <w:p w14:paraId="5B8E143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新一轮科技革命和产业变革重塑了全球产业格局，一系列新产业、新业态、新模式不断涌现，其中战略性新兴产业和未来产业已成为大国博弈的战略至高点，深刻影响着国际规则的制定权。习近平强调：“我们要改造提升传统产业，培育壮大新兴产业，布局建设未来产业，完善现代化产业体系。”</w:t>
      </w:r>
      <w:r>
        <w:rPr>
          <w:rStyle w:val="9"/>
          <w:rFonts w:hint="eastAsia" w:ascii="宋体" w:hAnsi="宋体" w:eastAsia="宋体" w:cs="Times New Roman"/>
          <w:kern w:val="2"/>
          <w:sz w:val="24"/>
          <w:szCs w:val="24"/>
          <w:lang w:val="en-US" w:eastAsia="zh-CN" w:bidi="ar-SA"/>
        </w:rPr>
        <w:footnoteReference w:id="5"/>
      </w:r>
      <w:r>
        <w:rPr>
          <w:rFonts w:hint="eastAsia" w:ascii="宋体" w:hAnsi="宋体" w:eastAsia="宋体" w:cs="Times New Roman"/>
          <w:kern w:val="2"/>
          <w:sz w:val="24"/>
          <w:szCs w:val="24"/>
          <w:lang w:val="en-US" w:eastAsia="zh-CN" w:bidi="ar-SA"/>
        </w:rPr>
        <w:t>这为我们建设现代化产业体系，增强发展新质生产力的载体支撑提供了实践导向。</w:t>
      </w:r>
    </w:p>
    <w:p w14:paraId="32A93B32">
      <w:pPr>
        <w:pStyle w:val="4"/>
        <w:numPr>
          <w:ilvl w:val="0"/>
          <w:numId w:val="0"/>
        </w:numPr>
        <w:rPr>
          <w:rFonts w:hint="default"/>
          <w:lang w:val="en-US" w:eastAsia="zh-CN"/>
        </w:rPr>
      </w:pPr>
      <w:bookmarkStart w:id="7" w:name="_Toc24370"/>
      <w:r>
        <w:rPr>
          <w:rFonts w:hint="eastAsia"/>
          <w:lang w:val="en-US" w:eastAsia="zh-CN"/>
        </w:rPr>
        <w:t>（一）</w:t>
      </w:r>
      <w:r>
        <w:rPr>
          <w:rFonts w:hint="default"/>
          <w:lang w:val="en-US" w:eastAsia="zh-CN"/>
        </w:rPr>
        <w:t>推动传统产业高端化智能化绿色化转型</w:t>
      </w:r>
      <w:bookmarkEnd w:id="7"/>
    </w:p>
    <w:p w14:paraId="085AA6E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传统产业是我国实体经济的主体，在国民经济中占据着基础性地位，成为稳定经济增长、吸纳就业的重要支撑。随着我国发展阶段的转变与全球产业格局的深刻调整，传统产业的发展瓶颈日益凸显，不仅制约着自身的可持续发展，也影响着新质生产力发展的整体效能。因此，要推动传统产业的“三化”转型，为战略性新兴产业提供市场支撑，为发展新质生产力提供坚实支撑。</w:t>
      </w:r>
    </w:p>
    <w:p w14:paraId="0D441A8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推动传统产业的高端化转型，核心是推动产业从价值链中低端向高端的跃升。首先，加快先进适用技术的推广应用。企业应与高校、科研机构协同攻关高端芯片、半导体等领域的技术瓶颈，构建起自主可控的产业链；优化国家级科技创新平台布局，面向传统制造业重点领域开展产业化示范应用。其次，应建立面向现代产业发展需求的科技成果转化机制，聚焦市场高端需求与消费升级趋势，倒逼企业加大高端产品的研发力度，通过技术升级、工艺改进与新材料应用开发出高附加值的产品。再次，加强品牌建设，培育自主品牌，形成品牌效应，摆脱“代工生产”的低端定位，增强产品在全球市场的知名度与竞争力。最后，推动制造业企业由生产端向服务端延伸，通过提供个性化定制服务、远程运维管理等方式提高产品附加值，这种服务模式不仅提升了客户满意度与品牌忠诚度，有利于形成长期、稳定的客户群，形成新的竞争优势。</w:t>
      </w:r>
    </w:p>
    <w:p w14:paraId="2E449C3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发挥人工智能的技术优势，推动传统产业的智能化转型。智能化转型的核心是根据不同产业的特点和发展需求，将将人工智能、大数据、物联网等信息技术赋能生产制造全过程。首先，推动人工智能基础设施建设。深入实施“人工智能+”行动，推动基础研究平台和重大科技基础设施的智能化升级；鼓励企业构建行业数据平台，开发面向产业应用的算法模型库，建立跨行业的高质量数据资源池。其次，加强产业链工业链的网络化协同。加强工业互联网建设，鼓励领军企业共享数字化工具和产业链资源，促进产业链上下游企业开展协同采购、产品溯源、产能共享等应用。再次，推动产业园区与集群的整体改造升级。探索建立区域级人工智能数据处理中心，为产业集群提供海量数据处理、人工智能工具开发等服务；推动国家高新区、经济技术开发区搭建公共服务平台，实施整体数字化改造。最后，在生产制造环节推动传统工厂向智能工厂转型，通过部署高端智能装备、工业软件和系统缩短产品全生命周期，提升生产自动化水平；在生产管理环节构建智能化管理系统，利用大数据分析优化生产全过程，提高生产管理效率与决策的科学性。</w:t>
      </w:r>
    </w:p>
    <w:p w14:paraId="1EA5502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三，推动传统产业的绿色化转型，以绿色技术推动构建绿色低碳的生产方式、发展绿色产业，形成发展新质生产力的绿色动能。首先，应大力发展绿色低碳技术，加强清洁生产、节能降耗等领域的技术创新，降低绿色低碳技术的推广应用成本，实现煤炭、石油等化石能源的清洁利用，提高太阳能、风能等可再生能源的利用效率，从而降低传统产业的单位能耗。其次，落实工业领域碳达峰实施方案。完善工业节能管理制度，对高耗能高排放工业项目实施清单管理、分类处置，停业整改不符合要求企业，迫使企业推进节能降碳技术改造；优化有色、建材等重点行业产能规模，严格落实产能置换政策，依法依规淘汰落后产能。最后，完善绿色制造体系，推动生产模式绿色转型。培育绿色工厂，引导企业应用清洁生产技术、开发绿色产品；构建绿色供应链，引导汽车、机械、电子等行业的龙头企业将绿色低碳理念贯穿于工业生产全过程，构建统一的绿色产品认证与标识体系；加大资金扶持力度，推进节能环保产业、新能源汽车产业、光伏产业等绿色产业的发展。</w:t>
      </w:r>
    </w:p>
    <w:p w14:paraId="55913322">
      <w:pPr>
        <w:pStyle w:val="4"/>
        <w:numPr>
          <w:ilvl w:val="0"/>
          <w:numId w:val="0"/>
        </w:numPr>
        <w:ind w:left="0" w:leftChars="0" w:firstLine="0" w:firstLineChars="0"/>
        <w:rPr>
          <w:rFonts w:hint="default"/>
          <w:lang w:val="en-US" w:eastAsia="zh-CN"/>
        </w:rPr>
      </w:pPr>
      <w:bookmarkStart w:id="8" w:name="_Toc17065"/>
      <w:r>
        <w:rPr>
          <w:rFonts w:hint="eastAsia"/>
          <w:lang w:val="en-US" w:eastAsia="zh-CN"/>
        </w:rPr>
        <w:t>（二）</w:t>
      </w:r>
      <w:r>
        <w:rPr>
          <w:rFonts w:hint="default"/>
          <w:lang w:val="en-US" w:eastAsia="zh-CN"/>
        </w:rPr>
        <w:t>培育壮大</w:t>
      </w:r>
      <w:r>
        <w:rPr>
          <w:rFonts w:hint="eastAsia"/>
          <w:lang w:val="en-US" w:eastAsia="zh-CN"/>
        </w:rPr>
        <w:t>战略性新兴产业和</w:t>
      </w:r>
      <w:r>
        <w:rPr>
          <w:rFonts w:hint="default"/>
          <w:lang w:val="en-US" w:eastAsia="zh-CN"/>
        </w:rPr>
        <w:t>未来产业</w:t>
      </w:r>
      <w:bookmarkEnd w:id="8"/>
    </w:p>
    <w:p w14:paraId="5CFBCE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战略性新兴产业和未来产业是新质生产力发展的前沿阵地，代表着产业发展的未来方向，是抢占未来发展制高点的关键所在。培育这些产业，不仅为高质量发展注入源源不断的新动能，更直接关系到我国在未来全球产业格局中的地位，为中国领先世界提供关键支撑。</w:t>
      </w:r>
    </w:p>
    <w:p w14:paraId="2FBD4A1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培育壮大战略性新兴产业。战略性新兴产业正处于从成长到爆发的关键时期，以重大创新突破和重大发展需求为基础，推动生产力体系实现从“效率优化”到“能级跃迁”的根本跨越，引领着新质生产力的长远发展。基于此，应抓住新一轮科技革命的机遇，聚焦新兴前沿领域整合创新资源，“积极培育具有国际先进水平和竞争力的战略性新兴产业。”</w:t>
      </w:r>
      <w:r>
        <w:rPr>
          <w:rStyle w:val="9"/>
          <w:rFonts w:hint="eastAsia" w:ascii="宋体" w:hAnsi="宋体" w:eastAsia="宋体" w:cs="Times New Roman"/>
          <w:kern w:val="2"/>
          <w:sz w:val="24"/>
          <w:szCs w:val="24"/>
          <w:lang w:val="en-US" w:eastAsia="zh-CN" w:bidi="ar-SA"/>
        </w:rPr>
        <w:footnoteReference w:id="6"/>
      </w:r>
      <w:r>
        <w:rPr>
          <w:rFonts w:hint="eastAsia" w:ascii="宋体" w:hAnsi="宋体" w:eastAsia="宋体" w:cs="Times New Roman"/>
          <w:kern w:val="2"/>
          <w:sz w:val="24"/>
          <w:szCs w:val="24"/>
          <w:lang w:val="en-US" w:eastAsia="zh-CN" w:bidi="ar-SA"/>
        </w:rPr>
        <w:t>首先，强化战略部署，坚持整体推进与重点领域跨越发展相结合，明确新兴产业发展的重点方向和主要任务。应根据不同产业特点制定差异化的培育战略，避免资源错配与同质化竞争。在节能环保产业重点开发高效节能技术装备及产品，建立以先进技术为支撑的废旧商品回收利用体系；在信息技术产业大力发展数字虚拟技术，加快建设信息网络基础设施，重点发展集成电路、高端软件等基础产业；在新能源产业积极研发新一代核能技术，发展核能产业，提高风电技术装备水平，推进风电规模化发展。其次，加强产业前沿技术研发和关键核心技术攻关，增强自主创新能力，提升产业核心竞争力。在生物、空天、海洋、信息等前沿性技术领域，应结合国家科技重大专项、国家重点研发计划等的实施，组建跨学科、跨机构的科研团队，集中力量攻关关键共性技术，提升基础研究的技术水平；建立骨干企业牵头、高校与科研机构共同参与的产业技术创新联盟，形成全社会科研资源的攻关合力。最后，促进创新成果加速转化。健全科研院所的创新成果发布制度，依托优势企业开展科技成果产业化示范工程，加大应用场景建设和开放力度，引导企业加快产品更迭，从而降低创新产品市场化的初期风险，实现科技成果转化应用。</w:t>
      </w:r>
    </w:p>
    <w:p w14:paraId="60F49AC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前瞻性布局未来产业。与战略性新兴产业相比，未来产业呈现出不确定性更高、风险更大、成熟度更低的特征，尚处于产业化初期阶段。但各国已开始部署未来产业，我国若不尽早布局，便会丧失发展先机，在国际竞争中处于不利地位。为此，我国必须超前布局未来产业，为发展新质生产力提供后续驱动力。其一，加强前沿技术源头供给，打造未来技术策源地。推进国家创新平台建设，持续布局与动态优化国家科技重大专项，依托国家战略科技力量前瞻性布局量子信息、基因技术、具身智能等前沿领域，形成国家实验室、高水平研究大学与行业龙头企业协同发力的创新网络，保证颠覆性技术创新的长期稳定支持。其二，加大金融支持，</w:t>
      </w:r>
      <w:r>
        <w:rPr>
          <w:rFonts w:hint="default" w:ascii="宋体" w:hAnsi="宋体" w:eastAsia="宋体" w:cs="Times New Roman"/>
          <w:kern w:val="2"/>
          <w:sz w:val="24"/>
          <w:szCs w:val="24"/>
          <w:lang w:val="en-US" w:eastAsia="zh-CN" w:bidi="ar-SA"/>
        </w:rPr>
        <w:t>构建多层次、多渠道、多元化的未来产业资金支持体系</w:t>
      </w:r>
      <w:r>
        <w:rPr>
          <w:rFonts w:hint="eastAsia" w:ascii="宋体" w:hAnsi="宋体" w:eastAsia="宋体" w:cs="Times New Roman"/>
          <w:kern w:val="2"/>
          <w:sz w:val="24"/>
          <w:szCs w:val="24"/>
          <w:lang w:val="en-US" w:eastAsia="zh-CN" w:bidi="ar-SA"/>
        </w:rPr>
        <w:t>。鼓励政策性银行、商业银行等</w:t>
      </w:r>
      <w:r>
        <w:rPr>
          <w:rFonts w:hint="default" w:ascii="宋体" w:hAnsi="宋体" w:eastAsia="宋体" w:cs="Times New Roman"/>
          <w:kern w:val="2"/>
          <w:sz w:val="24"/>
          <w:szCs w:val="24"/>
          <w:lang w:val="en-US" w:eastAsia="zh-CN" w:bidi="ar-SA"/>
        </w:rPr>
        <w:t>金融机构加大对未来产业的中长期贷款支持力度，</w:t>
      </w:r>
      <w:r>
        <w:rPr>
          <w:rFonts w:hint="eastAsia" w:ascii="宋体" w:hAnsi="宋体" w:eastAsia="宋体" w:cs="Times New Roman"/>
          <w:kern w:val="2"/>
          <w:sz w:val="24"/>
          <w:szCs w:val="24"/>
          <w:lang w:val="en-US" w:eastAsia="zh-CN" w:bidi="ar-SA"/>
        </w:rPr>
        <w:t>推动地方政府设立未来产业专项资金，</w:t>
      </w:r>
      <w:r>
        <w:rPr>
          <w:rFonts w:hint="default" w:ascii="宋体" w:hAnsi="宋体" w:eastAsia="宋体" w:cs="Times New Roman"/>
          <w:kern w:val="2"/>
          <w:sz w:val="24"/>
          <w:szCs w:val="24"/>
          <w:lang w:val="en-US" w:eastAsia="zh-CN" w:bidi="ar-SA"/>
        </w:rPr>
        <w:t>通过财政贴息、贷款担保等方式降低企业融资成本，增强金融机构放贷信心</w:t>
      </w:r>
      <w:r>
        <w:rPr>
          <w:rFonts w:hint="eastAsia" w:ascii="宋体" w:hAnsi="宋体" w:eastAsia="宋体" w:cs="Times New Roman"/>
          <w:kern w:val="2"/>
          <w:sz w:val="24"/>
          <w:szCs w:val="24"/>
          <w:lang w:val="en-US" w:eastAsia="zh-CN" w:bidi="ar-SA"/>
        </w:rPr>
        <w:t>；同时</w:t>
      </w:r>
      <w:r>
        <w:rPr>
          <w:rFonts w:hint="default" w:ascii="宋体" w:hAnsi="宋体" w:eastAsia="宋体" w:cs="Times New Roman"/>
          <w:kern w:val="2"/>
          <w:sz w:val="24"/>
          <w:szCs w:val="24"/>
          <w:lang w:val="en-US" w:eastAsia="zh-CN" w:bidi="ar-SA"/>
        </w:rPr>
        <w:t>探索建立由政府、金融机构、社会资本共同参与的风险补偿专项资金，对前沿技术企业</w:t>
      </w:r>
      <w:r>
        <w:rPr>
          <w:rFonts w:hint="eastAsia" w:ascii="宋体" w:hAnsi="宋体" w:eastAsia="宋体" w:cs="Times New Roman"/>
          <w:kern w:val="2"/>
          <w:sz w:val="24"/>
          <w:szCs w:val="24"/>
          <w:lang w:val="en-US" w:eastAsia="zh-CN" w:bidi="ar-SA"/>
        </w:rPr>
        <w:t>的</w:t>
      </w:r>
      <w:r>
        <w:rPr>
          <w:rFonts w:hint="default" w:ascii="宋体" w:hAnsi="宋体" w:eastAsia="宋体" w:cs="Times New Roman"/>
          <w:kern w:val="2"/>
          <w:sz w:val="24"/>
          <w:szCs w:val="24"/>
          <w:lang w:val="en-US" w:eastAsia="zh-CN" w:bidi="ar-SA"/>
        </w:rPr>
        <w:t>融资损失给予一定比例补偿，为</w:t>
      </w:r>
      <w:r>
        <w:rPr>
          <w:rFonts w:hint="eastAsia" w:ascii="宋体" w:hAnsi="宋体" w:eastAsia="宋体" w:cs="Times New Roman"/>
          <w:kern w:val="2"/>
          <w:sz w:val="24"/>
          <w:szCs w:val="24"/>
          <w:lang w:val="en-US" w:eastAsia="zh-CN" w:bidi="ar-SA"/>
        </w:rPr>
        <w:t>未来产业发展</w:t>
      </w:r>
      <w:r>
        <w:rPr>
          <w:rFonts w:hint="default" w:ascii="宋体" w:hAnsi="宋体" w:eastAsia="宋体" w:cs="Times New Roman"/>
          <w:kern w:val="2"/>
          <w:sz w:val="24"/>
          <w:szCs w:val="24"/>
          <w:lang w:val="en-US" w:eastAsia="zh-CN" w:bidi="ar-SA"/>
        </w:rPr>
        <w:t>提供稳定的资金保障。</w:t>
      </w:r>
      <w:r>
        <w:rPr>
          <w:rFonts w:hint="eastAsia" w:ascii="宋体" w:hAnsi="宋体" w:eastAsia="宋体" w:cs="Times New Roman"/>
          <w:kern w:val="2"/>
          <w:sz w:val="24"/>
          <w:szCs w:val="24"/>
          <w:lang w:val="en-US" w:eastAsia="zh-CN" w:bidi="ar-SA"/>
        </w:rPr>
        <w:t>其三，面对未来产业的不确定性与高风险性，应强化安全治理，探索建立跨领域、多方协同参与的未来产业治理格局。建立动态分类监管机制，按照技术成熟度与风险等级，对未来产业实施三级动态监管；引导政府、企业、科研机构等多方主体制定未来产业的发展规则与安全标准；在重点领域设置“监管沙盒”，允许企业在可控范围的试错创新，有效降低监管的不确定性。</w:t>
      </w:r>
    </w:p>
    <w:p w14:paraId="1FB51EDA">
      <w:pPr>
        <w:pStyle w:val="4"/>
        <w:numPr>
          <w:ilvl w:val="0"/>
          <w:numId w:val="0"/>
        </w:numPr>
        <w:rPr>
          <w:rFonts w:hint="default"/>
          <w:lang w:val="en-US" w:eastAsia="zh-CN"/>
        </w:rPr>
      </w:pPr>
      <w:bookmarkStart w:id="9" w:name="_Toc11802"/>
      <w:r>
        <w:rPr>
          <w:rFonts w:hint="eastAsia"/>
          <w:lang w:val="en-US" w:eastAsia="zh-CN"/>
        </w:rPr>
        <w:t>（三）</w:t>
      </w:r>
      <w:r>
        <w:rPr>
          <w:rFonts w:hint="default"/>
          <w:lang w:val="en-US" w:eastAsia="zh-CN"/>
        </w:rPr>
        <w:t>深化数字经济与实体经济的融合发展</w:t>
      </w:r>
      <w:bookmarkEnd w:id="9"/>
    </w:p>
    <w:p w14:paraId="30B3471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数字经济以数据为关键生产要素，实体经济是国民经济的根基，数实融合发展的核心是通过数据要素的驱动与数字技术的赋能，对实体经济进行深度重构。这是建设现代化产业体系的必然要求，也是发展新质生产力的战略引擎。我国数实融合已取得重大成绩，但也存在数字化基础设施尚不完善、有效市场需求不足、数字化产品供给有待提升等问题。对此，我国必须加快数字经济与实体经济的深度融合，实现数字技术全面赋能实体经济。</w:t>
      </w:r>
    </w:p>
    <w:p w14:paraId="2B693B4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加强数字基础设施建设，夯实数字经济与实体经济融合发展的硬件基础。数字基础设施是数实融合发展的先决条件，其覆盖广度、建设精度与协同能力直接影响融合发展的深度与效能。目前，我国数字基础设施建设已取得显著成效，但仍存在城乡发展不均衡、创新协同不充分等问题，未能满足实体经济各领域的数字化转型需求。深化二者融合发展，首要任务是构建普惠高效的数字基础设施体系，实现从“广覆盖”向“精准化”“协同化”升级。一方面，在西部及农村地区，应加大5G基站、物联网、数据中心等数字基础设施的建设投入，形成城乡一体化的数字网络覆盖体系，破解数字鸿沟对城乡协调发展的制约。同时，针对不同实体经济领域的差异化需求，建设行业专用数字基础设施。通过建设农业领域的物联网系统、乡村信息服务站点，制造业领域的工业互联网平台、智能工厂系统，服务业领域的智慧交通网络、在线服务平台，可推动基础设施与产业发展需求的精准适配，实现各领域生产要素的高效配置。另一方面，推动数字基础设施的技术升级与协同联动。加快卫星互联网、算力中心、区块链、大数据平台等新型数字基础设施的研发部署，为实现数字技术在实体经济中的深度应用提供有力支撑。同时，建立跨区域、跨行业的协同管理机制，推动不同领域基础设施的资源共享与互联互通，避免资源浪费与重复建设。</w:t>
      </w:r>
    </w:p>
    <w:p w14:paraId="0F17528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推进数据要素市场化配置，实现数据要素的深度融合应用。作为数字经济时代的基础性战略资源，数据要素“推动各类资源要素快捷流动、各类市场主体加速融合，帮助市场主体重构组织模式，实现跨界发展，打破时空限制”</w:t>
      </w:r>
      <w:r>
        <w:rPr>
          <w:rStyle w:val="9"/>
          <w:rFonts w:hint="eastAsia" w:ascii="宋体" w:hAnsi="宋体" w:eastAsia="宋体" w:cs="Times New Roman"/>
          <w:kern w:val="2"/>
          <w:sz w:val="24"/>
          <w:szCs w:val="24"/>
          <w:lang w:val="en-US" w:eastAsia="zh-CN" w:bidi="ar-SA"/>
        </w:rPr>
        <w:footnoteReference w:id="7"/>
      </w:r>
      <w:r>
        <w:rPr>
          <w:rFonts w:hint="eastAsia" w:ascii="宋体" w:hAnsi="宋体" w:eastAsia="宋体" w:cs="Times New Roman"/>
          <w:kern w:val="2"/>
          <w:sz w:val="24"/>
          <w:szCs w:val="24"/>
          <w:lang w:val="en-US" w:eastAsia="zh-CN" w:bidi="ar-SA"/>
        </w:rPr>
        <w:t>，成为数字经济发展的基础性支撑。当前，我国数据要素市场配置面临数据流通不畅、安全保障不足、产权界定不清等问题，影响着数据要素的配置效率。深化数实融合发展，需要完善数据要素配置机制，推动数据要素价值的充分释放。在流通机制方面，应探索建立健全数据交易平台，严格规范数据交易流程，推动数据要素在不同行业、不同部门、不同区域的有序流通。在安全保障领域，完善数据安全的法律法规，对数据实行分级分类保护；建立可信数据流通平台，通过隐私计算、区块链等技术提升数据安全的风险检测与防御能力，有效避免数据泄露与盗用、滥用风险。在产权界定领域，探索建立数据要素分类分级确权制度，并借鉴专利制度建立数据要素登记制度，明确数据要素的产权归属。此外，完善数据要素定价机制，制定统一的数据要素分级分类标准，并根据具体应用场景动态调整定价模型，准确反映数据要素的价值及潜在效用。</w:t>
      </w:r>
    </w:p>
    <w:p w14:paraId="4385828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三，大力推进数字产业化和产业数字化。二者相互促进、协同发展，成为推动数实融合发展的重要着力点。一方面，根据不同地域的发展阶段实施针对性的发展战略，聚焦数字产品制造、数字产品服务、数字要素驱动等重点行业，培育一批具有国际竞争力的数字产业集群。在长三角、珠三角等数字经济先发地区，充分发挥其创新资源密集、产业链完整的优势，重点培育人工智能、集成电路等产业集群；对于中西部和东北地区，则立足本地特色资源与产业基础，发展具有区域辨识度的特色数字产业，推动数字产业的区域协调发展。另一方面，“利用互联网新技术对传统产业进行全方位、全链条的改造，提高全要素生产率”</w:t>
      </w:r>
      <w:r>
        <w:rPr>
          <w:rStyle w:val="9"/>
          <w:rFonts w:hint="eastAsia" w:ascii="宋体" w:hAnsi="宋体" w:eastAsia="宋体" w:cs="Times New Roman"/>
          <w:kern w:val="2"/>
          <w:sz w:val="24"/>
          <w:szCs w:val="24"/>
          <w:lang w:val="en-US" w:eastAsia="zh-CN" w:bidi="ar-SA"/>
        </w:rPr>
        <w:footnoteReference w:id="8"/>
      </w:r>
      <w:r>
        <w:rPr>
          <w:rFonts w:hint="eastAsia" w:ascii="宋体" w:hAnsi="宋体" w:eastAsia="宋体" w:cs="Times New Roman"/>
          <w:kern w:val="2"/>
          <w:sz w:val="24"/>
          <w:szCs w:val="24"/>
          <w:lang w:val="en-US" w:eastAsia="zh-CN" w:bidi="ar-SA"/>
        </w:rPr>
        <w:t>。应做到分类施策，立足不同行业特点制定差异化数字化转型方案。农业领域应聚焦智慧农业和精准农业发展，依托数字技术实现农田灌溉、病虫害防治、施肥播种等环节的智能化管控；制造业领域应以智能制造为核心，依托工业互联网推广柔性制造、数字孪生、智能生产线等新型生产模式，实现智能制造转型；服务业领域应重点打造电商直播、经济、数字支付、在线文旅等智慧服务场景，推进数字化场景重构。</w:t>
      </w:r>
    </w:p>
    <w:p w14:paraId="365ABB79">
      <w:pPr>
        <w:pStyle w:val="3"/>
        <w:rPr>
          <w:rFonts w:hint="default"/>
          <w:lang w:val="en-US" w:eastAsia="zh-CN"/>
        </w:rPr>
      </w:pPr>
      <w:bookmarkStart w:id="10" w:name="_Toc30006"/>
      <w:r>
        <w:rPr>
          <w:rFonts w:hint="eastAsia"/>
          <w:lang w:val="en-US" w:eastAsia="zh-CN"/>
        </w:rPr>
        <w:t>三、深化教育与人才机制改革</w:t>
      </w:r>
      <w:r>
        <w:rPr>
          <w:rFonts w:hint="default"/>
          <w:lang w:val="en-US" w:eastAsia="zh-CN"/>
        </w:rPr>
        <w:t>，</w:t>
      </w:r>
      <w:r>
        <w:rPr>
          <w:rFonts w:hint="eastAsia"/>
          <w:lang w:val="en-US" w:eastAsia="zh-CN"/>
        </w:rPr>
        <w:t>夯实</w:t>
      </w:r>
      <w:r>
        <w:rPr>
          <w:rFonts w:hint="default"/>
          <w:lang w:val="en-US" w:eastAsia="zh-CN"/>
        </w:rPr>
        <w:t>发展新质生产力的</w:t>
      </w:r>
      <w:r>
        <w:rPr>
          <w:rFonts w:hint="eastAsia"/>
          <w:lang w:val="en-US" w:eastAsia="zh-CN"/>
        </w:rPr>
        <w:t>人才基础</w:t>
      </w:r>
      <w:bookmarkEnd w:id="10"/>
    </w:p>
    <w:p w14:paraId="667FED6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习近平指出：“培养造就大批德才兼备的高素质人才，是国家和民族长远发展大计。”</w:t>
      </w:r>
      <w:r>
        <w:rPr>
          <w:rStyle w:val="9"/>
          <w:rFonts w:hint="eastAsia" w:ascii="宋体" w:hAnsi="宋体" w:eastAsia="宋体" w:cs="Times New Roman"/>
          <w:kern w:val="2"/>
          <w:sz w:val="24"/>
          <w:szCs w:val="24"/>
          <w:lang w:val="en-US" w:eastAsia="zh-CN" w:bidi="ar-SA"/>
        </w:rPr>
        <w:footnoteReference w:id="9"/>
      </w:r>
      <w:r>
        <w:rPr>
          <w:rFonts w:hint="eastAsia" w:ascii="宋体" w:hAnsi="宋体" w:eastAsia="宋体" w:cs="Times New Roman"/>
          <w:kern w:val="2"/>
          <w:sz w:val="24"/>
          <w:szCs w:val="24"/>
          <w:lang w:val="en-US" w:eastAsia="zh-CN" w:bidi="ar-SA"/>
        </w:rPr>
        <w:t>当前全球范围内的人才竞争已进入白热化阶段，各国均在主动抢占机遇打造人才高地。而人才是新质生产力中最为活跃的因素，我国发展新质生产力对高质量复合型人才的需求日益迫切，深化教育与人才机制改革成为破解人才供给问题的战略举措。立足新质生产力发展需求，需从培养体系建设、评价激励优化、引进服务保障三个维度协同发展，从而夯实发展新质生产力的人才基础。</w:t>
      </w:r>
    </w:p>
    <w:p w14:paraId="5FFB9427">
      <w:pPr>
        <w:pStyle w:val="4"/>
        <w:rPr>
          <w:rFonts w:hint="default"/>
          <w:lang w:val="en-US" w:eastAsia="zh-CN"/>
        </w:rPr>
      </w:pPr>
      <w:bookmarkStart w:id="11" w:name="_Toc25287"/>
      <w:r>
        <w:rPr>
          <w:rFonts w:hint="eastAsia"/>
          <w:lang w:val="en-US" w:eastAsia="zh-CN"/>
        </w:rPr>
        <w:t>（一）</w:t>
      </w:r>
      <w:r>
        <w:rPr>
          <w:rFonts w:hint="default"/>
          <w:lang w:val="en-US" w:eastAsia="zh-CN"/>
        </w:rPr>
        <w:t>建设高水平人才培养体系，打造高质量人才队伍</w:t>
      </w:r>
      <w:bookmarkEnd w:id="11"/>
    </w:p>
    <w:p w14:paraId="1FA6156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新质生产力发展催生了人工智能、生物医药等新兴领域，对人才的专业素养和创新实践能力提出更高要求，但我国的人才培养存在人才供需结构性矛盾突出、人才培养体系与产业需求衔接不畅等问题，难以匹配新质生产力对高水平人才的需求。为此，需锚定产业需求与科技趋势，建设高水平人才培养体系，为新质生产力的发展提供高质量人才队伍，从而形成人才资源竞争优势。</w:t>
      </w:r>
    </w:p>
    <w:p w14:paraId="4C011EE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第一，深化高等教育改革。习近平指出：“教育兴则国家兴，教育强则国家强。”</w:t>
      </w:r>
      <w:r>
        <w:rPr>
          <w:rStyle w:val="9"/>
          <w:rFonts w:hint="eastAsia" w:ascii="宋体" w:hAnsi="宋体" w:eastAsia="宋体" w:cs="Times New Roman"/>
          <w:kern w:val="2"/>
          <w:sz w:val="24"/>
          <w:szCs w:val="24"/>
          <w:lang w:val="en-US" w:eastAsia="zh-CN" w:bidi="ar-SA"/>
        </w:rPr>
        <w:footnoteReference w:id="10"/>
      </w:r>
      <w:r>
        <w:rPr>
          <w:rFonts w:hint="eastAsia" w:ascii="宋体" w:hAnsi="宋体" w:eastAsia="宋体" w:cs="Times New Roman"/>
          <w:kern w:val="2"/>
          <w:sz w:val="24"/>
          <w:szCs w:val="24"/>
          <w:lang w:val="en-US" w:eastAsia="zh-CN" w:bidi="ar-SA"/>
        </w:rPr>
        <w:t>高等教育体现着一个国家的发展水平与发展潜力，直接服务于国家战略需求，是教育强国建设的“龙头”。因此，必须通过深化高等教育改革提升我国人才自主培养质量。一是强化基础学科拔尖人才培养。立足国家急需高层次人才培养战略，在研究型大学和“双一流”建设高校继续实施“拔尖计划”、“强基计划”、“101计划”等国家人才培养项目，完善本硕博贯通培养体系，吸引优秀学生投身数理化生等基础学科研究，为高科技人才培养提供坚实基础。二是优化学科专业结构。建立学科专业预警与整改机制，动态调整高校学科专业目录，前瞻布局人工智能、集成电路、生命健康等前沿交叉学科专业，并压缩、淘汰社会需求不足的专业规模；扩大高校办学自主权，建立学科专业准入与退出机制，推动高校自主设立新兴专业、发展交叉学科，激发科技创新。三是创新高等教育资源配置方式，明确不同类型高校的功能定位与发展路径。增加研究型大学的基础研究投入，在应用型高校深化产教育人机制；实施学术型与应用型的差异化评价标准，推动发挥各自优势。</w:t>
      </w:r>
    </w:p>
    <w:p w14:paraId="4583282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大力发展职普融通、产教融合、终身学习的现代职业教育。一是实行职业教育与普通教育相互融合的人才培养模式。聚焦培养技术技能型人才，应稳步发展本科职业教育，提高职业教育地位，开展职业本科与普通本科联合培养项目，以师资互通、课程互选、学分互认的方式打破不同教育类型壁垒，实现教育资源共享。二是深化产教融合，构建产教融合共同体。高校单一主体的培养模式难以让人才跟上新质生产力的技术迭代速度，无法应对日益复杂的产业应用场景，而产教融合是解决人才培养与产业需求脱节的核心路径。建立校企合作的人才培养模式，通过校企双导师制、现代学徒制让学生在企业实践中掌握核心技能，培养出兼具理论知识和实践技能的高素质人才；实行“订单式培养”，企业深度参与教学，与高校共同制定课程内容，为高校提供实训资源与师资，学生毕业通过考核后可直接入职企业，这有利于实现学校人才培养与企业用工需求的无缝衔接。三是构建终身学习体系。在新质生产力背景下，技术更新周期大大缩短，对人才持续学习、不断提升劳动技能提出了新的挑战。鼓励高校发展在线课程平台，将精品课程资源向企业员工、自由职业者等社会群体开放；支持高校开展非学历教育，针对产业需求开发定制化培训项目，可与企业共建产业学院或培训基地，推动在职人员持续提升知识素养与专业技能；健全终身职业技能培训制度，政府发放职业技能提升培训补贴，鼓励个人参与终身学习，以此应对产业变革带来的职业转换挑战。</w:t>
      </w:r>
    </w:p>
    <w:p w14:paraId="61DFBDB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此外，打造高质量人才队伍应兼顾不同层次人才的发展需求，形成多层次、差异化的人才梯队。针对战略科学家，依托国家实验室、国家级国际联合研究中心等平台，通过重大科研项目牵引的方式支持其牵头组织全球顶尖团队攻关前沿科学问题，培养其战略眼光和国际视野；针对青年科研人员，实施青年人才托举工程，给予其更多科研自主权和资源支持，鼓励其攻克关键核心技术；针对技能型人才，应通过岗位练兵、技能竞赛等方式提升其技能水平，培养大国工匠和高技能人才。</w:t>
      </w:r>
    </w:p>
    <w:p w14:paraId="4E984128">
      <w:pPr>
        <w:pStyle w:val="4"/>
        <w:numPr>
          <w:ilvl w:val="0"/>
          <w:numId w:val="0"/>
        </w:numPr>
        <w:ind w:left="0" w:leftChars="0" w:firstLine="0" w:firstLineChars="0"/>
        <w:rPr>
          <w:rFonts w:hint="default"/>
          <w:lang w:val="en-US" w:eastAsia="zh-CN"/>
        </w:rPr>
      </w:pPr>
      <w:bookmarkStart w:id="12" w:name="_Toc29652"/>
      <w:r>
        <w:rPr>
          <w:rFonts w:hint="eastAsia" w:eastAsia="黑体" w:asciiTheme="minorHAnsi" w:hAnsiTheme="minorHAnsi" w:cstheme="minorBidi"/>
          <w:bCs/>
          <w:kern w:val="2"/>
          <w:sz w:val="24"/>
          <w:szCs w:val="32"/>
          <w:lang w:val="en-US" w:eastAsia="zh-CN" w:bidi="ar-SA"/>
        </w:rPr>
        <w:t>（</w:t>
      </w:r>
      <w:r>
        <w:rPr>
          <w:rFonts w:hint="eastAsia" w:cstheme="minorBidi"/>
          <w:bCs/>
          <w:kern w:val="2"/>
          <w:sz w:val="24"/>
          <w:szCs w:val="32"/>
          <w:lang w:val="en-US" w:eastAsia="zh-CN" w:bidi="ar-SA"/>
        </w:rPr>
        <w:t>二</w:t>
      </w:r>
      <w:r>
        <w:rPr>
          <w:rFonts w:hint="eastAsia" w:eastAsia="黑体" w:asciiTheme="minorHAnsi" w:hAnsiTheme="minorHAnsi" w:cstheme="minorBidi"/>
          <w:bCs/>
          <w:kern w:val="2"/>
          <w:sz w:val="24"/>
          <w:szCs w:val="32"/>
          <w:lang w:val="en-US" w:eastAsia="zh-CN" w:bidi="ar-SA"/>
        </w:rPr>
        <w:t>）</w:t>
      </w:r>
      <w:r>
        <w:rPr>
          <w:rFonts w:hint="default"/>
          <w:lang w:val="en-US" w:eastAsia="zh-CN"/>
        </w:rPr>
        <w:t>完善人才评价与激励机制，激发人才的创新活力</w:t>
      </w:r>
      <w:bookmarkEnd w:id="12"/>
    </w:p>
    <w:p w14:paraId="4C28833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科学的评价与完善的激励机制是</w:t>
      </w:r>
      <w:r>
        <w:rPr>
          <w:rFonts w:hint="eastAsia" w:ascii="宋体" w:hAnsi="宋体" w:eastAsia="宋体" w:cs="Times New Roman"/>
          <w:kern w:val="2"/>
          <w:sz w:val="24"/>
          <w:szCs w:val="24"/>
          <w:lang w:val="en-US" w:eastAsia="zh-CN" w:bidi="ar-SA"/>
        </w:rPr>
        <w:t>释放</w:t>
      </w:r>
      <w:r>
        <w:rPr>
          <w:rFonts w:hint="default" w:ascii="宋体" w:hAnsi="宋体" w:eastAsia="宋体" w:cs="Times New Roman"/>
          <w:kern w:val="2"/>
          <w:sz w:val="24"/>
          <w:szCs w:val="24"/>
          <w:lang w:val="en-US" w:eastAsia="zh-CN" w:bidi="ar-SA"/>
        </w:rPr>
        <w:t>人才潜能</w:t>
      </w:r>
      <w:r>
        <w:rPr>
          <w:rFonts w:hint="eastAsia" w:ascii="宋体" w:hAnsi="宋体" w:eastAsia="宋体" w:cs="Times New Roman"/>
          <w:kern w:val="2"/>
          <w:sz w:val="24"/>
          <w:szCs w:val="24"/>
          <w:lang w:val="en-US" w:eastAsia="zh-CN" w:bidi="ar-SA"/>
        </w:rPr>
        <w:t>、激发创新活力</w:t>
      </w:r>
      <w:r>
        <w:rPr>
          <w:rFonts w:hint="default" w:ascii="宋体" w:hAnsi="宋体" w:eastAsia="宋体" w:cs="Times New Roman"/>
          <w:kern w:val="2"/>
          <w:sz w:val="24"/>
          <w:szCs w:val="24"/>
          <w:lang w:val="en-US" w:eastAsia="zh-CN" w:bidi="ar-SA"/>
        </w:rPr>
        <w:t>的关键保障。当前，部分领域存在</w:t>
      </w:r>
      <w:r>
        <w:rPr>
          <w:rFonts w:hint="eastAsia" w:ascii="宋体" w:hAnsi="宋体" w:eastAsia="宋体" w:cs="Times New Roman"/>
          <w:kern w:val="2"/>
          <w:sz w:val="24"/>
          <w:szCs w:val="24"/>
          <w:lang w:val="en-US" w:eastAsia="zh-CN" w:bidi="ar-SA"/>
        </w:rPr>
        <w:t>评价标准单一、功利化倾向突出</w:t>
      </w:r>
      <w:r>
        <w:rPr>
          <w:rFonts w:hint="default" w:ascii="宋体" w:hAnsi="宋体" w:eastAsia="宋体" w:cs="Times New Roman"/>
          <w:kern w:val="2"/>
          <w:sz w:val="24"/>
          <w:szCs w:val="24"/>
          <w:lang w:val="en-US" w:eastAsia="zh-CN" w:bidi="ar-SA"/>
        </w:rPr>
        <w:t>、激励</w:t>
      </w:r>
      <w:r>
        <w:rPr>
          <w:rFonts w:hint="eastAsia" w:ascii="宋体" w:hAnsi="宋体" w:eastAsia="宋体" w:cs="Times New Roman"/>
          <w:kern w:val="2"/>
          <w:sz w:val="24"/>
          <w:szCs w:val="24"/>
          <w:lang w:val="en-US" w:eastAsia="zh-CN" w:bidi="ar-SA"/>
        </w:rPr>
        <w:t>方式固化</w:t>
      </w:r>
      <w:r>
        <w:rPr>
          <w:rFonts w:hint="default" w:ascii="宋体" w:hAnsi="宋体" w:eastAsia="宋体" w:cs="Times New Roman"/>
          <w:kern w:val="2"/>
          <w:sz w:val="24"/>
          <w:szCs w:val="24"/>
          <w:lang w:val="en-US" w:eastAsia="zh-CN" w:bidi="ar-SA"/>
        </w:rPr>
        <w:t>等问题，制约了人才创新</w:t>
      </w:r>
      <w:r>
        <w:rPr>
          <w:rFonts w:hint="eastAsia" w:ascii="宋体" w:hAnsi="宋体" w:eastAsia="宋体" w:cs="Times New Roman"/>
          <w:kern w:val="2"/>
          <w:sz w:val="24"/>
          <w:szCs w:val="24"/>
          <w:lang w:val="en-US" w:eastAsia="zh-CN" w:bidi="ar-SA"/>
        </w:rPr>
        <w:t>的活力与动力</w:t>
      </w:r>
      <w:r>
        <w:rPr>
          <w:rFonts w:hint="default" w:ascii="宋体" w:hAnsi="宋体" w:eastAsia="宋体" w:cs="Times New Roman"/>
          <w:kern w:val="2"/>
          <w:sz w:val="24"/>
          <w:szCs w:val="24"/>
          <w:lang w:val="en-US" w:eastAsia="zh-CN" w:bidi="ar-SA"/>
        </w:rPr>
        <w:t>。因此，需打破传统评价桎梏，建立</w:t>
      </w:r>
      <w:r>
        <w:rPr>
          <w:rFonts w:hint="eastAsia" w:ascii="宋体" w:hAnsi="宋体" w:eastAsia="宋体" w:cs="Times New Roman"/>
          <w:kern w:val="2"/>
          <w:sz w:val="24"/>
          <w:szCs w:val="24"/>
          <w:lang w:val="en-US" w:eastAsia="zh-CN" w:bidi="ar-SA"/>
        </w:rPr>
        <w:t>科学完善的人才评价与激励机制，</w:t>
      </w:r>
      <w:r>
        <w:rPr>
          <w:rFonts w:hint="default" w:ascii="宋体" w:hAnsi="宋体" w:eastAsia="宋体" w:cs="Times New Roman"/>
          <w:kern w:val="2"/>
          <w:sz w:val="24"/>
          <w:szCs w:val="24"/>
          <w:lang w:val="en-US" w:eastAsia="zh-CN" w:bidi="ar-SA"/>
        </w:rPr>
        <w:t>让人才创新</w:t>
      </w:r>
      <w:r>
        <w:rPr>
          <w:rFonts w:hint="eastAsia" w:ascii="宋体" w:hAnsi="宋体" w:eastAsia="宋体" w:cs="Times New Roman"/>
          <w:kern w:val="2"/>
          <w:sz w:val="24"/>
          <w:szCs w:val="24"/>
          <w:lang w:val="en-US" w:eastAsia="zh-CN" w:bidi="ar-SA"/>
        </w:rPr>
        <w:t>得到应有回报</w:t>
      </w:r>
      <w:r>
        <w:rPr>
          <w:rFonts w:hint="default" w:ascii="宋体" w:hAnsi="宋体" w:eastAsia="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充分激发人才的创新创造活力，为发展新质生产力注入持久动力。</w:t>
      </w:r>
    </w:p>
    <w:p w14:paraId="57AF9D6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建立科学多元的人才评价体系。评价人才不能单纯局限于学历高低与论文发表，还应关注其对科技创新、产业发展等方面的贡献。但当前的评价体系过于侧重论文数量与项目经费等量化指标，导致科研活动出现重数量轻质量、重理论轻应用的倾向，严重制约着科研成果转化效率与关键核心技术攻关进程。这要求我们必须破除传统人才评价的“四维”倾向，构建起契合新质生产力发展需求的人才评价体系。正如习近平强调的，“完善好人才评价指挥棒作用，为人才发挥作用、施展才华提供更加广阔的天地”</w:t>
      </w:r>
      <w:r>
        <w:rPr>
          <w:rStyle w:val="9"/>
          <w:rFonts w:hint="eastAsia" w:ascii="宋体" w:hAnsi="宋体" w:eastAsia="宋体" w:cs="Times New Roman"/>
          <w:kern w:val="2"/>
          <w:sz w:val="24"/>
          <w:szCs w:val="24"/>
          <w:lang w:val="en-US" w:eastAsia="zh-CN" w:bidi="ar-SA"/>
        </w:rPr>
        <w:footnoteReference w:id="11"/>
      </w:r>
      <w:r>
        <w:rPr>
          <w:rFonts w:hint="eastAsia" w:ascii="宋体" w:hAnsi="宋体" w:eastAsia="宋体" w:cs="Times New Roman"/>
          <w:kern w:val="2"/>
          <w:sz w:val="24"/>
          <w:szCs w:val="24"/>
          <w:lang w:val="en-US" w:eastAsia="zh-CN" w:bidi="ar-SA"/>
        </w:rPr>
        <w:t>。一是以知识、能力、业绩、贡献为核心导向，实行分类分层评价，彻底解决评价标准“一刀切”问题。根据不同行业、不同领域、不同岗位人才的工作特点、创新方式与产出形态实行差别化评价。对基础研究人才实行长周期评价与弹性考核机制，摒弃短期量化指标的过度约束，重点考察其长期成效、研究成果的原创性与学术影响，允许“十年磨一剑”；对应用研究和技术开发人才，应看重其解决实际问题的能力，将成果转化效益、产业贡献度及市场应用前景纳入评价体系。同时，针对人工智能、生物制药、量子科技等新质生产力核心领域的复合型人才，增设跨学科协作能力、技术创新能力、数据安全治理能力等特色评价指标，提升评价的精准适配性。二是突破单一评价模式的局限，完善评价主体的多元化机制。强调“谁用人、谁评价”的原则，赋予用人单位评价自主权，支持用人单位结合生产实际自行确定评价标准和方式，提升人才评价的精准性与科学性；引入专业的第三方评价机构，客观评估人才的创新成果，同时广泛引入企业、行业协会等市场主体参与评价，充分吸纳，企业家、技术专家、一线工程师的意见，从产业应用视角评估人才成果的实际价值，避免主观性偏差，提高评价的公正性与客观性。</w:t>
      </w:r>
    </w:p>
    <w:p w14:paraId="02ADEAC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构建多元化、长周期的人才激励机制。公平合理的待遇体现对人才价值的认可，将直接激发创新积极性，是激励人才发展和提高国际竞争力的核心杠杆，“要建立灵活的人才激励机制，让作出贡献的人才有成就感、获得感”</w:t>
      </w:r>
      <w:r>
        <w:rPr>
          <w:rStyle w:val="9"/>
          <w:rFonts w:hint="eastAsia" w:ascii="宋体" w:hAnsi="宋体" w:eastAsia="宋体" w:cs="Times New Roman"/>
          <w:kern w:val="2"/>
          <w:sz w:val="24"/>
          <w:szCs w:val="24"/>
          <w:lang w:val="en-US" w:eastAsia="zh-CN" w:bidi="ar-SA"/>
        </w:rPr>
        <w:footnoteReference w:id="12"/>
      </w:r>
      <w:r>
        <w:rPr>
          <w:rFonts w:hint="eastAsia" w:ascii="宋体" w:hAnsi="宋体" w:eastAsia="宋体" w:cs="Times New Roman"/>
          <w:kern w:val="2"/>
          <w:sz w:val="24"/>
          <w:szCs w:val="24"/>
          <w:lang w:val="en-US" w:eastAsia="zh-CN" w:bidi="ar-SA"/>
        </w:rPr>
        <w:t>。一是优化薪酬结构体系，强化长期稳定激励，实现薪酬与贡献的精准匹配。应提高科研人员及一线技术人才的基本工资，实行与创新贡献相挂钩的绩效导向机制。</w:t>
      </w:r>
    </w:p>
    <w:p w14:paraId="6CC79C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针对核心技术人才、领军人才等关键群体，推行项目工资制、协议工资制等灵活薪酬模式，根据项目攻关成效、成果转化收益等动态发放绩效工资；设立人才发展奖金池，对取得重大创新成果的人才给予重奖；还应推行股权、期权、分红等长期激励举措，鼓励科技企业、研发机构等创新主体以股权形式激励人才，将人才个人利益与单位长远发展深度绑定，引导人才聚焦长期创新目标，持续投身科技创新实践。二是完善科技成果转化收益机制。在保留单位所有权的前提下，赋予科研人员科研成果的长期使用权与收益分享权，明确主要贡献人员在成果转化收益中的比例不低于70%；同时完善市场化激励方式，允许科研人员以技术入股、专利许可、超额利润共享的方式获取长期收益，拓宽人才收入渠道。三是完善人才表彰激励制度。加大荣誉表彰与精神激励力度，对作出重大科技贡献的团队或个人授予荣誉称号，并给予一定的物质奖励，实现物质奖励与精神奖励的融合；进一步发挥优秀青年科学基金、全国创新争先奖、国际工程师奖、国家最高科学技术奖等专项奖励的激励作用，并进一步扩大奖励覆盖面，让不同年龄段、不同领域、不同级别的人才都能得到荣誉认可；通过主流媒体、视频网站等渠道在全社会宣传优秀科技工作者的先进事迹，讲好人才创新故事，增强其职业获得感与荣誉感、提升其社会地位，从而激励各领域人才不断开拓创新、攻坚克难。</w:t>
      </w:r>
    </w:p>
    <w:p w14:paraId="53B6E174">
      <w:pPr>
        <w:pStyle w:val="4"/>
        <w:numPr>
          <w:ilvl w:val="0"/>
          <w:numId w:val="0"/>
        </w:numPr>
        <w:rPr>
          <w:rFonts w:hint="default"/>
          <w:lang w:val="en-US" w:eastAsia="zh-CN"/>
        </w:rPr>
      </w:pPr>
      <w:bookmarkStart w:id="13" w:name="_Toc3107"/>
      <w:r>
        <w:rPr>
          <w:rFonts w:hint="eastAsia"/>
          <w:lang w:val="en-US" w:eastAsia="zh-CN"/>
        </w:rPr>
        <w:t>（三）</w:t>
      </w:r>
      <w:r>
        <w:rPr>
          <w:rFonts w:hint="default"/>
          <w:lang w:val="en-US" w:eastAsia="zh-CN"/>
        </w:rPr>
        <w:t>优化人才引进与服务机制，保障人才可持续供给</w:t>
      </w:r>
      <w:bookmarkEnd w:id="13"/>
    </w:p>
    <w:p w14:paraId="4CC9154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新质生产力的快速发展对人才的需求呈现爆发式增长，但我国在高端芯片、半导体等前沿领域存在人才缺口，仅依靠本土培养难以弥补短期内的人才短板，部分地区存在人才引进精准度不够、服务保障不到位等问题，影响了人才的引进质量与留存率。同时，发达国家也纷纷出台优惠政策争夺高端人才。习近平强调，“谁能培养和吸引更多优秀人才，谁就能在竞争中占据优势。”</w:t>
      </w:r>
      <w:r>
        <w:rPr>
          <w:rStyle w:val="9"/>
          <w:rFonts w:hint="eastAsia" w:ascii="宋体" w:hAnsi="宋体" w:eastAsia="宋体" w:cs="Times New Roman"/>
          <w:kern w:val="2"/>
          <w:sz w:val="24"/>
          <w:szCs w:val="24"/>
          <w:lang w:val="en-US" w:eastAsia="zh-CN" w:bidi="ar-SA"/>
        </w:rPr>
        <w:footnoteReference w:id="13"/>
      </w:r>
      <w:r>
        <w:rPr>
          <w:rFonts w:hint="eastAsia" w:ascii="宋体" w:hAnsi="宋体" w:eastAsia="宋体" w:cs="Times New Roman"/>
          <w:kern w:val="2"/>
          <w:sz w:val="24"/>
          <w:szCs w:val="24"/>
          <w:lang w:val="en-US" w:eastAsia="zh-CN" w:bidi="ar-SA"/>
        </w:rPr>
        <w:t>因此，我们必须聚天下英才而用之，切实优化人才引进与服务机制，坚持做到精准引才、服务留才，保障新质生产力发展的人才可持续供给。</w:t>
      </w:r>
    </w:p>
    <w:p w14:paraId="77993D2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第一，实施精准引才策略，避免“大水漫灌”式引才。精准定位人才需求是提升引才效能的前提，各地应立足新质生产力发展的战略布局，</w:t>
      </w:r>
      <w:r>
        <w:rPr>
          <w:rFonts w:hint="default" w:ascii="宋体" w:hAnsi="宋体" w:eastAsia="宋体" w:cs="Times New Roman"/>
          <w:kern w:val="2"/>
          <w:sz w:val="24"/>
          <w:szCs w:val="24"/>
          <w:lang w:val="en-US" w:eastAsia="zh-CN" w:bidi="ar-SA"/>
        </w:rPr>
        <w:t>建立动态适配的精准引才机制。</w:t>
      </w:r>
      <w:r>
        <w:rPr>
          <w:rFonts w:hint="eastAsia" w:ascii="宋体" w:hAnsi="宋体" w:eastAsia="宋体" w:cs="Times New Roman"/>
          <w:kern w:val="2"/>
          <w:sz w:val="24"/>
          <w:szCs w:val="24"/>
          <w:lang w:val="en-US" w:eastAsia="zh-CN" w:bidi="ar-SA"/>
        </w:rPr>
        <w:t>围绕新质生产力的主攻方向与重点产业，重点引进“高精尖缺”人才。依托国家统计局官方网站、国际统计数据发布库等平台，利用大数据技术整合产业政策、关键核心技术攻关清单等多维数据，</w:t>
      </w:r>
      <w:r>
        <w:rPr>
          <w:rFonts w:hint="default" w:ascii="宋体" w:hAnsi="宋体" w:eastAsia="宋体" w:cs="Times New Roman"/>
          <w:kern w:val="2"/>
          <w:sz w:val="24"/>
          <w:szCs w:val="24"/>
          <w:lang w:val="en-US" w:eastAsia="zh-CN" w:bidi="ar-SA"/>
        </w:rPr>
        <w:t>定期编制并发布</w:t>
      </w:r>
      <w:r>
        <w:rPr>
          <w:rFonts w:hint="eastAsia" w:ascii="宋体" w:hAnsi="宋体" w:eastAsia="宋体" w:cs="Times New Roman"/>
          <w:kern w:val="2"/>
          <w:sz w:val="24"/>
          <w:szCs w:val="24"/>
          <w:lang w:val="en-US" w:eastAsia="zh-CN" w:bidi="ar-SA"/>
        </w:rPr>
        <w:t>紧缺人才</w:t>
      </w:r>
      <w:r>
        <w:rPr>
          <w:rFonts w:hint="default" w:ascii="宋体" w:hAnsi="宋体" w:eastAsia="宋体" w:cs="Times New Roman"/>
          <w:kern w:val="2"/>
          <w:sz w:val="24"/>
          <w:szCs w:val="24"/>
          <w:lang w:val="en-US" w:eastAsia="zh-CN" w:bidi="ar-SA"/>
        </w:rPr>
        <w:t>目录，明确不同领域、不同</w:t>
      </w:r>
      <w:r>
        <w:rPr>
          <w:rFonts w:hint="eastAsia" w:ascii="宋体" w:hAnsi="宋体" w:eastAsia="宋体" w:cs="Times New Roman"/>
          <w:kern w:val="2"/>
          <w:sz w:val="24"/>
          <w:szCs w:val="24"/>
          <w:lang w:val="en-US" w:eastAsia="zh-CN" w:bidi="ar-SA"/>
        </w:rPr>
        <w:t>层次</w:t>
      </w:r>
      <w:r>
        <w:rPr>
          <w:rFonts w:hint="default" w:ascii="宋体" w:hAnsi="宋体" w:eastAsia="宋体" w:cs="Times New Roman"/>
          <w:kern w:val="2"/>
          <w:sz w:val="24"/>
          <w:szCs w:val="24"/>
          <w:lang w:val="en-US" w:eastAsia="zh-CN" w:bidi="ar-SA"/>
        </w:rPr>
        <w:t>人才的缺口数量</w:t>
      </w:r>
      <w:r>
        <w:rPr>
          <w:rFonts w:hint="eastAsia" w:ascii="宋体" w:hAnsi="宋体" w:eastAsia="宋体" w:cs="Times New Roman"/>
          <w:kern w:val="2"/>
          <w:sz w:val="24"/>
          <w:szCs w:val="24"/>
          <w:lang w:val="en-US" w:eastAsia="zh-CN" w:bidi="ar-SA"/>
        </w:rPr>
        <w:t>与</w:t>
      </w:r>
      <w:r>
        <w:rPr>
          <w:rFonts w:hint="default" w:ascii="宋体" w:hAnsi="宋体" w:eastAsia="宋体" w:cs="Times New Roman"/>
          <w:kern w:val="2"/>
          <w:sz w:val="24"/>
          <w:szCs w:val="24"/>
          <w:lang w:val="en-US" w:eastAsia="zh-CN" w:bidi="ar-SA"/>
        </w:rPr>
        <w:t>能力要求，为引才工作提供精准</w:t>
      </w:r>
      <w:r>
        <w:rPr>
          <w:rFonts w:hint="eastAsia" w:ascii="宋体" w:hAnsi="宋体" w:eastAsia="宋体" w:cs="Times New Roman"/>
          <w:kern w:val="2"/>
          <w:sz w:val="24"/>
          <w:szCs w:val="24"/>
          <w:lang w:val="en-US" w:eastAsia="zh-CN" w:bidi="ar-SA"/>
        </w:rPr>
        <w:t>导航</w:t>
      </w:r>
      <w:r>
        <w:rPr>
          <w:rFonts w:hint="default" w:ascii="宋体" w:hAnsi="宋体" w:eastAsia="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比如，对于数字经济、绿色环保等新兴产业，应重点引进复合型人才与高技能人才；对于“卡脖子”技术领域，应重点引进战略科学家、顶尖技术人才，实现人才引进与产业需求的精准适配。</w:t>
      </w:r>
    </w:p>
    <w:p w14:paraId="321B7DE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创新引才模式，拓宽引才渠道。一方面，应强化政府主导的引才活动，通过开展专场推介会、海外高层次人才创新创业大赛等活动搭建人才对接平台，推进人才项目落地。另一方面，充分发挥市场主体的引才作用，鼓励企业在海外设立研发中心、人才服务站，就地引进海外高端人才。同时，突破地域、户籍、国籍的限制，推广“柔性引才”机制，企业可设立“周末工程师”“科技副总”等岗位，降低企业引才难度；通过短期兼职、远程服务等方式吸引海外专家参与国内发展的技术指导和决策咨询，降低其全职入职门槛。此外，对顶尖领军人才，采取“一事一议、一人一策”方式，提供定制化引才方案，赋予其科研立项、经费支配、团队组建等方面的充分自主权；对急需紧缺的专业技术人才，通过“揭项目合作、派驻合作等柔性方式实现人才共享。</w:t>
      </w:r>
    </w:p>
    <w:p w14:paraId="1D7847F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三，强化人才安居保障，构建全方位的服务体系。优化服务的关键在于解决人才关心的“关键小事”，增强人才的归属感和幸福感。这些“关键小事”看似繁琐，却是“留住人才、用好人才”的重要基础。一是解决人才住房问题。针对青年群体购房压力大的现实痛点，应加快建设人才公寓，合理规划公寓选址，完善交通、商业、休闲等配套设施，提高人才居住舒适度；对不同层级人才实行差异化住房补贴、购房优惠政策，切实降低人才安家落户成本。二是实施精准化的经济支持。针对科研人才前期研发投入大、生活成本高的特点，除发放常规生活补贴外，重点增设科研津贴、交通补贴等专项补贴，减轻其经济压力。三是妥善安置人才家庭成员。政府主动协调预留区域内优质中小学、幼儿园的专项名额，简化入学审批流程，保障人才子女就近享受优质教育资源，并合理安置人才配偶，切实解决人才的家庭牵挂。四是推行便捷化专属服务。全面推行人才卡制度，人才凭卡可享受免费公共交通、免费体检、政务绿色通道等专属福利，让人才感受到城市的温度与关怀。</w:t>
      </w:r>
    </w:p>
    <w:p w14:paraId="21704ED9">
      <w:pPr>
        <w:pStyle w:val="3"/>
        <w:rPr>
          <w:rFonts w:hint="default"/>
          <w:lang w:val="en-US" w:eastAsia="zh-CN"/>
        </w:rPr>
      </w:pPr>
      <w:bookmarkStart w:id="14" w:name="_Toc5831"/>
      <w:r>
        <w:rPr>
          <w:rFonts w:hint="eastAsia"/>
          <w:lang w:val="en-US" w:eastAsia="zh-CN"/>
        </w:rPr>
        <w:t>四、</w:t>
      </w:r>
      <w:r>
        <w:rPr>
          <w:rFonts w:hint="default"/>
          <w:lang w:val="en-US" w:eastAsia="zh-CN"/>
        </w:rPr>
        <w:t>扩大高水平对外开放，营造发展新质生产力的有利环境</w:t>
      </w:r>
      <w:bookmarkEnd w:id="14"/>
    </w:p>
    <w:p w14:paraId="116CA1B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新质生产力的发展具有鲜明的开放性与全球性特质，其培育壮大离不开全球创新资源的支撑与开放环境的滋养。当前，国际竞争与合作交织演进，全球分工模式发生重大调整，传统的要素流动型开放模式已难以适配新质生产力对高端要素全球化配置的需要。唯有通过拓展对外开放维度、构筑多元合作平台、主动对接国际规则，才能为新质生产力集聚全球优质资源、推动其深度融入全球经济体系，为新质生产力的发展营造有利的国际环境。</w:t>
      </w:r>
    </w:p>
    <w:p w14:paraId="32977203">
      <w:pPr>
        <w:pStyle w:val="4"/>
        <w:numPr>
          <w:ilvl w:val="0"/>
          <w:numId w:val="0"/>
        </w:numPr>
        <w:rPr>
          <w:rFonts w:hint="default"/>
          <w:lang w:val="en-US" w:eastAsia="zh-CN"/>
        </w:rPr>
      </w:pPr>
      <w:bookmarkStart w:id="15" w:name="_Toc6741"/>
      <w:r>
        <w:rPr>
          <w:rFonts w:hint="eastAsia"/>
          <w:lang w:val="en-US" w:eastAsia="zh-CN"/>
        </w:rPr>
        <w:t>（一）</w:t>
      </w:r>
      <w:r>
        <w:rPr>
          <w:rFonts w:hint="default"/>
          <w:lang w:val="en-US" w:eastAsia="zh-CN"/>
        </w:rPr>
        <w:t>拓展对外开放维度，</w:t>
      </w:r>
      <w:r>
        <w:rPr>
          <w:rFonts w:hint="eastAsia"/>
          <w:lang w:val="en-US" w:eastAsia="zh-CN"/>
        </w:rPr>
        <w:t>加快形成新发展格局</w:t>
      </w:r>
      <w:bookmarkEnd w:id="15"/>
    </w:p>
    <w:p w14:paraId="70DDA3A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习近平多次强调，“中国开放的大门不会关闭，只会越开越大。”</w:t>
      </w:r>
      <w:r>
        <w:rPr>
          <w:rStyle w:val="9"/>
          <w:rFonts w:hint="eastAsia" w:ascii="宋体" w:hAnsi="宋体" w:eastAsia="宋体" w:cs="Times New Roman"/>
          <w:kern w:val="2"/>
          <w:sz w:val="24"/>
          <w:szCs w:val="24"/>
          <w:lang w:val="en-US" w:eastAsia="zh-CN" w:bidi="ar-SA"/>
        </w:rPr>
        <w:footnoteReference w:id="14"/>
      </w:r>
      <w:r>
        <w:rPr>
          <w:rFonts w:hint="eastAsia" w:ascii="宋体" w:hAnsi="宋体" w:eastAsia="宋体" w:cs="Times New Roman"/>
          <w:kern w:val="2"/>
          <w:sz w:val="24"/>
          <w:szCs w:val="24"/>
          <w:lang w:val="en-US" w:eastAsia="zh-CN" w:bidi="ar-SA"/>
        </w:rPr>
        <w:t>拓展对外开放维度的核心在于发挥国内国际双循环的相互促进作用，实现我国更大范围、更宽领域及更深层次的开放，为新质生产力的发展提供广阔的市场空间、高效的要素配置与技术供给。</w:t>
      </w:r>
    </w:p>
    <w:p w14:paraId="34EC93C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0"/>
        <w:textAlignment w:val="auto"/>
        <w:rPr>
          <w:rFonts w:hint="eastAsia" w:ascii="宋体" w:hAnsi="宋体" w:eastAsia="宋体" w:cs="Times New Roman"/>
          <w:bCs w:val="0"/>
          <w:kern w:val="2"/>
          <w:sz w:val="24"/>
          <w:szCs w:val="24"/>
          <w:lang w:val="en-US" w:eastAsia="zh-CN" w:bidi="ar-SA"/>
        </w:rPr>
      </w:pPr>
      <w:r>
        <w:rPr>
          <w:rFonts w:hint="eastAsia" w:ascii="宋体" w:hAnsi="宋体" w:eastAsia="宋体" w:cs="Times New Roman"/>
          <w:bCs w:val="0"/>
          <w:kern w:val="2"/>
          <w:sz w:val="24"/>
          <w:szCs w:val="24"/>
          <w:lang w:val="en-US" w:eastAsia="zh-CN" w:bidi="ar-SA"/>
        </w:rPr>
        <w:t>一方面，优化对外开放的空间布局，巩固东部沿海地区的开放引领地位、推动中西部和东北地区协同跟进，“形成陆海内外联动、东西双向互济的全面开放格局”</w:t>
      </w:r>
      <w:r>
        <w:rPr>
          <w:rStyle w:val="9"/>
          <w:rFonts w:hint="eastAsia" w:ascii="宋体" w:hAnsi="宋体" w:eastAsia="宋体" w:cs="Times New Roman"/>
          <w:bCs w:val="0"/>
          <w:kern w:val="2"/>
          <w:sz w:val="24"/>
          <w:szCs w:val="24"/>
          <w:lang w:val="en-US" w:eastAsia="zh-CN" w:bidi="ar-SA"/>
        </w:rPr>
        <w:footnoteReference w:id="15"/>
      </w:r>
      <w:r>
        <w:rPr>
          <w:rFonts w:hint="eastAsia" w:ascii="宋体" w:hAnsi="宋体" w:eastAsia="宋体" w:cs="Times New Roman"/>
          <w:bCs w:val="0"/>
          <w:kern w:val="2"/>
          <w:sz w:val="24"/>
          <w:szCs w:val="24"/>
          <w:lang w:val="en-US" w:eastAsia="zh-CN" w:bidi="ar-SA"/>
        </w:rPr>
        <w:t>。京津冀、长三角、珠三角地区应依托优质教育资源与区位优势建设国际科技园，吸引全球高端人才与科技企业，建设创新枢纽，并重点布局高端装备制造、生物制药、海洋经济等产业，打造具有国际竞争力的产业集群；同时发展“飞地经济”，建设跨地域的产业园区，形成东部研发创新、中西部制造转移的区域协调发展模式。中西部地区依托“一带一路”、中欧班列、西部陆海新通道等发展与沿线周边国家的跨境贸易、跨境物流及跨境产业合作，打通面向中亚、西亚、中东欧、东盟等地区的开放通道；东北地区应通过边境经济合作区深化与俄罗斯、朝鲜、蒙古等东北亚国家的经贸合作，为新质生产力的发展注入区域合作动力。此外，充分发挥海南自由贸易港、自由贸易试验区等开放平台的“试验田”作用，重点开展跨境服务贸易、知识产权保护、数据跨境流动等方面的改革试点，为全国范围内的制度开放提供借鉴经验。</w:t>
      </w:r>
    </w:p>
    <w:p w14:paraId="7BFD687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0"/>
        <w:textAlignment w:val="auto"/>
        <w:rPr>
          <w:rFonts w:hint="default" w:ascii="宋体" w:hAnsi="宋体" w:eastAsia="宋体" w:cs="Times New Roman"/>
          <w:bCs w:val="0"/>
          <w:kern w:val="2"/>
          <w:sz w:val="24"/>
          <w:szCs w:val="24"/>
          <w:lang w:val="en-US" w:eastAsia="zh-CN" w:bidi="ar-SA"/>
        </w:rPr>
      </w:pPr>
      <w:r>
        <w:rPr>
          <w:rFonts w:hint="eastAsia" w:ascii="宋体" w:hAnsi="宋体" w:eastAsia="宋体" w:cs="Times New Roman"/>
          <w:bCs w:val="0"/>
          <w:kern w:val="2"/>
          <w:sz w:val="24"/>
          <w:szCs w:val="24"/>
          <w:lang w:val="en-US" w:eastAsia="zh-CN" w:bidi="ar-SA"/>
        </w:rPr>
        <w:t>另一方面，扩大制度型开放，深化要素开放，促进人才、技术、数据等先进生产要素的跨境自由流动。在人才要素开放层面，为海外人才提供签证办理、工作许可、永久居留资格审批的绿色通道，简化审批流程、缩短审批时间；完善海外人才社会保障机制，允许海外人才在国内参加养老保险、医疗保险，消除人才流动的后顾之忧。例如，我国于2025年10月新增了青年科技人才签证（“K字签证”），为海外人才提供了便捷的出入境与工作保障，吸引了大批高端人才集聚，有力促进了中外青年科技人才间的交流合作。同时鼓励国内外高校、科研机构联合培养人才，支持国际知名高校和科研机构在华设立分支机构或联合实验室，吸引全球顶尖科学家及其团队来华从事前沿研究。</w:t>
      </w:r>
      <w:r>
        <w:rPr>
          <w:rFonts w:hint="default" w:ascii="宋体" w:hAnsi="宋体" w:eastAsia="宋体" w:cs="Times New Roman"/>
          <w:bCs w:val="0"/>
          <w:kern w:val="2"/>
          <w:sz w:val="24"/>
          <w:szCs w:val="24"/>
          <w:lang w:val="en-US" w:eastAsia="zh-CN" w:bidi="ar-SA"/>
        </w:rPr>
        <w:t>在技术要素开放</w:t>
      </w:r>
      <w:r>
        <w:rPr>
          <w:rFonts w:hint="eastAsia" w:ascii="宋体" w:hAnsi="宋体" w:eastAsia="宋体" w:cs="Times New Roman"/>
          <w:bCs w:val="0"/>
          <w:kern w:val="2"/>
          <w:sz w:val="24"/>
          <w:szCs w:val="24"/>
          <w:lang w:val="en-US" w:eastAsia="zh-CN" w:bidi="ar-SA"/>
        </w:rPr>
        <w:t>层面</w:t>
      </w:r>
      <w:r>
        <w:rPr>
          <w:rFonts w:hint="default" w:ascii="宋体" w:hAnsi="宋体" w:eastAsia="宋体" w:cs="Times New Roman"/>
          <w:bCs w:val="0"/>
          <w:kern w:val="2"/>
          <w:sz w:val="24"/>
          <w:szCs w:val="24"/>
          <w:lang w:val="en-US" w:eastAsia="zh-CN" w:bidi="ar-SA"/>
        </w:rPr>
        <w:t>，</w:t>
      </w:r>
      <w:r>
        <w:rPr>
          <w:rFonts w:hint="eastAsia" w:ascii="宋体" w:hAnsi="宋体" w:eastAsia="宋体" w:cs="Times New Roman"/>
          <w:bCs w:val="0"/>
          <w:kern w:val="2"/>
          <w:sz w:val="24"/>
          <w:szCs w:val="24"/>
          <w:lang w:val="en-US" w:eastAsia="zh-CN" w:bidi="ar-SA"/>
        </w:rPr>
        <w:t>坚持“引进来”与“走出去”并重，</w:t>
      </w:r>
      <w:r>
        <w:rPr>
          <w:rFonts w:hint="default" w:ascii="宋体" w:hAnsi="宋体" w:eastAsia="宋体" w:cs="Times New Roman"/>
          <w:bCs w:val="0"/>
          <w:kern w:val="2"/>
          <w:sz w:val="24"/>
          <w:szCs w:val="24"/>
          <w:lang w:val="en-US" w:eastAsia="zh-CN" w:bidi="ar-SA"/>
        </w:rPr>
        <w:t>鼓励企业通过联合研发</w:t>
      </w:r>
      <w:r>
        <w:rPr>
          <w:rFonts w:hint="eastAsia" w:ascii="宋体" w:hAnsi="宋体" w:eastAsia="宋体" w:cs="Times New Roman"/>
          <w:bCs w:val="0"/>
          <w:kern w:val="2"/>
          <w:sz w:val="24"/>
          <w:szCs w:val="24"/>
          <w:lang w:val="en-US" w:eastAsia="zh-CN" w:bidi="ar-SA"/>
        </w:rPr>
        <w:t>、并购海外技术公司、成立合资公司</w:t>
      </w:r>
      <w:r>
        <w:rPr>
          <w:rFonts w:hint="default" w:ascii="宋体" w:hAnsi="宋体" w:eastAsia="宋体" w:cs="Times New Roman"/>
          <w:bCs w:val="0"/>
          <w:kern w:val="2"/>
          <w:sz w:val="24"/>
          <w:szCs w:val="24"/>
          <w:lang w:val="en-US" w:eastAsia="zh-CN" w:bidi="ar-SA"/>
        </w:rPr>
        <w:t>等方式引进国外先进技术，并进行消化吸收再创新</w:t>
      </w:r>
      <w:r>
        <w:rPr>
          <w:rFonts w:hint="eastAsia" w:ascii="宋体" w:hAnsi="宋体" w:eastAsia="宋体" w:cs="Times New Roman"/>
          <w:bCs w:val="0"/>
          <w:kern w:val="2"/>
          <w:sz w:val="24"/>
          <w:szCs w:val="24"/>
          <w:lang w:val="en-US" w:eastAsia="zh-CN" w:bidi="ar-SA"/>
        </w:rPr>
        <w:t>；同时，</w:t>
      </w:r>
      <w:r>
        <w:rPr>
          <w:rFonts w:hint="default" w:ascii="宋体" w:hAnsi="宋体" w:eastAsia="宋体" w:cs="Times New Roman"/>
          <w:bCs w:val="0"/>
          <w:kern w:val="2"/>
          <w:sz w:val="24"/>
          <w:szCs w:val="24"/>
          <w:lang w:val="en-US" w:eastAsia="zh-CN" w:bidi="ar-SA"/>
        </w:rPr>
        <w:t>支持国内先进技术出口，</w:t>
      </w:r>
      <w:r>
        <w:rPr>
          <w:rFonts w:hint="eastAsia" w:ascii="宋体" w:hAnsi="宋体" w:eastAsia="宋体" w:cs="Times New Roman"/>
          <w:bCs w:val="0"/>
          <w:kern w:val="2"/>
          <w:sz w:val="24"/>
          <w:szCs w:val="24"/>
          <w:lang w:val="en-US" w:eastAsia="zh-CN" w:bidi="ar-SA"/>
        </w:rPr>
        <w:t>上海建立了国际技术进出口促进中心，</w:t>
      </w:r>
      <w:r>
        <w:rPr>
          <w:rFonts w:hint="default" w:ascii="宋体" w:hAnsi="宋体" w:eastAsia="宋体" w:cs="Times New Roman"/>
          <w:bCs w:val="0"/>
          <w:kern w:val="2"/>
          <w:sz w:val="24"/>
          <w:szCs w:val="24"/>
          <w:lang w:val="en-US" w:eastAsia="zh-CN" w:bidi="ar-SA"/>
        </w:rPr>
        <w:t>为企业</w:t>
      </w:r>
      <w:r>
        <w:rPr>
          <w:rFonts w:hint="eastAsia" w:ascii="宋体" w:hAnsi="宋体" w:eastAsia="宋体" w:cs="Times New Roman"/>
          <w:bCs w:val="0"/>
          <w:kern w:val="2"/>
          <w:sz w:val="24"/>
          <w:szCs w:val="24"/>
          <w:lang w:val="en-US" w:eastAsia="zh-CN" w:bidi="ar-SA"/>
        </w:rPr>
        <w:t>、研发机构等</w:t>
      </w:r>
      <w:r>
        <w:rPr>
          <w:rFonts w:hint="default" w:ascii="宋体" w:hAnsi="宋体" w:eastAsia="宋体" w:cs="Times New Roman"/>
          <w:bCs w:val="0"/>
          <w:kern w:val="2"/>
          <w:sz w:val="24"/>
          <w:szCs w:val="24"/>
          <w:lang w:val="en-US" w:eastAsia="zh-CN" w:bidi="ar-SA"/>
        </w:rPr>
        <w:t>提供知识产权保护</w:t>
      </w:r>
      <w:r>
        <w:rPr>
          <w:rFonts w:hint="eastAsia" w:ascii="宋体" w:hAnsi="宋体" w:eastAsia="宋体" w:cs="Times New Roman"/>
          <w:bCs w:val="0"/>
          <w:kern w:val="2"/>
          <w:sz w:val="24"/>
          <w:szCs w:val="24"/>
          <w:lang w:val="en-US" w:eastAsia="zh-CN" w:bidi="ar-SA"/>
        </w:rPr>
        <w:t>、人才培训等综合服务，推动跨境技术转移；并举办国际技术进出口交易会，拓宽技术了贸易渠道。在数据要素层面，</w:t>
      </w:r>
      <w:r>
        <w:rPr>
          <w:rFonts w:hint="default" w:ascii="宋体" w:hAnsi="宋体" w:eastAsia="宋体" w:cs="Times New Roman"/>
          <w:bCs w:val="0"/>
          <w:kern w:val="2"/>
          <w:sz w:val="24"/>
          <w:szCs w:val="24"/>
          <w:lang w:val="en-US" w:eastAsia="zh-CN" w:bidi="ar-SA"/>
        </w:rPr>
        <w:t>坚持安全与发展并重的原则，建立数据分类分级管理制度，</w:t>
      </w:r>
      <w:r>
        <w:rPr>
          <w:rFonts w:hint="eastAsia" w:ascii="宋体" w:hAnsi="宋体" w:eastAsia="宋体" w:cs="Times New Roman"/>
          <w:bCs w:val="0"/>
          <w:kern w:val="2"/>
          <w:sz w:val="24"/>
          <w:szCs w:val="24"/>
          <w:lang w:val="en-US" w:eastAsia="zh-CN" w:bidi="ar-SA"/>
        </w:rPr>
        <w:t>国家信息技术安全研究中心、国家工业信息安全发展研究中心等机构应加强对各类数据的安全评估和出境审查，保障数据安全。比如，北京成立了数据跨境服务中心，为企业提供数据跨境负面清单查询、备案评估、监督核查等一站式专业服务，既保障了数据安全，又帮助企业高效开展数据跨境流动相关业务，有利于推动数据要素与新质生产力的深度融合。</w:t>
      </w:r>
    </w:p>
    <w:p w14:paraId="48169B22">
      <w:pPr>
        <w:pStyle w:val="4"/>
        <w:numPr>
          <w:ilvl w:val="0"/>
          <w:numId w:val="0"/>
        </w:numPr>
        <w:ind w:left="0" w:leftChars="0" w:firstLine="0" w:firstLineChars="0"/>
        <w:rPr>
          <w:rFonts w:hint="default"/>
          <w:lang w:val="en-US" w:eastAsia="zh-CN"/>
        </w:rPr>
      </w:pPr>
      <w:bookmarkStart w:id="16" w:name="_Toc2730"/>
      <w:r>
        <w:rPr>
          <w:rFonts w:hint="eastAsia"/>
          <w:lang w:val="en-US" w:eastAsia="zh-CN"/>
        </w:rPr>
        <w:t>（二）</w:t>
      </w:r>
      <w:r>
        <w:rPr>
          <w:rFonts w:hint="default"/>
          <w:lang w:val="en-US" w:eastAsia="zh-CN"/>
        </w:rPr>
        <w:t>构筑多元合作平台</w:t>
      </w:r>
      <w:r>
        <w:rPr>
          <w:rFonts w:hint="eastAsia"/>
          <w:lang w:val="en-US" w:eastAsia="zh-CN"/>
        </w:rPr>
        <w:t>，提升国际交流合作效能</w:t>
      </w:r>
      <w:bookmarkEnd w:id="16"/>
    </w:p>
    <w:p w14:paraId="2D315F5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任何国家都难以独自应对新一轮科技革命浪潮，唯有加强国际合作交流才能应对共同挑战。合作平台是连接国内国际两个市场、两种资源的重要载体，中国应搭建</w:t>
      </w:r>
      <w:r>
        <w:rPr>
          <w:rFonts w:hint="default" w:ascii="宋体" w:hAnsi="宋体" w:eastAsia="宋体" w:cs="Times New Roman"/>
          <w:kern w:val="2"/>
          <w:sz w:val="24"/>
          <w:szCs w:val="24"/>
          <w:lang w:val="en-US" w:eastAsia="zh-CN" w:bidi="ar-SA"/>
        </w:rPr>
        <w:t>多层次、多类型的国际合作平台</w:t>
      </w:r>
      <w:r>
        <w:rPr>
          <w:rFonts w:hint="eastAsia" w:ascii="宋体" w:hAnsi="宋体" w:eastAsia="宋体" w:cs="Times New Roman"/>
          <w:kern w:val="2"/>
          <w:sz w:val="24"/>
          <w:szCs w:val="24"/>
          <w:lang w:val="en-US" w:eastAsia="zh-CN" w:bidi="ar-SA"/>
        </w:rPr>
        <w:t>来深化国际交流合作，</w:t>
      </w:r>
      <w:r>
        <w:rPr>
          <w:rFonts w:hint="default" w:ascii="宋体" w:hAnsi="宋体" w:eastAsia="宋体" w:cs="Times New Roman"/>
          <w:kern w:val="2"/>
          <w:sz w:val="24"/>
          <w:szCs w:val="24"/>
          <w:lang w:val="en-US" w:eastAsia="zh-CN" w:bidi="ar-SA"/>
        </w:rPr>
        <w:t>促进</w:t>
      </w:r>
      <w:r>
        <w:rPr>
          <w:rFonts w:hint="eastAsia" w:ascii="宋体" w:hAnsi="宋体" w:eastAsia="宋体" w:cs="Times New Roman"/>
          <w:kern w:val="2"/>
          <w:sz w:val="24"/>
          <w:szCs w:val="24"/>
          <w:lang w:val="en-US" w:eastAsia="zh-CN" w:bidi="ar-SA"/>
        </w:rPr>
        <w:t>各国间的</w:t>
      </w:r>
      <w:r>
        <w:rPr>
          <w:rFonts w:hint="default" w:ascii="宋体" w:hAnsi="宋体" w:eastAsia="宋体" w:cs="Times New Roman"/>
          <w:kern w:val="2"/>
          <w:sz w:val="24"/>
          <w:szCs w:val="24"/>
          <w:lang w:val="en-US" w:eastAsia="zh-CN" w:bidi="ar-SA"/>
        </w:rPr>
        <w:t>知识共享、资源互补与风险共担，</w:t>
      </w:r>
      <w:r>
        <w:rPr>
          <w:rFonts w:hint="eastAsia" w:ascii="宋体" w:hAnsi="宋体" w:eastAsia="宋体" w:cs="Times New Roman"/>
          <w:kern w:val="2"/>
          <w:sz w:val="24"/>
          <w:szCs w:val="24"/>
          <w:lang w:val="en-US" w:eastAsia="zh-CN" w:bidi="ar-SA"/>
        </w:rPr>
        <w:t>最终</w:t>
      </w:r>
      <w:r>
        <w:rPr>
          <w:rFonts w:hint="default" w:ascii="宋体" w:hAnsi="宋体" w:eastAsia="宋体" w:cs="Times New Roman"/>
          <w:kern w:val="2"/>
          <w:sz w:val="24"/>
          <w:szCs w:val="24"/>
          <w:lang w:val="en-US" w:eastAsia="zh-CN" w:bidi="ar-SA"/>
        </w:rPr>
        <w:t>实现互利共赢</w:t>
      </w:r>
      <w:r>
        <w:rPr>
          <w:rFonts w:hint="eastAsia" w:ascii="宋体" w:hAnsi="宋体" w:eastAsia="宋体" w:cs="Times New Roman"/>
          <w:kern w:val="2"/>
          <w:sz w:val="24"/>
          <w:szCs w:val="24"/>
          <w:lang w:val="en-US" w:eastAsia="zh-CN" w:bidi="ar-SA"/>
        </w:rPr>
        <w:t>。</w:t>
      </w:r>
    </w:p>
    <w:p w14:paraId="1BA7999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0"/>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第一，</w:t>
      </w:r>
      <w:r>
        <w:rPr>
          <w:rFonts w:hint="eastAsia" w:ascii="宋体" w:hAnsi="宋体" w:eastAsia="宋体" w:cs="Times New Roman"/>
          <w:kern w:val="2"/>
          <w:sz w:val="24"/>
          <w:szCs w:val="24"/>
          <w:lang w:val="en-US" w:eastAsia="zh-CN" w:bidi="ar-SA"/>
        </w:rPr>
        <w:t>搭建多双边合作平台。习近平指出：“多边合作是人心所向、大势所趋，是世界和平与发展的重要依靠。”</w:t>
      </w:r>
      <w:r>
        <w:rPr>
          <w:rStyle w:val="9"/>
          <w:rFonts w:hint="eastAsia" w:ascii="宋体" w:hAnsi="宋体" w:eastAsia="宋体" w:cs="Times New Roman"/>
          <w:kern w:val="2"/>
          <w:sz w:val="24"/>
          <w:szCs w:val="24"/>
          <w:lang w:val="en-US" w:eastAsia="zh-CN" w:bidi="ar-SA"/>
        </w:rPr>
        <w:footnoteReference w:id="16"/>
      </w:r>
      <w:r>
        <w:rPr>
          <w:rFonts w:hint="eastAsia" w:ascii="宋体" w:hAnsi="宋体" w:eastAsia="宋体" w:cs="Times New Roman"/>
          <w:kern w:val="2"/>
          <w:sz w:val="24"/>
          <w:szCs w:val="24"/>
          <w:lang w:val="en-US" w:eastAsia="zh-CN" w:bidi="ar-SA"/>
        </w:rPr>
        <w:t>中国应充分发挥</w:t>
      </w:r>
      <w:r>
        <w:rPr>
          <w:rFonts w:hint="default" w:ascii="宋体" w:hAnsi="宋体" w:eastAsia="宋体" w:cs="Times New Roman"/>
          <w:kern w:val="2"/>
          <w:sz w:val="24"/>
          <w:szCs w:val="24"/>
          <w:lang w:val="en-US" w:eastAsia="zh-CN" w:bidi="ar-SA"/>
        </w:rPr>
        <w:t>金砖国家、上海合作组织</w:t>
      </w:r>
      <w:r>
        <w:rPr>
          <w:rFonts w:hint="eastAsia" w:ascii="宋体" w:hAnsi="宋体" w:eastAsia="宋体" w:cs="Times New Roman"/>
          <w:kern w:val="2"/>
          <w:sz w:val="24"/>
          <w:szCs w:val="24"/>
          <w:lang w:val="en-US" w:eastAsia="zh-CN" w:bidi="ar-SA"/>
        </w:rPr>
        <w:t>、G20</w:t>
      </w:r>
      <w:r>
        <w:rPr>
          <w:rFonts w:hint="default" w:ascii="宋体" w:hAnsi="宋体" w:eastAsia="宋体" w:cs="Times New Roman"/>
          <w:kern w:val="2"/>
          <w:sz w:val="24"/>
          <w:szCs w:val="24"/>
          <w:lang w:val="en-US" w:eastAsia="zh-CN" w:bidi="ar-SA"/>
        </w:rPr>
        <w:t>等多边</w:t>
      </w:r>
      <w:r>
        <w:rPr>
          <w:rFonts w:hint="eastAsia" w:ascii="宋体" w:hAnsi="宋体" w:eastAsia="宋体" w:cs="Times New Roman"/>
          <w:kern w:val="2"/>
          <w:sz w:val="24"/>
          <w:szCs w:val="24"/>
          <w:lang w:val="en-US" w:eastAsia="zh-CN" w:bidi="ar-SA"/>
        </w:rPr>
        <w:t>合作平台的协调各方作用，提出并牵头组织国际大科学计划和大科学工程，联合多国科研力量攻关重大科学问题，为新质生产力的发展提供高端科研实验和协同创新平台；推动</w:t>
      </w:r>
      <w:r>
        <w:rPr>
          <w:rFonts w:hint="eastAsia" w:ascii="宋体" w:hAnsi="宋体" w:eastAsia="宋体" w:cs="宋体"/>
          <w:sz w:val="24"/>
          <w:szCs w:val="24"/>
        </w:rPr>
        <w:t>与“一带一路”沿线国家在</w:t>
      </w:r>
      <w:r>
        <w:rPr>
          <w:rFonts w:hint="eastAsia" w:ascii="宋体" w:hAnsi="宋体" w:eastAsia="宋体" w:cs="宋体"/>
          <w:sz w:val="24"/>
          <w:szCs w:val="24"/>
          <w:lang w:val="en-US" w:eastAsia="zh-CN"/>
        </w:rPr>
        <w:t>科技</w:t>
      </w:r>
      <w:r>
        <w:rPr>
          <w:rFonts w:hint="eastAsia" w:ascii="宋体" w:hAnsi="宋体" w:eastAsia="宋体" w:cs="宋体"/>
          <w:sz w:val="24"/>
          <w:szCs w:val="24"/>
        </w:rPr>
        <w:t>领域的合作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提出实施科技创新行动计划，通过举办科技交流大会、共建联合实验室与跨国技术转移中心等方式深化科技人文交流合作。我国与巴基斯坦共建中巴人工智能智慧农业实验室，自主研发出Kisan 360人工智能软件，为当地农户提供精准指导，既解决其粮食安全问题，也积累了我国智慧农业技术的实践经验，拓展了创新空间。同时，</w:t>
      </w:r>
      <w:r>
        <w:rPr>
          <w:rFonts w:hint="default" w:ascii="宋体" w:hAnsi="宋体" w:eastAsia="宋体" w:cs="宋体"/>
          <w:sz w:val="24"/>
          <w:szCs w:val="24"/>
          <w:lang w:val="en-US" w:eastAsia="zh-CN"/>
        </w:rPr>
        <w:t>需加强与</w:t>
      </w:r>
      <w:r>
        <w:rPr>
          <w:rFonts w:hint="eastAsia" w:ascii="宋体" w:hAnsi="宋体" w:eastAsia="宋体" w:cs="宋体"/>
          <w:sz w:val="24"/>
          <w:szCs w:val="24"/>
          <w:lang w:val="en-US" w:eastAsia="zh-CN"/>
        </w:rPr>
        <w:t>世界各国</w:t>
      </w:r>
      <w:r>
        <w:rPr>
          <w:rFonts w:hint="default" w:ascii="宋体" w:hAnsi="宋体" w:eastAsia="宋体" w:cs="宋体"/>
          <w:sz w:val="24"/>
          <w:szCs w:val="24"/>
          <w:lang w:val="en-US" w:eastAsia="zh-CN"/>
        </w:rPr>
        <w:t>的双边</w:t>
      </w:r>
      <w:r>
        <w:rPr>
          <w:rFonts w:hint="eastAsia" w:ascii="宋体" w:hAnsi="宋体" w:eastAsia="宋体" w:cs="宋体"/>
          <w:sz w:val="24"/>
          <w:szCs w:val="24"/>
          <w:lang w:val="en-US" w:eastAsia="zh-CN"/>
        </w:rPr>
        <w:t>科技</w:t>
      </w:r>
      <w:r>
        <w:rPr>
          <w:rFonts w:hint="default" w:ascii="宋体" w:hAnsi="宋体" w:eastAsia="宋体" w:cs="宋体"/>
          <w:sz w:val="24"/>
          <w:szCs w:val="24"/>
          <w:lang w:val="en-US" w:eastAsia="zh-CN"/>
        </w:rPr>
        <w:t>合作，</w:t>
      </w:r>
      <w:r>
        <w:rPr>
          <w:rFonts w:hint="eastAsia" w:ascii="宋体" w:hAnsi="宋体" w:eastAsia="宋体" w:cs="宋体"/>
          <w:sz w:val="24"/>
          <w:szCs w:val="24"/>
          <w:lang w:val="en-US" w:eastAsia="zh-CN"/>
        </w:rPr>
        <w:t>与更多国家签署政府间科技合作协定、建立科技合作联委会，定期召开会议讨论开展联合研究、人才研究及创新平台建设问题，为落实两国元首共识、科技政策协调对接提供机制化对话平台。除政府间官方合作外，随着现代通讯技术和全球化的持续深入发展，民间科技合作日趋频繁，现已成为推进国际科技交流与协作的重要路径。</w:t>
      </w:r>
      <w:r>
        <w:rPr>
          <w:rFonts w:hint="eastAsia" w:ascii="宋体" w:hAnsi="宋体" w:eastAsia="宋体" w:cs="宋体"/>
          <w:sz w:val="24"/>
          <w:szCs w:val="24"/>
        </w:rPr>
        <w:t>“国之交在于民相亲，民相亲在于心相通。”</w:t>
      </w:r>
      <w:r>
        <w:rPr>
          <w:rStyle w:val="9"/>
          <w:rFonts w:hint="eastAsia" w:ascii="宋体" w:hAnsi="宋体" w:eastAsia="宋体" w:cs="宋体"/>
          <w:sz w:val="24"/>
          <w:szCs w:val="24"/>
        </w:rPr>
        <w:footnoteReference w:id="17"/>
      </w:r>
      <w:r>
        <w:rPr>
          <w:rFonts w:hint="eastAsia" w:ascii="宋体" w:hAnsi="宋体" w:eastAsia="宋体" w:cs="宋体"/>
          <w:sz w:val="24"/>
          <w:szCs w:val="24"/>
          <w:lang w:val="en-US" w:eastAsia="zh-CN"/>
        </w:rPr>
        <w:t>拓展民间科技交流，有利于实现民心相通、拓宽中国科技的“朋友圈”，减少合作阻力。可通过合作举办国际性论坛、学术会议与研讨会的方式加强各国科技工作者跨学科、跨业态的交流合作；并鼓励跨国公司在华设立全球性或区域性研发中心，支持其与本土企业、高校、研究机构开展深度合作，促进知识外溢和技术扩散，促进中国深度融入全球创新网络。</w:t>
      </w:r>
    </w:p>
    <w:p w14:paraId="1878C50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打造数字贸易合作平台。数字贸易合作平台是顺应全球数字经济发展趋势、推动数字生产力发展的重要载体，我国应依托“丝路电商”、跨境电子商务综合试验区、数字贸易示范区等平台深化数字贸易国际合作，为数字生产力的发展开拓广阔空间。应进一步扩大“丝路电商”的合作范围，加强与“一带一路”沿线国家云计算、5G、物联网等数字技术的联合研发与应用，实现数字基础设施的互联互通。各跨境电商综合试验区应结合自身产业特色，推动跨境电商与传统产业的融合发展，如义务综试区依托小商品产业优势，优化跨境电商物流体系，形成“国内集货、前置仓集运、海外仓配送”的协同运作模式，提高物流配送效率，形成了“小商品市场采购+跨境电商”的出口模式。可鼓励跨境电商企业拓展海外市场，通过建立海外仓、独立站的方式建设品牌运营中心，支持其参加全球数字贸易博览会、中国国际进口博览会等重点展会，提高国际竞争力。数字贸易示范区应重点开展数据跨境流动、市场准入等方面的创新，大力建设国际数字出口服务基地，推进数字海关、国际大数据交易所等平台建设，打造国家数字出口服务基地，为数字贸易的发展营造良好环境。</w:t>
      </w:r>
    </w:p>
    <w:p w14:paraId="46495416">
      <w:pPr>
        <w:pStyle w:val="4"/>
        <w:numPr>
          <w:ilvl w:val="0"/>
          <w:numId w:val="0"/>
        </w:numPr>
        <w:ind w:left="0" w:leftChars="0" w:firstLine="0" w:firstLineChars="0"/>
        <w:rPr>
          <w:rFonts w:hint="default"/>
          <w:lang w:val="en-US" w:eastAsia="zh-CN"/>
        </w:rPr>
      </w:pPr>
      <w:bookmarkStart w:id="17" w:name="_Toc22620"/>
      <w:r>
        <w:rPr>
          <w:rFonts w:hint="eastAsia"/>
          <w:lang w:val="en-US" w:eastAsia="zh-CN"/>
        </w:rPr>
        <w:t>（三）</w:t>
      </w:r>
      <w:r>
        <w:rPr>
          <w:rFonts w:hint="default"/>
          <w:lang w:val="en-US" w:eastAsia="zh-CN"/>
        </w:rPr>
        <w:t>主动对接国际规则，</w:t>
      </w:r>
      <w:r>
        <w:rPr>
          <w:rFonts w:hint="eastAsia"/>
          <w:lang w:val="en-US" w:eastAsia="zh-CN"/>
        </w:rPr>
        <w:t>提高中国</w:t>
      </w:r>
      <w:r>
        <w:rPr>
          <w:rFonts w:hint="default"/>
          <w:lang w:val="en-US" w:eastAsia="zh-CN"/>
        </w:rPr>
        <w:t>国际话语权</w:t>
      </w:r>
      <w:bookmarkEnd w:id="17"/>
    </w:p>
    <w:p w14:paraId="13A6334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当前，全球治理体系正经历深刻变革，发达国家与发展中国家围绕国际规则的博弈日趋激烈。新质生产力的发展离不开公平合理的国际规则环境，我国主动对接国际规则，不仅是扩大高水平对外开放、降低制度性交易成本的需要，更是提高我国国际话语权、完善全球治理体系的关键举措。我国应积极对接国际高标准经贸规则，深度参与全球规则制定，实现从规则“接受者”到“建设者”、“引领者”的转变，为发展新质生产力营造有力的国际规则环境。</w:t>
      </w:r>
    </w:p>
    <w:p w14:paraId="7B4A72D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0"/>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一，对接国际高标准经贸规则，加快国内制度改革和创新，实现与国际规则的有效衔接。在市场准入与公平竞争方面，应借鉴《全面与进步跨太平洋伙伴协定》的负面清单管理模式，全面实施跨境服务贸易负面清单，建立健全负面清单管理制度，进一步缩减外资准入的负面清单，扩大高端制造业、服务业等领域的开放，提高清单的透明度和可预期性；完善公平竞争审查制度，禁止政府滥用权力限制外资企业竞争，保证其在政府采购、要素获取等方面享受国内企业的同等待遇；完善反垄断的相关法律法规，明确市场垄断行为的认定标准与法律责任，为发展新质生产力营造公平环境。在数字贸易规则方面，组建数字贸易规则专家智库，常态化跟踪《数字经济伙伴关系协定》、《区域全面经济伙伴关系协定》的修订动态，在海南自由贸易港、自由贸易试验区先行先试国际高水平自贸协定的数字贸易规则，结合本国数字贸易发展实践制定行动指南。在知识产权保护方面，我国应进一步修订完善《商标法》《专利法》等法律法规，优化专利、商标授权的审批程序，对新质生产力重点领域的专利、商标申请实施优先审查、快速审批；通过专利审查高速路合作机制加强与美国、日本、欧洲等主要国家和地区的专利合作，实现</w:t>
      </w:r>
      <w:r>
        <w:rPr>
          <w:rFonts w:hint="default" w:ascii="宋体" w:hAnsi="宋体" w:eastAsia="宋体" w:cs="Times New Roman"/>
          <w:kern w:val="2"/>
          <w:sz w:val="24"/>
          <w:szCs w:val="24"/>
          <w:lang w:val="en-US" w:eastAsia="zh-CN" w:bidi="ar-SA"/>
        </w:rPr>
        <w:t>专利申请文件互认、审查结果共享</w:t>
      </w:r>
      <w:r>
        <w:rPr>
          <w:rFonts w:hint="eastAsia" w:ascii="宋体" w:hAnsi="宋体" w:eastAsia="宋体" w:cs="Times New Roman"/>
          <w:kern w:val="2"/>
          <w:sz w:val="24"/>
          <w:szCs w:val="24"/>
          <w:lang w:val="en-US" w:eastAsia="zh-CN" w:bidi="ar-SA"/>
        </w:rPr>
        <w:t>，便利企业的海外布局。</w:t>
      </w:r>
    </w:p>
    <w:p w14:paraId="1F11566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0"/>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第二，积极参与国际规则制定，贡献中国智慧，推动全球规则体系朝着更加公正合理的方向发展。世界贸易组织在促进全球贸易自由化便利化方面发挥着重要作用，是全球多边贸易体系的核心，我国应承担大国责任，积极参与WTO改革和各项议题谈判，在农副产品市场准入、知识产权、数字贸易、电子商务等传统、新兴领域，提出符合我国利益与发展中国家共同利益的提案。要善于将国内行之有效的实践经验转化为国际共识，与国际标准化组织、国际电工委员会、国际电信联盟等权威机构加强合作，并加快积极推动加入《数字经济伙伴关系协定》和《区域全面经济伙伴关系协定》的进程，在相关谈判中，就数据跨境流动、人工智能伦理等新议题提出中方立场，推动我国在绿色能源、数字基础设施建设等领域的相关技术标准与行业规范转化为有法律约束力的国际规则。同时继续培养既精通WTO规则与国际贸易法律，又熟悉国情的高素质外贸谈判人员，善于运用</w:t>
      </w:r>
      <w:r>
        <w:rPr>
          <w:rFonts w:hint="default" w:ascii="宋体" w:hAnsi="宋体" w:eastAsia="宋体" w:cs="Times New Roman"/>
          <w:kern w:val="2"/>
          <w:sz w:val="24"/>
          <w:szCs w:val="24"/>
          <w:lang w:val="en-US" w:eastAsia="zh-CN" w:bidi="ar-SA"/>
        </w:rPr>
        <w:t>WTO争端解决机制、国际仲裁等多种方式，坚定维护我国企业、产业的合法权益</w:t>
      </w:r>
      <w:r>
        <w:rPr>
          <w:rFonts w:hint="eastAsia" w:ascii="宋体" w:hAnsi="宋体" w:eastAsia="宋体" w:cs="Times New Roman"/>
          <w:kern w:val="2"/>
          <w:sz w:val="24"/>
          <w:szCs w:val="24"/>
          <w:lang w:val="en-US" w:eastAsia="zh-CN" w:bidi="ar-SA"/>
        </w:rPr>
        <w:t>，为新质生产力的国际化发展提供保障。</w:t>
      </w:r>
    </w:p>
    <w:p w14:paraId="3A9AC57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pPr>
      <w:r>
        <w:rPr>
          <w:rFonts w:hint="eastAsia" w:ascii="宋体" w:hAnsi="宋体" w:eastAsia="宋体" w:cs="Times New Roman"/>
          <w:kern w:val="2"/>
          <w:sz w:val="24"/>
          <w:szCs w:val="24"/>
          <w:lang w:val="en-US" w:eastAsia="zh-CN" w:bidi="ar-SA"/>
        </w:rPr>
        <w:t>第三，传播中国规则理念，增强国际规则影响力和认同度。一方面，应讲好中国故事，加强国际传播传播能力建设。利用联合国、亚太经合组织等多边机制，以及各类国际会议、论坛、博览会等国际平台，积极宣传我国的规则理念与实践成果；通过发表学术论文、举办研讨会、撰写调研报告等方式加强与国际智库、学术机构的合作，提高国际规则的影响力；</w:t>
      </w:r>
      <w:r>
        <w:rPr>
          <w:rFonts w:hint="eastAsia"/>
          <w:sz w:val="24"/>
        </w:rPr>
        <w:t>我国的广播电视机构应实施“造船出海”策略，“着力打造具有较强国际影响的外宣旗舰媒体”</w:t>
      </w:r>
      <w:r>
        <w:rPr>
          <w:rStyle w:val="9"/>
          <w:rFonts w:hint="eastAsia"/>
          <w:sz w:val="24"/>
        </w:rPr>
        <w:footnoteReference w:id="18"/>
      </w:r>
      <w:r>
        <w:rPr>
          <w:rFonts w:hint="eastAsia"/>
          <w:sz w:val="24"/>
        </w:rPr>
        <w:t>，建设主流媒体的国际版平台，加大国际传播媒体的出海数量和分布范围，为传播</w:t>
      </w:r>
      <w:r>
        <w:rPr>
          <w:rFonts w:hint="eastAsia" w:asciiTheme="minorHAnsi" w:eastAsiaTheme="minorEastAsia"/>
          <w:sz w:val="24"/>
          <w:lang w:val="en-US" w:eastAsia="zh-CN"/>
        </w:rPr>
        <w:t>中国规则</w:t>
      </w:r>
      <w:r>
        <w:rPr>
          <w:rFonts w:hint="eastAsia"/>
          <w:sz w:val="24"/>
        </w:rPr>
        <w:t>提供用户黏度高的可靠渠道</w:t>
      </w:r>
      <w:r>
        <w:rPr>
          <w:rFonts w:hint="eastAsia" w:eastAsiaTheme="minorEastAsia"/>
          <w:sz w:val="24"/>
          <w:lang w:eastAsia="zh-CN"/>
        </w:rPr>
        <w:t>，</w:t>
      </w:r>
      <w:r>
        <w:rPr>
          <w:rFonts w:hint="eastAsia" w:asciiTheme="minorHAnsi" w:eastAsiaTheme="minorEastAsia"/>
          <w:sz w:val="24"/>
          <w:lang w:val="en-US" w:eastAsia="zh-CN"/>
        </w:rPr>
        <w:t>并</w:t>
      </w:r>
      <w:r>
        <w:rPr>
          <w:rFonts w:hint="eastAsia"/>
          <w:sz w:val="24"/>
        </w:rPr>
        <w:t>与英国广播公司、纽约时报等海外媒体建立合作伙伴关系，扩大</w:t>
      </w:r>
      <w:r>
        <w:rPr>
          <w:rFonts w:hint="eastAsia" w:asciiTheme="minorHAnsi" w:eastAsiaTheme="minorEastAsia"/>
          <w:sz w:val="24"/>
          <w:lang w:val="en-US" w:eastAsia="zh-CN"/>
        </w:rPr>
        <w:t>中国规则的影响范围</w:t>
      </w:r>
      <w:r>
        <w:rPr>
          <w:rFonts w:hint="eastAsia"/>
          <w:sz w:val="24"/>
        </w:rPr>
        <w:t>。此外，数字化国际传播具有受众广泛、传播迅速、投放精准等特点，要利用数智技术搭建国际传播的数字化平台，及时有效地传播好中国声音，精准提升</w:t>
      </w:r>
      <w:r>
        <w:rPr>
          <w:rFonts w:hint="eastAsia" w:asciiTheme="minorHAnsi" w:eastAsiaTheme="minorEastAsia"/>
          <w:sz w:val="24"/>
          <w:lang w:val="en-US" w:eastAsia="zh-CN"/>
        </w:rPr>
        <w:t>中国规则</w:t>
      </w:r>
      <w:r>
        <w:rPr>
          <w:rFonts w:hint="eastAsia"/>
          <w:sz w:val="24"/>
        </w:rPr>
        <w:t>对外传播的实效性。</w:t>
      </w:r>
      <w:r>
        <w:rPr>
          <w:rFonts w:hint="eastAsia" w:asciiTheme="minorHAnsi" w:eastAsiaTheme="minorEastAsia"/>
          <w:sz w:val="24"/>
          <w:lang w:val="en-US" w:eastAsia="zh-CN"/>
        </w:rPr>
        <w:t>另一方面，由于各国历史文化、意识形态、社会制度的差异，中国规则理念在“走出去”的过程中往往被曲解误读，成为了西方媒体攻击中国的工具。应深化文明交流互鉴，通过中美高级别人文交流机制、中俄人文合作委员会等高级别人文交流磋商机制宣传“和合”“共赢”等价值理念，促进不同文明间的理解和认同，推动国际社会正确认识中国规则，助力中国规则走向世界。</w:t>
      </w:r>
      <w:bookmarkStart w:id="18" w:name="_GoBack"/>
      <w:bookmarkEnd w:id="18"/>
    </w:p>
    <w:sectPr>
      <w:footerReference r:id="rId4" w:type="default"/>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876BB">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8DF26C">
                          <w:pPr>
                            <w:pStyle w:val="5"/>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zZjXE5AgAAcQQAAA4AAABkcnMvZTJvRG9jLnhtbK1UzY7TMBC+I/EO&#10;lu80aRFL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PzZjXE5AgAAcQQAAA4AAAAAAAAAAQAgAAAAHwEAAGRycy9lMm9Eb2Mu&#10;eG1sUEsFBgAAAAAGAAYAWQEAAMoFAAAAAA==&#10;">
              <v:fill on="f" focussize="0,0"/>
              <v:stroke on="f" weight="0.5pt"/>
              <v:imagedata o:title=""/>
              <o:lock v:ext="edit" aspectratio="f"/>
              <v:textbox inset="0mm,0mm,0mm,0mm" style="mso-fit-shape-to-text:t;">
                <w:txbxContent>
                  <w:p w14:paraId="358DF26C">
                    <w:pPr>
                      <w:pStyle w:val="5"/>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8">
    <w:p>
      <w:r>
        <w:separator/>
      </w:r>
    </w:p>
  </w:footnote>
  <w:footnote w:type="continuationSeparator" w:id="39">
    <w:p>
      <w:r>
        <w:continuationSeparator/>
      </w:r>
    </w:p>
  </w:footnote>
  <w:footnote w:id="0">
    <w:p w14:paraId="034A8073">
      <w:pPr>
        <w:pStyle w:val="6"/>
        <w:snapToGrid w:val="0"/>
        <w:rPr>
          <w:vertAlign w:val="baseline"/>
        </w:rPr>
      </w:pPr>
      <w:r>
        <w:rPr>
          <w:rStyle w:val="9"/>
          <w:rFonts w:hint="default" w:ascii="Times New Roman" w:hAnsi="Times New Roman" w:eastAsia="宋体" w:cs="Times New Roman"/>
          <w:sz w:val="21"/>
          <w:vertAlign w:val="baseline"/>
        </w:rPr>
        <w:footnoteRef/>
      </w:r>
      <w:r>
        <w:rPr>
          <w:rFonts w:hint="eastAsia" w:ascii="Times New Roman" w:hAnsi="Times New Roman" w:eastAsia="宋体" w:cs="Times New Roman"/>
          <w:vertAlign w:val="baseline"/>
        </w:rPr>
        <w:t>中共中央文献研究室.习近平关于科技创新论述摘编[M].北京：中央文献出版社，</w:t>
      </w:r>
      <w:r>
        <w:rPr>
          <w:rFonts w:hint="default" w:ascii="Times New Roman" w:hAnsi="Times New Roman" w:eastAsia="宋体" w:cs="Times New Roman"/>
          <w:vertAlign w:val="baseline"/>
        </w:rPr>
        <w:t>2016：</w:t>
      </w:r>
      <w:r>
        <w:rPr>
          <w:rFonts w:hint="eastAsia" w:ascii="Times New Roman" w:hAnsi="Times New Roman" w:eastAsia="宋体" w:cs="Times New Roman"/>
          <w:vertAlign w:val="baseline"/>
          <w:lang w:val="en-US" w:eastAsia="zh-CN"/>
        </w:rPr>
        <w:t>26</w:t>
      </w:r>
      <w:r>
        <w:rPr>
          <w:rFonts w:hint="default" w:ascii="Times New Roman" w:hAnsi="Times New Roman" w:eastAsia="宋体" w:cs="Times New Roman"/>
          <w:vertAlign w:val="baseline"/>
        </w:rPr>
        <w:t>.</w:t>
      </w:r>
    </w:p>
  </w:footnote>
  <w:footnote w:id="1">
    <w:p w14:paraId="36A2C1C6">
      <w:pPr>
        <w:pStyle w:val="6"/>
        <w:snapToGrid w:val="0"/>
        <w:rPr>
          <w:vertAlign w:val="baseline"/>
        </w:rPr>
      </w:pPr>
      <w:r>
        <w:rPr>
          <w:rStyle w:val="9"/>
          <w:rFonts w:hint="default" w:ascii="Times New Roman" w:hAnsi="Times New Roman" w:cs="Times New Roman"/>
          <w:sz w:val="21"/>
          <w:vertAlign w:val="baseline"/>
        </w:rPr>
        <w:footnoteRef/>
      </w:r>
      <w:r>
        <w:rPr>
          <w:rFonts w:hint="eastAsia"/>
          <w:vertAlign w:val="baseline"/>
          <w:lang w:val="en-US" w:eastAsia="zh-CN"/>
        </w:rPr>
        <w:t>中共</w:t>
      </w:r>
      <w:r>
        <w:rPr>
          <w:rFonts w:hint="eastAsia"/>
          <w:vertAlign w:val="baseline"/>
        </w:rPr>
        <w:t>中央文献研究室.十八大以来重要文献选编</w:t>
      </w:r>
      <w:r>
        <w:rPr>
          <w:rFonts w:hint="eastAsia"/>
          <w:vertAlign w:val="baseline"/>
          <w:lang w:eastAsia="zh-CN"/>
        </w:rPr>
        <w:t>（</w:t>
      </w:r>
      <w:r>
        <w:rPr>
          <w:rFonts w:hint="eastAsia"/>
          <w:vertAlign w:val="baseline"/>
          <w:lang w:val="en-US" w:eastAsia="zh-CN"/>
        </w:rPr>
        <w:t>中</w:t>
      </w:r>
      <w:r>
        <w:rPr>
          <w:rFonts w:hint="eastAsia"/>
          <w:vertAlign w:val="baseline"/>
          <w:lang w:eastAsia="zh-CN"/>
        </w:rPr>
        <w:t>）</w:t>
      </w:r>
      <w:r>
        <w:rPr>
          <w:rFonts w:hint="eastAsia" w:ascii="Times New Roman" w:hAnsi="Times New Roman" w:eastAsia="宋体" w:cs="Times New Roman"/>
          <w:vertAlign w:val="baseline"/>
        </w:rPr>
        <w:t>[M].北京：中央文献出版社，</w:t>
      </w:r>
      <w:r>
        <w:rPr>
          <w:rFonts w:hint="default" w:ascii="Times New Roman" w:hAnsi="Times New Roman" w:eastAsia="宋体" w:cs="Times New Roman"/>
          <w:vertAlign w:val="baseline"/>
        </w:rPr>
        <w:t>2016：</w:t>
      </w:r>
      <w:r>
        <w:rPr>
          <w:rFonts w:hint="eastAsia" w:ascii="Times New Roman" w:hAnsi="Times New Roman" w:eastAsia="宋体" w:cs="Times New Roman"/>
          <w:vertAlign w:val="baseline"/>
          <w:lang w:val="en-US" w:eastAsia="zh-CN"/>
        </w:rPr>
        <w:t>795</w:t>
      </w:r>
      <w:r>
        <w:rPr>
          <w:rFonts w:hint="default" w:ascii="Times New Roman" w:hAnsi="Times New Roman" w:eastAsia="宋体" w:cs="Times New Roman"/>
          <w:vertAlign w:val="baseline"/>
        </w:rPr>
        <w:t>.</w:t>
      </w:r>
    </w:p>
  </w:footnote>
  <w:footnote w:id="2">
    <w:p w14:paraId="49A628CC">
      <w:pPr>
        <w:pStyle w:val="6"/>
        <w:snapToGrid w:val="0"/>
        <w:rPr>
          <w:rFonts w:hint="eastAsia" w:ascii="Times New Roman" w:hAnsi="Times New Roman" w:eastAsia="宋体" w:cs="Times New Roman"/>
          <w:szCs w:val="18"/>
          <w:vertAlign w:val="baseline"/>
        </w:rPr>
      </w:pPr>
      <w:r>
        <w:rPr>
          <w:rStyle w:val="9"/>
          <w:rFonts w:hint="default" w:ascii="Times New Roman" w:hAnsi="Times New Roman" w:cs="Times New Roman"/>
          <w:sz w:val="21"/>
          <w:vertAlign w:val="baseline"/>
        </w:rPr>
        <w:footnoteRef/>
      </w:r>
      <w:r>
        <w:rPr>
          <w:rFonts w:hint="eastAsia"/>
          <w:vertAlign w:val="baseline"/>
        </w:rPr>
        <w:t>习近平.在中国科学院第二十次院士大会、中国工程院第十五次院士大会、中国科协第十次全国代表大会上的讲话</w:t>
      </w:r>
      <w:r>
        <w:rPr>
          <w:rFonts w:hint="default"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N</w:t>
      </w:r>
      <w:r>
        <w:rPr>
          <w:rFonts w:hint="default" w:ascii="Times New Roman" w:hAnsi="Times New Roman" w:eastAsia="宋体" w:cs="Times New Roman"/>
          <w:vertAlign w:val="baseline"/>
        </w:rPr>
        <w:t>]</w:t>
      </w:r>
      <w:r>
        <w:rPr>
          <w:rFonts w:hint="eastAsia" w:ascii="宋体" w:hAnsi="宋体" w:eastAsia="宋体"/>
          <w:vertAlign w:val="baseline"/>
        </w:rPr>
        <w:t>.人民日报</w:t>
      </w:r>
      <w:r>
        <w:rPr>
          <w:rFonts w:hint="eastAsia" w:ascii="宋体" w:hAnsi="宋体" w:eastAsia="宋体"/>
          <w:vertAlign w:val="baseline"/>
          <w:lang w:eastAsia="zh-CN"/>
        </w:rPr>
        <w:t>，</w:t>
      </w:r>
      <w:r>
        <w:rPr>
          <w:rFonts w:hint="eastAsia" w:ascii="Times New Roman" w:hAnsi="Times New Roman" w:eastAsia="宋体" w:cs="Times New Roman"/>
          <w:szCs w:val="18"/>
          <w:vertAlign w:val="baseline"/>
        </w:rPr>
        <w:t>20</w:t>
      </w:r>
      <w:r>
        <w:rPr>
          <w:rFonts w:hint="eastAsia" w:ascii="Times New Roman" w:hAnsi="Times New Roman" w:eastAsia="宋体" w:cs="Times New Roman"/>
          <w:szCs w:val="18"/>
          <w:vertAlign w:val="baseline"/>
          <w:lang w:val="en-US" w:eastAsia="zh-CN"/>
        </w:rPr>
        <w:t>21</w:t>
      </w:r>
      <w:r>
        <w:rPr>
          <w:rFonts w:hint="eastAsia" w:ascii="Times New Roman" w:hAnsi="Times New Roman" w:eastAsia="宋体" w:cs="Times New Roman"/>
          <w:szCs w:val="18"/>
          <w:vertAlign w:val="baseline"/>
        </w:rPr>
        <w:t>-0</w:t>
      </w:r>
      <w:r>
        <w:rPr>
          <w:rFonts w:hint="eastAsia" w:ascii="Times New Roman" w:hAnsi="Times New Roman" w:eastAsia="宋体" w:cs="Times New Roman"/>
          <w:szCs w:val="18"/>
          <w:vertAlign w:val="baseline"/>
          <w:lang w:val="en-US" w:eastAsia="zh-CN"/>
        </w:rPr>
        <w:t>5</w:t>
      </w:r>
      <w:r>
        <w:rPr>
          <w:rFonts w:hint="eastAsia" w:ascii="Times New Roman" w:hAnsi="Times New Roman" w:eastAsia="宋体" w:cs="Times New Roman"/>
          <w:szCs w:val="18"/>
          <w:vertAlign w:val="baseline"/>
        </w:rPr>
        <w:t>-</w:t>
      </w:r>
      <w:r>
        <w:rPr>
          <w:rFonts w:hint="eastAsia" w:ascii="Times New Roman" w:hAnsi="Times New Roman" w:eastAsia="宋体" w:cs="Times New Roman"/>
          <w:szCs w:val="18"/>
          <w:vertAlign w:val="baseline"/>
          <w:lang w:val="en-US" w:eastAsia="zh-CN"/>
        </w:rPr>
        <w:t>09</w:t>
      </w:r>
      <w:r>
        <w:rPr>
          <w:rFonts w:hint="eastAsia" w:ascii="Times New Roman" w:hAnsi="Times New Roman" w:eastAsia="宋体" w:cs="Times New Roman"/>
          <w:szCs w:val="18"/>
          <w:vertAlign w:val="baseline"/>
        </w:rPr>
        <w:t>(0</w:t>
      </w:r>
      <w:r>
        <w:rPr>
          <w:rFonts w:hint="eastAsia" w:ascii="Times New Roman" w:hAnsi="Times New Roman" w:eastAsia="宋体" w:cs="Times New Roman"/>
          <w:szCs w:val="18"/>
          <w:vertAlign w:val="baseline"/>
          <w:lang w:val="en-US" w:eastAsia="zh-CN"/>
        </w:rPr>
        <w:t>2</w:t>
      </w:r>
      <w:r>
        <w:rPr>
          <w:rFonts w:hint="eastAsia" w:ascii="Times New Roman" w:hAnsi="Times New Roman" w:eastAsia="宋体" w:cs="Times New Roman"/>
          <w:szCs w:val="18"/>
          <w:vertAlign w:val="baseline"/>
        </w:rPr>
        <w:t xml:space="preserve">). </w:t>
      </w:r>
    </w:p>
  </w:footnote>
  <w:footnote w:id="3">
    <w:p w14:paraId="19E54E39">
      <w:pPr>
        <w:pStyle w:val="6"/>
        <w:snapToGrid w:val="0"/>
        <w:rPr>
          <w:vertAlign w:val="baseline"/>
        </w:rPr>
      </w:pPr>
      <w:r>
        <w:rPr>
          <w:rStyle w:val="9"/>
          <w:rFonts w:hint="default" w:ascii="Times New Roman" w:hAnsi="Times New Roman" w:cs="Times New Roman"/>
          <w:sz w:val="21"/>
          <w:vertAlign w:val="baseline"/>
        </w:rPr>
        <w:footnoteRef/>
      </w:r>
      <w:r>
        <w:rPr>
          <w:rFonts w:hint="eastAsia"/>
          <w:vertAlign w:val="baseline"/>
        </w:rPr>
        <w:t>习近平.高举中国特色社会主义伟大旗帜为全面建设社会主义现代化国家而团结奋斗——在中国共产党第二十次全国代表大会上的报告</w:t>
      </w:r>
      <w:r>
        <w:rPr>
          <w:rFonts w:hint="eastAsia" w:ascii="Times New Roman" w:hAnsi="Times New Roman" w:eastAsia="宋体" w:cs="Times New Roman"/>
          <w:vertAlign w:val="baseline"/>
        </w:rPr>
        <w:t>[M].</w:t>
      </w:r>
      <w:r>
        <w:rPr>
          <w:rFonts w:hint="eastAsia"/>
          <w:vertAlign w:val="baseline"/>
        </w:rPr>
        <w:t>北京：</w:t>
      </w:r>
      <w:r>
        <w:rPr>
          <w:rFonts w:hint="eastAsia"/>
          <w:vertAlign w:val="baseline"/>
          <w:lang w:val="en-US" w:eastAsia="zh-CN"/>
        </w:rPr>
        <w:t>人民</w:t>
      </w:r>
      <w:r>
        <w:rPr>
          <w:rFonts w:hint="eastAsia"/>
          <w:vertAlign w:val="baseline"/>
        </w:rPr>
        <w:t>出版社，</w:t>
      </w:r>
      <w:r>
        <w:rPr>
          <w:rFonts w:hint="eastAsia" w:ascii="Times New Roman" w:hAnsi="Times New Roman" w:eastAsia="宋体" w:cs="Times New Roman"/>
          <w:vertAlign w:val="baseline"/>
        </w:rPr>
        <w:t>20</w:t>
      </w:r>
      <w:r>
        <w:rPr>
          <w:rFonts w:hint="eastAsia" w:ascii="Times New Roman" w:hAnsi="Times New Roman" w:eastAsia="宋体" w:cs="Times New Roman"/>
          <w:vertAlign w:val="baseline"/>
          <w:lang w:val="en-US" w:eastAsia="zh-CN"/>
        </w:rPr>
        <w:t>22</w:t>
      </w:r>
      <w:r>
        <w:rPr>
          <w:rFonts w:hint="eastAsia"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36</w:t>
      </w:r>
      <w:r>
        <w:rPr>
          <w:rFonts w:hint="eastAsia" w:ascii="Times New Roman" w:hAnsi="Times New Roman" w:eastAsia="宋体" w:cs="Times New Roman"/>
          <w:vertAlign w:val="baseline"/>
        </w:rPr>
        <w:t>.</w:t>
      </w:r>
    </w:p>
  </w:footnote>
  <w:footnote w:id="4">
    <w:p w14:paraId="46E2B231">
      <w:pPr>
        <w:pStyle w:val="6"/>
        <w:snapToGrid w:val="0"/>
        <w:rPr>
          <w:rFonts w:hint="eastAsia" w:eastAsiaTheme="minorEastAsia"/>
          <w:vertAlign w:val="baseline"/>
          <w:lang w:val="en-US" w:eastAsia="zh-CN"/>
        </w:rPr>
      </w:pPr>
      <w:r>
        <w:rPr>
          <w:rStyle w:val="9"/>
          <w:rFonts w:hint="default" w:ascii="Times New Roman" w:hAnsi="Times New Roman" w:cs="Times New Roman"/>
          <w:sz w:val="21"/>
          <w:vertAlign w:val="baseline"/>
        </w:rPr>
        <w:footnoteRef/>
      </w:r>
      <w:r>
        <w:rPr>
          <w:rFonts w:hint="eastAsia"/>
          <w:vertAlign w:val="baseline"/>
          <w:lang w:val="en-US" w:eastAsia="zh-CN"/>
        </w:rPr>
        <w:t>习近平.习近平谈治国理政</w:t>
      </w:r>
      <w:r>
        <w:rPr>
          <w:rFonts w:hint="eastAsia" w:ascii="宋体" w:hAnsi="宋体" w:eastAsia="宋体" w:cs="宋体"/>
          <w:szCs w:val="21"/>
          <w:vertAlign w:val="baseline"/>
        </w:rPr>
        <w:t>(第</w:t>
      </w:r>
      <w:r>
        <w:rPr>
          <w:rFonts w:hint="eastAsia" w:ascii="宋体" w:hAnsi="宋体" w:eastAsia="宋体" w:cs="宋体"/>
          <w:szCs w:val="21"/>
          <w:vertAlign w:val="baseline"/>
          <w:lang w:val="en-US" w:eastAsia="zh-CN"/>
        </w:rPr>
        <w:t>2</w:t>
      </w:r>
      <w:r>
        <w:rPr>
          <w:rFonts w:hint="eastAsia" w:ascii="宋体" w:hAnsi="宋体" w:eastAsia="宋体" w:cs="宋体"/>
          <w:szCs w:val="21"/>
          <w:vertAlign w:val="baseline"/>
        </w:rPr>
        <w:t>卷)</w:t>
      </w:r>
      <w:r>
        <w:rPr>
          <w:rFonts w:hint="default" w:ascii="Times New Roman" w:hAnsi="Times New Roman" w:eastAsia="宋体" w:cs="Times New Roman"/>
          <w:szCs w:val="21"/>
          <w:vertAlign w:val="baseline"/>
        </w:rPr>
        <w:t>[M].</w:t>
      </w:r>
      <w:r>
        <w:rPr>
          <w:rFonts w:hint="eastAsia" w:ascii="宋体" w:hAnsi="宋体" w:eastAsia="宋体" w:cs="宋体"/>
          <w:szCs w:val="21"/>
          <w:vertAlign w:val="baseline"/>
        </w:rPr>
        <w:t>北京</w:t>
      </w:r>
      <w:r>
        <w:rPr>
          <w:rFonts w:hint="eastAsia" w:ascii="宋体" w:hAnsi="宋体" w:eastAsia="宋体" w:cs="宋体"/>
          <w:szCs w:val="21"/>
          <w:vertAlign w:val="baseline"/>
          <w:lang w:eastAsia="zh-CN"/>
        </w:rPr>
        <w:t>：</w:t>
      </w:r>
      <w:r>
        <w:rPr>
          <w:rFonts w:hint="eastAsia" w:ascii="宋体" w:hAnsi="宋体" w:eastAsia="宋体" w:cs="宋体"/>
          <w:szCs w:val="21"/>
          <w:vertAlign w:val="baseline"/>
        </w:rPr>
        <w:t>人民出版社</w:t>
      </w:r>
      <w:r>
        <w:rPr>
          <w:rFonts w:hint="eastAsia" w:ascii="宋体" w:hAnsi="宋体" w:eastAsia="宋体" w:cs="宋体"/>
          <w:szCs w:val="21"/>
          <w:vertAlign w:val="baseline"/>
          <w:lang w:eastAsia="zh-CN"/>
        </w:rPr>
        <w:t>，</w:t>
      </w:r>
      <w:r>
        <w:rPr>
          <w:rFonts w:hint="eastAsia" w:ascii="Times New Roman" w:hAnsi="Times New Roman" w:eastAsia="宋体" w:cs="Times New Roman"/>
          <w:szCs w:val="18"/>
          <w:vertAlign w:val="baseline"/>
          <w:lang w:val="en-US" w:eastAsia="zh-CN"/>
        </w:rPr>
        <w:t>2017：175.</w:t>
      </w:r>
    </w:p>
  </w:footnote>
  <w:footnote w:id="5">
    <w:p w14:paraId="3EF0E3EC">
      <w:pPr>
        <w:pStyle w:val="6"/>
        <w:snapToGrid w:val="0"/>
        <w:rPr>
          <w:vertAlign w:val="baseline"/>
        </w:rPr>
      </w:pPr>
      <w:r>
        <w:rPr>
          <w:rStyle w:val="9"/>
          <w:rFonts w:hint="default" w:ascii="Times New Roman" w:hAnsi="Times New Roman" w:eastAsia="宋体" w:cs="Times New Roman"/>
          <w:sz w:val="21"/>
          <w:vertAlign w:val="baseline"/>
        </w:rPr>
        <w:footnoteRef/>
      </w:r>
      <w:r>
        <w:rPr>
          <w:rFonts w:hint="eastAsia"/>
          <w:vertAlign w:val="baseline"/>
          <w:lang w:val="en-US" w:eastAsia="zh-CN"/>
        </w:rPr>
        <w:t>习近平.发展新质生产力是推动高质量发展的内在要求和重要着力点</w:t>
      </w:r>
      <w:r>
        <w:rPr>
          <w:rFonts w:hint="default"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J</w:t>
      </w:r>
      <w:r>
        <w:rPr>
          <w:rFonts w:hint="default" w:ascii="Times New Roman" w:hAnsi="Times New Roman" w:eastAsia="宋体" w:cs="Times New Roman"/>
          <w:vertAlign w:val="baseline"/>
        </w:rPr>
        <w:t>]</w:t>
      </w:r>
      <w:r>
        <w:rPr>
          <w:rFonts w:hint="eastAsia" w:ascii="宋体" w:hAnsi="宋体" w:eastAsia="宋体"/>
          <w:vertAlign w:val="baseline"/>
        </w:rPr>
        <w:t>.</w:t>
      </w:r>
      <w:r>
        <w:rPr>
          <w:rFonts w:hint="eastAsia" w:ascii="宋体" w:hAnsi="宋体" w:eastAsia="宋体" w:cs="宋体"/>
          <w:szCs w:val="21"/>
          <w:vertAlign w:val="baseline"/>
          <w:lang w:val="en-US" w:eastAsia="zh-CN"/>
        </w:rPr>
        <w:t>求是，</w:t>
      </w:r>
      <w:r>
        <w:rPr>
          <w:rFonts w:hint="eastAsia" w:ascii="Times New Roman" w:hAnsi="Times New Roman" w:eastAsia="宋体" w:cs="Times New Roman"/>
          <w:vertAlign w:val="baseline"/>
          <w:lang w:val="en-US" w:eastAsia="zh-CN"/>
        </w:rPr>
        <w:t>2024(11)：4-8.</w:t>
      </w:r>
    </w:p>
  </w:footnote>
  <w:footnote w:id="6">
    <w:p w14:paraId="185F37E5">
      <w:pPr>
        <w:pStyle w:val="6"/>
        <w:snapToGrid w:val="0"/>
        <w:rPr>
          <w:vertAlign w:val="baseline"/>
        </w:rPr>
      </w:pPr>
      <w:r>
        <w:rPr>
          <w:rStyle w:val="9"/>
          <w:rFonts w:hint="default" w:ascii="Times New Roman" w:hAnsi="Times New Roman" w:cs="Times New Roman"/>
          <w:sz w:val="21"/>
          <w:vertAlign w:val="baseline"/>
        </w:rPr>
        <w:footnoteRef/>
      </w:r>
      <w:r>
        <w:rPr>
          <w:rFonts w:hint="eastAsia"/>
          <w:vertAlign w:val="baseline"/>
          <w:lang w:val="en-US" w:eastAsia="zh-CN"/>
        </w:rPr>
        <w:t xml:space="preserve">习近平在重庆考察时强调 </w:t>
      </w:r>
      <w:r>
        <w:rPr>
          <w:rFonts w:hint="eastAsia"/>
          <w:vertAlign w:val="baseline"/>
        </w:rPr>
        <w:t>进一步全面深化改革开放</w:t>
      </w:r>
      <w:r>
        <w:rPr>
          <w:rFonts w:hint="eastAsia"/>
          <w:vertAlign w:val="baseline"/>
          <w:lang w:val="en-US" w:eastAsia="zh-CN"/>
        </w:rPr>
        <w:t xml:space="preserve"> </w:t>
      </w:r>
      <w:r>
        <w:rPr>
          <w:rFonts w:hint="eastAsia"/>
          <w:vertAlign w:val="baseline"/>
        </w:rPr>
        <w:t>不断谱写中国式现代化重庆篇章</w:t>
      </w:r>
      <w:r>
        <w:rPr>
          <w:rFonts w:hint="default"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N</w:t>
      </w:r>
      <w:r>
        <w:rPr>
          <w:rFonts w:hint="default" w:ascii="Times New Roman" w:hAnsi="Times New Roman" w:eastAsia="宋体" w:cs="Times New Roman"/>
          <w:vertAlign w:val="baseline"/>
        </w:rPr>
        <w:t>]</w:t>
      </w:r>
      <w:r>
        <w:rPr>
          <w:rFonts w:hint="eastAsia" w:ascii="宋体" w:hAnsi="宋体" w:eastAsia="宋体"/>
          <w:vertAlign w:val="baseline"/>
        </w:rPr>
        <w:t>.人民日报</w:t>
      </w:r>
      <w:r>
        <w:rPr>
          <w:rFonts w:hint="eastAsia" w:ascii="宋体" w:hAnsi="宋体" w:eastAsia="宋体"/>
          <w:vertAlign w:val="baseline"/>
          <w:lang w:eastAsia="zh-CN"/>
        </w:rPr>
        <w:t>，</w:t>
      </w:r>
      <w:r>
        <w:rPr>
          <w:rFonts w:hint="eastAsia" w:ascii="Times New Roman" w:hAnsi="Times New Roman" w:eastAsia="宋体" w:cs="Times New Roman"/>
          <w:szCs w:val="18"/>
          <w:vertAlign w:val="baseline"/>
          <w:lang w:val="en-US" w:eastAsia="zh-CN"/>
        </w:rPr>
        <w:t>2024-04-25(01).</w:t>
      </w:r>
      <w:r>
        <w:rPr>
          <w:vertAlign w:val="baseline"/>
        </w:rPr>
        <w:t xml:space="preserve"> </w:t>
      </w:r>
    </w:p>
  </w:footnote>
  <w:footnote w:id="7">
    <w:p w14:paraId="1E5AA9B8">
      <w:pPr>
        <w:pStyle w:val="6"/>
        <w:snapToGrid w:val="0"/>
        <w:rPr>
          <w:vertAlign w:val="baseline"/>
        </w:rPr>
      </w:pPr>
      <w:r>
        <w:rPr>
          <w:rStyle w:val="9"/>
          <w:rFonts w:hint="default" w:ascii="Times New Roman" w:hAnsi="Times New Roman" w:cs="Times New Roman"/>
          <w:sz w:val="21"/>
          <w:vertAlign w:val="baseline"/>
        </w:rPr>
        <w:footnoteRef/>
      </w:r>
      <w:r>
        <w:rPr>
          <w:rFonts w:hint="eastAsia"/>
          <w:vertAlign w:val="baseline"/>
        </w:rPr>
        <w:t>习近平</w:t>
      </w:r>
      <w:r>
        <w:rPr>
          <w:rFonts w:hint="eastAsia"/>
          <w:vertAlign w:val="baseline"/>
          <w:lang w:val="en-US" w:eastAsia="zh-CN"/>
        </w:rPr>
        <w:t>.</w:t>
      </w:r>
      <w:r>
        <w:rPr>
          <w:rFonts w:hint="eastAsia"/>
          <w:vertAlign w:val="baseline"/>
        </w:rPr>
        <w:t>不断做强做优做大我国数字经济</w:t>
      </w:r>
      <w:r>
        <w:rPr>
          <w:rFonts w:hint="default"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J</w:t>
      </w:r>
      <w:r>
        <w:rPr>
          <w:rFonts w:hint="default" w:ascii="Times New Roman" w:hAnsi="Times New Roman" w:eastAsia="宋体" w:cs="Times New Roman"/>
          <w:vertAlign w:val="baseline"/>
        </w:rPr>
        <w:t>]</w:t>
      </w:r>
      <w:r>
        <w:rPr>
          <w:rFonts w:hint="eastAsia" w:ascii="宋体" w:hAnsi="宋体" w:eastAsia="宋体"/>
          <w:vertAlign w:val="baseline"/>
        </w:rPr>
        <w:t>.</w:t>
      </w:r>
      <w:r>
        <w:rPr>
          <w:rFonts w:hint="eastAsia" w:ascii="宋体" w:hAnsi="宋体" w:eastAsia="宋体" w:cs="宋体"/>
          <w:szCs w:val="21"/>
          <w:vertAlign w:val="baseline"/>
          <w:lang w:val="en-US" w:eastAsia="zh-CN"/>
        </w:rPr>
        <w:t>求是，</w:t>
      </w:r>
      <w:r>
        <w:rPr>
          <w:rFonts w:hint="eastAsia" w:ascii="Times New Roman" w:hAnsi="Times New Roman" w:eastAsia="宋体" w:cs="Times New Roman"/>
          <w:vertAlign w:val="baseline"/>
          <w:lang w:val="en-US" w:eastAsia="zh-CN"/>
        </w:rPr>
        <w:t>2022(02)：4-8.</w:t>
      </w:r>
    </w:p>
  </w:footnote>
  <w:footnote w:id="8">
    <w:p w14:paraId="2322D640">
      <w:pPr>
        <w:pStyle w:val="6"/>
        <w:snapToGrid w:val="0"/>
        <w:rPr>
          <w:rFonts w:hint="default" w:ascii="Times New Roman" w:hAnsi="Times New Roman" w:eastAsia="宋体" w:cs="Times New Roman"/>
          <w:szCs w:val="21"/>
          <w:vertAlign w:val="baseline"/>
        </w:rPr>
      </w:pPr>
      <w:r>
        <w:rPr>
          <w:rStyle w:val="9"/>
          <w:rFonts w:hint="default" w:ascii="Times New Roman" w:hAnsi="Times New Roman" w:eastAsia="宋体" w:cs="Times New Roman"/>
          <w:sz w:val="21"/>
          <w:vertAlign w:val="baseline"/>
        </w:rPr>
        <w:footnoteRef/>
      </w:r>
      <w:r>
        <w:rPr>
          <w:rFonts w:hint="eastAsia" w:ascii="Times New Roman" w:hAnsi="Times New Roman" w:eastAsia="宋体" w:cs="Times New Roman"/>
          <w:szCs w:val="21"/>
          <w:vertAlign w:val="baseline"/>
          <w:lang w:val="en-US" w:eastAsia="zh-CN"/>
        </w:rPr>
        <w:t>习近平.习近平谈治国理政(第4卷)[M].北京：外文出版社，2022：207.</w:t>
      </w:r>
    </w:p>
  </w:footnote>
  <w:footnote w:id="9">
    <w:p w14:paraId="19BF7288">
      <w:pPr>
        <w:pStyle w:val="6"/>
        <w:snapToGrid w:val="0"/>
        <w:rPr>
          <w:rFonts w:hint="default" w:eastAsiaTheme="minorEastAsia"/>
          <w:vertAlign w:val="baseline"/>
          <w:lang w:val="en-US" w:eastAsia="zh-CN"/>
        </w:rPr>
      </w:pPr>
      <w:r>
        <w:rPr>
          <w:rStyle w:val="9"/>
          <w:rFonts w:hint="default" w:ascii="Times New Roman" w:hAnsi="Times New Roman" w:eastAsia="宋体" w:cs="Times New Roman"/>
          <w:sz w:val="21"/>
          <w:vertAlign w:val="baseline"/>
        </w:rPr>
        <w:footnoteRef/>
      </w:r>
      <w:r>
        <w:rPr>
          <w:rFonts w:hint="eastAsia"/>
          <w:vertAlign w:val="baseline"/>
          <w:lang w:val="en-US" w:eastAsia="zh-CN"/>
        </w:rPr>
        <w:t>本书编写组.习近平著作选读</w:t>
      </w:r>
      <w:r>
        <w:rPr>
          <w:rFonts w:hint="eastAsia" w:ascii="宋体" w:hAnsi="宋体" w:eastAsia="宋体"/>
          <w:vertAlign w:val="baseline"/>
        </w:rPr>
        <w:t>(第</w:t>
      </w:r>
      <w:r>
        <w:rPr>
          <w:rFonts w:hint="eastAsia" w:ascii="宋体" w:hAnsi="宋体" w:eastAsia="宋体"/>
          <w:vertAlign w:val="baseline"/>
          <w:lang w:val="en-US" w:eastAsia="zh-CN"/>
        </w:rPr>
        <w:t>1</w:t>
      </w:r>
      <w:r>
        <w:rPr>
          <w:rFonts w:hint="eastAsia" w:ascii="宋体" w:hAnsi="宋体" w:eastAsia="宋体"/>
          <w:vertAlign w:val="baseline"/>
        </w:rPr>
        <w:t>卷)</w:t>
      </w:r>
      <w:r>
        <w:rPr>
          <w:rFonts w:hint="default"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M</w:t>
      </w:r>
      <w:r>
        <w:rPr>
          <w:rFonts w:hint="default" w:ascii="Times New Roman" w:hAnsi="Times New Roman" w:eastAsia="宋体" w:cs="Times New Roman"/>
          <w:vertAlign w:val="baseline"/>
        </w:rPr>
        <w:t>]</w:t>
      </w:r>
      <w:r>
        <w:rPr>
          <w:rFonts w:hint="eastAsia" w:ascii="宋体" w:hAnsi="宋体" w:eastAsia="宋体"/>
          <w:vertAlign w:val="baseline"/>
        </w:rPr>
        <w:t>.</w:t>
      </w:r>
      <w:r>
        <w:rPr>
          <w:rFonts w:hint="eastAsia"/>
          <w:vertAlign w:val="baseline"/>
        </w:rPr>
        <w:t>北京</w:t>
      </w:r>
      <w:r>
        <w:rPr>
          <w:rFonts w:hint="eastAsia"/>
          <w:vertAlign w:val="baseline"/>
          <w:lang w:eastAsia="zh-CN"/>
        </w:rPr>
        <w:t>：</w:t>
      </w:r>
      <w:r>
        <w:rPr>
          <w:rFonts w:hint="eastAsia"/>
          <w:vertAlign w:val="baseline"/>
        </w:rPr>
        <w:t>人民出版社</w:t>
      </w:r>
      <w:r>
        <w:rPr>
          <w:rFonts w:hint="eastAsia"/>
          <w:vertAlign w:val="baseline"/>
          <w:lang w:eastAsia="zh-CN"/>
        </w:rPr>
        <w:t>，</w:t>
      </w:r>
      <w:r>
        <w:rPr>
          <w:rFonts w:ascii="Times New Roman" w:hAnsi="Times New Roman" w:eastAsia="宋体" w:cs="Times New Roman"/>
          <w:vertAlign w:val="baseline"/>
        </w:rPr>
        <w:t>20</w:t>
      </w:r>
      <w:r>
        <w:rPr>
          <w:rFonts w:hint="eastAsia" w:ascii="Times New Roman" w:hAnsi="Times New Roman" w:eastAsia="宋体" w:cs="Times New Roman"/>
          <w:vertAlign w:val="baseline"/>
          <w:lang w:val="en-US" w:eastAsia="zh-CN"/>
        </w:rPr>
        <w:t>23：30</w:t>
      </w:r>
      <w:r>
        <w:rPr>
          <w:rFonts w:hint="eastAsia"/>
          <w:vertAlign w:val="baseline"/>
        </w:rPr>
        <w:t>.</w:t>
      </w:r>
    </w:p>
  </w:footnote>
  <w:footnote w:id="10">
    <w:p w14:paraId="44D905C0">
      <w:pPr>
        <w:pStyle w:val="6"/>
        <w:snapToGrid w:val="0"/>
        <w:jc w:val="both"/>
        <w:rPr>
          <w:vertAlign w:val="baseline"/>
        </w:rPr>
      </w:pPr>
      <w:r>
        <w:rPr>
          <w:rStyle w:val="9"/>
          <w:rFonts w:hint="default" w:ascii="Times New Roman" w:hAnsi="Times New Roman" w:cs="Times New Roman"/>
          <w:sz w:val="21"/>
          <w:vertAlign w:val="baseline"/>
        </w:rPr>
        <w:footnoteRef/>
      </w:r>
      <w:r>
        <w:rPr>
          <w:rFonts w:hint="eastAsia"/>
          <w:vertAlign w:val="baseline"/>
          <w:lang w:val="en-US" w:eastAsia="zh-CN"/>
        </w:rPr>
        <w:t>习近平.</w:t>
      </w:r>
      <w:r>
        <w:rPr>
          <w:rFonts w:hint="eastAsia"/>
          <w:vertAlign w:val="baseline"/>
        </w:rPr>
        <w:t>抓住培养社会主义建设者和接班人根本任务努力建设中国特色世界一流大学</w:t>
      </w:r>
      <w:r>
        <w:rPr>
          <w:rFonts w:hint="default"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N</w:t>
      </w:r>
      <w:r>
        <w:rPr>
          <w:rFonts w:hint="default" w:ascii="Times New Roman" w:hAnsi="Times New Roman" w:eastAsia="宋体" w:cs="Times New Roman"/>
          <w:vertAlign w:val="baseline"/>
        </w:rPr>
        <w:t>]</w:t>
      </w:r>
      <w:r>
        <w:rPr>
          <w:rFonts w:hint="eastAsia" w:ascii="宋体" w:hAnsi="宋体" w:eastAsia="宋体"/>
          <w:vertAlign w:val="baseline"/>
        </w:rPr>
        <w:t>.人民日报</w:t>
      </w:r>
      <w:r>
        <w:rPr>
          <w:rFonts w:hint="eastAsia" w:ascii="宋体" w:hAnsi="宋体" w:eastAsia="宋体"/>
          <w:vertAlign w:val="baseline"/>
          <w:lang w:eastAsia="zh-CN"/>
        </w:rPr>
        <w:t>，</w:t>
      </w:r>
      <w:r>
        <w:rPr>
          <w:rFonts w:hint="eastAsia" w:ascii="Times New Roman" w:hAnsi="Times New Roman" w:eastAsia="宋体" w:cs="Times New Roman"/>
          <w:szCs w:val="18"/>
          <w:vertAlign w:val="baseline"/>
          <w:lang w:val="en-US" w:eastAsia="zh-CN"/>
        </w:rPr>
        <w:t xml:space="preserve">2018-05-03(01). </w:t>
      </w:r>
    </w:p>
  </w:footnote>
  <w:footnote w:id="11">
    <w:p w14:paraId="62FA1CCB">
      <w:pPr>
        <w:pStyle w:val="6"/>
        <w:snapToGrid w:val="0"/>
        <w:jc w:val="both"/>
        <w:rPr>
          <w:rFonts w:hint="eastAsia" w:ascii="Times New Roman" w:hAnsi="Times New Roman" w:eastAsia="宋体" w:cs="Times New Roman"/>
          <w:szCs w:val="18"/>
          <w:vertAlign w:val="baseline"/>
          <w:lang w:val="en-US" w:eastAsia="zh-CN"/>
        </w:rPr>
      </w:pPr>
      <w:r>
        <w:rPr>
          <w:rStyle w:val="9"/>
          <w:rFonts w:hint="default" w:ascii="Times New Roman" w:hAnsi="Times New Roman" w:cs="Times New Roman"/>
          <w:sz w:val="21"/>
          <w:vertAlign w:val="baseline"/>
        </w:rPr>
        <w:footnoteRef/>
      </w:r>
      <w:r>
        <w:rPr>
          <w:rFonts w:hint="eastAsia"/>
          <w:vertAlign w:val="baseline"/>
        </w:rPr>
        <w:t>习近平.在中国科学院第十七次院士大会、中国工程院第十二次院士大会上的讲话</w:t>
      </w:r>
      <w:r>
        <w:rPr>
          <w:rFonts w:hint="default"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N</w:t>
      </w:r>
      <w:r>
        <w:rPr>
          <w:rFonts w:hint="default" w:ascii="Times New Roman" w:hAnsi="Times New Roman" w:eastAsia="宋体" w:cs="Times New Roman"/>
          <w:vertAlign w:val="baseline"/>
        </w:rPr>
        <w:t>]</w:t>
      </w:r>
      <w:r>
        <w:rPr>
          <w:rFonts w:hint="eastAsia" w:ascii="宋体" w:hAnsi="宋体" w:eastAsia="宋体"/>
          <w:vertAlign w:val="baseline"/>
        </w:rPr>
        <w:t>.人民日报</w:t>
      </w:r>
      <w:r>
        <w:rPr>
          <w:rFonts w:hint="eastAsia" w:ascii="宋体" w:hAnsi="宋体" w:eastAsia="宋体"/>
          <w:vertAlign w:val="baseline"/>
          <w:lang w:eastAsia="zh-CN"/>
        </w:rPr>
        <w:t>，</w:t>
      </w:r>
      <w:r>
        <w:rPr>
          <w:rFonts w:hint="eastAsia" w:ascii="Times New Roman" w:hAnsi="Times New Roman" w:eastAsia="宋体" w:cs="Times New Roman"/>
          <w:szCs w:val="18"/>
          <w:vertAlign w:val="baseline"/>
          <w:lang w:val="en-US" w:eastAsia="zh-CN"/>
        </w:rPr>
        <w:t xml:space="preserve">2014-06-10(02). </w:t>
      </w:r>
    </w:p>
  </w:footnote>
  <w:footnote w:id="12">
    <w:p w14:paraId="69BC06D8">
      <w:pPr>
        <w:pStyle w:val="6"/>
        <w:snapToGrid w:val="0"/>
        <w:jc w:val="both"/>
        <w:rPr>
          <w:rFonts w:hint="eastAsia" w:ascii="Times New Roman" w:hAnsi="Times New Roman" w:eastAsia="宋体" w:cs="Times New Roman"/>
          <w:szCs w:val="18"/>
          <w:vertAlign w:val="baseline"/>
          <w:lang w:val="en-US" w:eastAsia="zh-CN"/>
        </w:rPr>
      </w:pPr>
      <w:r>
        <w:rPr>
          <w:rStyle w:val="9"/>
          <w:rFonts w:hint="default" w:ascii="Times New Roman" w:hAnsi="Times New Roman" w:cs="Times New Roman"/>
          <w:sz w:val="21"/>
          <w:vertAlign w:val="baseline"/>
        </w:rPr>
        <w:footnoteRef/>
      </w:r>
      <w:r>
        <w:rPr>
          <w:rFonts w:hint="eastAsia"/>
          <w:vertAlign w:val="baseline"/>
        </w:rPr>
        <w:t>姜洁.在践行新发展理念上先行一步让互联网更好造福国家和人民</w:t>
      </w:r>
      <w:r>
        <w:rPr>
          <w:rFonts w:hint="default"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N</w:t>
      </w:r>
      <w:r>
        <w:rPr>
          <w:rFonts w:hint="default" w:ascii="Times New Roman" w:hAnsi="Times New Roman" w:eastAsia="宋体" w:cs="Times New Roman"/>
          <w:vertAlign w:val="baseline"/>
        </w:rPr>
        <w:t>]</w:t>
      </w:r>
      <w:r>
        <w:rPr>
          <w:rFonts w:hint="eastAsia" w:ascii="宋体" w:hAnsi="宋体" w:eastAsia="宋体"/>
          <w:vertAlign w:val="baseline"/>
        </w:rPr>
        <w:t>.人民日报</w:t>
      </w:r>
      <w:r>
        <w:rPr>
          <w:rFonts w:hint="eastAsia" w:ascii="宋体" w:hAnsi="宋体" w:eastAsia="宋体"/>
          <w:vertAlign w:val="baseline"/>
          <w:lang w:eastAsia="zh-CN"/>
        </w:rPr>
        <w:t>，</w:t>
      </w:r>
      <w:r>
        <w:rPr>
          <w:rFonts w:hint="eastAsia" w:ascii="Times New Roman" w:hAnsi="Times New Roman" w:eastAsia="宋体" w:cs="Times New Roman"/>
          <w:szCs w:val="18"/>
          <w:vertAlign w:val="baseline"/>
          <w:lang w:val="en-US" w:eastAsia="zh-CN"/>
        </w:rPr>
        <w:t xml:space="preserve">2016-04-20(01). </w:t>
      </w:r>
    </w:p>
    <w:p w14:paraId="0C3B97E8">
      <w:pPr>
        <w:pStyle w:val="6"/>
        <w:snapToGrid w:val="0"/>
      </w:pPr>
    </w:p>
  </w:footnote>
  <w:footnote w:id="13">
    <w:p w14:paraId="75A1DF9E">
      <w:pPr>
        <w:pStyle w:val="6"/>
        <w:snapToGrid w:val="0"/>
        <w:rPr>
          <w:rFonts w:hint="default" w:eastAsiaTheme="minorEastAsia"/>
          <w:vertAlign w:val="baseline"/>
          <w:lang w:val="en-US" w:eastAsia="zh-CN"/>
        </w:rPr>
      </w:pPr>
      <w:r>
        <w:rPr>
          <w:rStyle w:val="9"/>
          <w:rFonts w:hint="default" w:ascii="Times New Roman" w:hAnsi="Times New Roman" w:cs="Times New Roman"/>
          <w:sz w:val="21"/>
          <w:vertAlign w:val="baseline"/>
        </w:rPr>
        <w:footnoteRef/>
      </w:r>
      <w:r>
        <w:rPr>
          <w:rFonts w:hint="eastAsia" w:ascii="Times New Roman" w:hAnsi="Times New Roman" w:eastAsia="宋体" w:cs="Times New Roman"/>
          <w:vertAlign w:val="baseline"/>
        </w:rPr>
        <w:t>中共中央文献研究室.习近平关于科技创新论述摘编[M].北京：中央文献出版社，</w:t>
      </w:r>
      <w:r>
        <w:rPr>
          <w:rFonts w:hint="default" w:ascii="Times New Roman" w:hAnsi="Times New Roman" w:eastAsia="宋体" w:cs="Times New Roman"/>
          <w:vertAlign w:val="baseline"/>
        </w:rPr>
        <w:t>2016：</w:t>
      </w:r>
      <w:r>
        <w:rPr>
          <w:rFonts w:hint="eastAsia" w:ascii="Times New Roman" w:hAnsi="Times New Roman" w:eastAsia="宋体" w:cs="Times New Roman"/>
          <w:vertAlign w:val="baseline"/>
          <w:lang w:val="en-US" w:eastAsia="zh-CN"/>
        </w:rPr>
        <w:t>112</w:t>
      </w:r>
      <w:r>
        <w:rPr>
          <w:rFonts w:hint="default" w:ascii="Times New Roman" w:hAnsi="Times New Roman" w:eastAsia="宋体" w:cs="Times New Roman"/>
          <w:vertAlign w:val="baseline"/>
        </w:rPr>
        <w:t>.</w:t>
      </w:r>
    </w:p>
  </w:footnote>
  <w:footnote w:id="14">
    <w:p w14:paraId="04DCEC49">
      <w:pPr>
        <w:pStyle w:val="6"/>
        <w:snapToGrid w:val="0"/>
        <w:rPr>
          <w:vertAlign w:val="baseline"/>
        </w:rPr>
      </w:pPr>
      <w:r>
        <w:rPr>
          <w:rStyle w:val="9"/>
          <w:rFonts w:hint="default" w:ascii="Times New Roman" w:hAnsi="Times New Roman" w:eastAsia="宋体" w:cs="Times New Roman"/>
          <w:sz w:val="21"/>
          <w:vertAlign w:val="baseline"/>
        </w:rPr>
        <w:footnoteRef/>
      </w:r>
      <w:r>
        <w:rPr>
          <w:rFonts w:hint="eastAsia"/>
          <w:vertAlign w:val="baseline"/>
        </w:rPr>
        <w:t>习近平.守望相助共克疫情携手同心推进合作</w:t>
      </w:r>
      <w:r>
        <w:rPr>
          <w:rFonts w:hint="eastAsia" w:ascii="Times New Roman" w:hAnsi="Times New Roman" w:cs="Times New Roman"/>
          <w:vertAlign w:val="baseline"/>
        </w:rPr>
        <w:t>[N].</w:t>
      </w:r>
      <w:r>
        <w:rPr>
          <w:rFonts w:hint="eastAsia"/>
          <w:vertAlign w:val="baseline"/>
        </w:rPr>
        <w:t>人民日报</w:t>
      </w:r>
      <w:r>
        <w:rPr>
          <w:rFonts w:hint="eastAsia"/>
          <w:vertAlign w:val="baseline"/>
          <w:lang w:eastAsia="zh-CN"/>
        </w:rPr>
        <w:t>，</w:t>
      </w:r>
      <w:r>
        <w:rPr>
          <w:rFonts w:hint="eastAsia" w:ascii="Times New Roman" w:hAnsi="Times New Roman" w:eastAsia="宋体" w:cs="Times New Roman"/>
          <w:vertAlign w:val="baseline"/>
        </w:rPr>
        <w:t>202</w:t>
      </w:r>
      <w:r>
        <w:rPr>
          <w:rFonts w:hint="eastAsia" w:ascii="Times New Roman" w:hAnsi="Times New Roman" w:eastAsia="宋体" w:cs="Times New Roman"/>
          <w:vertAlign w:val="baseline"/>
          <w:lang w:val="en-US" w:eastAsia="zh-CN"/>
        </w:rPr>
        <w:t>0</w:t>
      </w:r>
      <w:r>
        <w:rPr>
          <w:rFonts w:hint="eastAsia"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11</w:t>
      </w:r>
      <w:r>
        <w:rPr>
          <w:rFonts w:hint="eastAsia"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1</w:t>
      </w:r>
      <w:r>
        <w:rPr>
          <w:rFonts w:hint="eastAsia" w:ascii="Times New Roman" w:hAnsi="Times New Roman" w:eastAsia="宋体" w:cs="Times New Roman"/>
          <w:vertAlign w:val="baseline"/>
        </w:rPr>
        <w:t>8(0</w:t>
      </w:r>
      <w:r>
        <w:rPr>
          <w:rFonts w:hint="eastAsia" w:ascii="Times New Roman" w:hAnsi="Times New Roman" w:eastAsia="宋体" w:cs="Times New Roman"/>
          <w:vertAlign w:val="baseline"/>
          <w:lang w:val="en-US" w:eastAsia="zh-CN"/>
        </w:rPr>
        <w:t>2</w:t>
      </w:r>
      <w:r>
        <w:rPr>
          <w:rFonts w:hint="eastAsia" w:ascii="Times New Roman" w:hAnsi="Times New Roman" w:eastAsia="宋体" w:cs="Times New Roman"/>
          <w:vertAlign w:val="baseline"/>
        </w:rPr>
        <w:t>).</w:t>
      </w:r>
    </w:p>
  </w:footnote>
  <w:footnote w:id="15">
    <w:p w14:paraId="626A7CFC">
      <w:pPr>
        <w:pStyle w:val="6"/>
        <w:snapToGrid w:val="0"/>
        <w:rPr>
          <w:vertAlign w:val="baseline"/>
        </w:rPr>
      </w:pPr>
      <w:r>
        <w:rPr>
          <w:rStyle w:val="9"/>
          <w:rFonts w:hint="default" w:ascii="Times New Roman" w:hAnsi="Times New Roman" w:eastAsia="宋体" w:cs="Times New Roman"/>
          <w:sz w:val="21"/>
          <w:vertAlign w:val="baseline"/>
        </w:rPr>
        <w:footnoteRef/>
      </w:r>
      <w:r>
        <w:rPr>
          <w:rFonts w:hint="eastAsia"/>
          <w:vertAlign w:val="baseline"/>
        </w:rPr>
        <w:t>习近平.决胜全面建成小康社会　夺取新时代中国特色社会主义伟大胜利——在中国共产党第十九次全国代表大会上的报告</w:t>
      </w:r>
      <w:r>
        <w:rPr>
          <w:rFonts w:hint="eastAsia" w:ascii="Times New Roman" w:hAnsi="Times New Roman" w:eastAsia="宋体" w:cs="Times New Roman"/>
          <w:vertAlign w:val="baseline"/>
        </w:rPr>
        <w:t>[M].</w:t>
      </w:r>
      <w:r>
        <w:rPr>
          <w:rFonts w:hint="eastAsia"/>
          <w:vertAlign w:val="baseline"/>
        </w:rPr>
        <w:t>北京：</w:t>
      </w:r>
      <w:r>
        <w:rPr>
          <w:rFonts w:hint="eastAsia"/>
          <w:vertAlign w:val="baseline"/>
          <w:lang w:val="en-US" w:eastAsia="zh-CN"/>
        </w:rPr>
        <w:t>人民</w:t>
      </w:r>
      <w:r>
        <w:rPr>
          <w:rFonts w:hint="eastAsia"/>
          <w:vertAlign w:val="baseline"/>
        </w:rPr>
        <w:t>出版社，</w:t>
      </w:r>
      <w:r>
        <w:rPr>
          <w:rFonts w:hint="eastAsia" w:ascii="Times New Roman" w:hAnsi="Times New Roman" w:eastAsia="宋体" w:cs="Times New Roman"/>
          <w:vertAlign w:val="baseline"/>
        </w:rPr>
        <w:t>20</w:t>
      </w:r>
      <w:r>
        <w:rPr>
          <w:rFonts w:hint="eastAsia" w:ascii="Times New Roman" w:hAnsi="Times New Roman" w:eastAsia="宋体" w:cs="Times New Roman"/>
          <w:vertAlign w:val="baseline"/>
          <w:lang w:val="en-US" w:eastAsia="zh-CN"/>
        </w:rPr>
        <w:t>17</w:t>
      </w:r>
      <w:r>
        <w:rPr>
          <w:rFonts w:hint="eastAsia"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34</w:t>
      </w:r>
      <w:r>
        <w:rPr>
          <w:rFonts w:hint="eastAsia" w:ascii="Times New Roman" w:hAnsi="Times New Roman" w:eastAsia="宋体" w:cs="Times New Roman"/>
          <w:vertAlign w:val="baseline"/>
        </w:rPr>
        <w:t>.</w:t>
      </w:r>
    </w:p>
  </w:footnote>
  <w:footnote w:id="16">
    <w:p w14:paraId="0E0A1DC1">
      <w:pPr>
        <w:pStyle w:val="6"/>
        <w:snapToGrid w:val="0"/>
        <w:rPr>
          <w:rFonts w:hint="eastAsia" w:ascii="Times New Roman" w:hAnsi="Times New Roman" w:eastAsia="宋体" w:cs="Times New Roman"/>
          <w:szCs w:val="18"/>
          <w:vertAlign w:val="baseline"/>
          <w:lang w:val="en-US" w:eastAsia="zh-CN"/>
        </w:rPr>
      </w:pPr>
      <w:r>
        <w:rPr>
          <w:rStyle w:val="9"/>
          <w:rFonts w:hint="default" w:ascii="Times New Roman" w:hAnsi="Times New Roman" w:cs="Times New Roman"/>
          <w:sz w:val="21"/>
          <w:vertAlign w:val="baseline"/>
        </w:rPr>
        <w:footnoteRef/>
      </w:r>
      <w:r>
        <w:rPr>
          <w:rFonts w:hint="eastAsia"/>
          <w:vertAlign w:val="baseline"/>
        </w:rPr>
        <w:t>习近平.团结合作砥砺前行</w:t>
      </w:r>
      <w:r>
        <w:rPr>
          <w:rFonts w:hint="eastAsia" w:ascii="Times New Roman" w:hAnsi="Times New Roman" w:cs="Times New Roman"/>
          <w:vertAlign w:val="baseline"/>
        </w:rPr>
        <w:t>[N].</w:t>
      </w:r>
      <w:r>
        <w:rPr>
          <w:rFonts w:hint="eastAsia"/>
          <w:vertAlign w:val="baseline"/>
        </w:rPr>
        <w:t>人民日报</w:t>
      </w:r>
      <w:r>
        <w:rPr>
          <w:rFonts w:hint="eastAsia"/>
          <w:vertAlign w:val="baseline"/>
          <w:lang w:eastAsia="zh-CN"/>
        </w:rPr>
        <w:t>，</w:t>
      </w:r>
      <w:r>
        <w:rPr>
          <w:rFonts w:hint="eastAsia" w:ascii="Times New Roman" w:hAnsi="Times New Roman" w:eastAsia="宋体" w:cs="Times New Roman"/>
          <w:szCs w:val="18"/>
          <w:vertAlign w:val="baseline"/>
          <w:lang w:val="en-US" w:eastAsia="zh-CN"/>
        </w:rPr>
        <w:t>2025-09-09(02).</w:t>
      </w:r>
    </w:p>
  </w:footnote>
  <w:footnote w:id="17">
    <w:p w14:paraId="5C22FC5E">
      <w:pPr>
        <w:pStyle w:val="6"/>
        <w:snapToGrid w:val="0"/>
        <w:rPr>
          <w:vertAlign w:val="baseline"/>
        </w:rPr>
      </w:pPr>
      <w:r>
        <w:rPr>
          <w:rStyle w:val="9"/>
          <w:rFonts w:hint="default" w:ascii="Times New Roman" w:hAnsi="Times New Roman" w:eastAsia="宋体" w:cs="Times New Roman"/>
          <w:sz w:val="21"/>
          <w:vertAlign w:val="baseline"/>
        </w:rPr>
        <w:footnoteRef/>
      </w:r>
      <w:r>
        <w:rPr>
          <w:rFonts w:hint="eastAsia"/>
          <w:vertAlign w:val="baseline"/>
        </w:rPr>
        <w:t>习近平.携手推进“一带一路”建设——在“一带一路”国际合作高峰论坛开幕式上的演讲</w:t>
      </w:r>
      <w:r>
        <w:rPr>
          <w:rFonts w:hint="eastAsia" w:ascii="Times New Roman" w:hAnsi="Times New Roman" w:eastAsia="宋体" w:cs="Times New Roman"/>
          <w:vertAlign w:val="baseline"/>
        </w:rPr>
        <w:t>[M].</w:t>
      </w:r>
      <w:r>
        <w:rPr>
          <w:rFonts w:hint="eastAsia"/>
          <w:vertAlign w:val="baseline"/>
        </w:rPr>
        <w:t>北京：</w:t>
      </w:r>
      <w:r>
        <w:rPr>
          <w:rFonts w:hint="eastAsia"/>
          <w:vertAlign w:val="baseline"/>
          <w:lang w:val="en-US" w:eastAsia="zh-CN"/>
        </w:rPr>
        <w:t>人民</w:t>
      </w:r>
      <w:r>
        <w:rPr>
          <w:rFonts w:hint="eastAsia"/>
          <w:vertAlign w:val="baseline"/>
        </w:rPr>
        <w:t>出版社，</w:t>
      </w:r>
      <w:r>
        <w:rPr>
          <w:rFonts w:hint="eastAsia" w:ascii="Times New Roman" w:hAnsi="Times New Roman" w:eastAsia="宋体" w:cs="Times New Roman"/>
          <w:vertAlign w:val="baseline"/>
        </w:rPr>
        <w:t>20</w:t>
      </w:r>
      <w:r>
        <w:rPr>
          <w:rFonts w:hint="eastAsia" w:ascii="Times New Roman" w:hAnsi="Times New Roman" w:eastAsia="宋体" w:cs="Times New Roman"/>
          <w:vertAlign w:val="baseline"/>
          <w:lang w:val="en-US" w:eastAsia="zh-CN"/>
        </w:rPr>
        <w:t>17</w:t>
      </w:r>
      <w:r>
        <w:rPr>
          <w:rFonts w:hint="eastAsia" w:ascii="Times New Roman" w:hAnsi="Times New Roman" w:eastAsia="宋体" w:cs="Times New Roman"/>
          <w:vertAlign w:val="baseline"/>
        </w:rPr>
        <w:t>：</w:t>
      </w:r>
      <w:r>
        <w:rPr>
          <w:rFonts w:hint="eastAsia" w:ascii="Times New Roman" w:hAnsi="Times New Roman" w:eastAsia="宋体" w:cs="Times New Roman"/>
          <w:vertAlign w:val="baseline"/>
          <w:lang w:val="en-US" w:eastAsia="zh-CN"/>
        </w:rPr>
        <w:t>7</w:t>
      </w:r>
      <w:r>
        <w:rPr>
          <w:rFonts w:hint="eastAsia" w:ascii="Times New Roman" w:hAnsi="Times New Roman" w:eastAsia="宋体" w:cs="Times New Roman"/>
          <w:vertAlign w:val="baseline"/>
        </w:rPr>
        <w:t>.</w:t>
      </w:r>
    </w:p>
  </w:footnote>
  <w:footnote w:id="18">
    <w:p w14:paraId="1E35601F">
      <w:pPr>
        <w:pStyle w:val="6"/>
        <w:snapToGrid w:val="0"/>
        <w:rPr>
          <w:vertAlign w:val="baseline"/>
        </w:rPr>
      </w:pPr>
      <w:r>
        <w:rPr>
          <w:rStyle w:val="9"/>
          <w:rFonts w:hint="default" w:ascii="Times New Roman" w:hAnsi="Times New Roman" w:cs="Times New Roman"/>
          <w:sz w:val="21"/>
          <w:vertAlign w:val="baseline"/>
        </w:rPr>
        <w:footnoteRef/>
      </w:r>
      <w:r>
        <w:rPr>
          <w:rFonts w:hint="eastAsia"/>
          <w:vertAlign w:val="baseline"/>
        </w:rPr>
        <w:t>杜尚泽.坚持正确方向创新方法手段提高新闻舆论传播力引导力</w:t>
      </w:r>
      <w:r>
        <w:rPr>
          <w:rFonts w:hint="eastAsia" w:ascii="Times New Roman" w:hAnsi="Times New Roman" w:cs="Times New Roman"/>
          <w:vertAlign w:val="baseline"/>
        </w:rPr>
        <w:t>[N].</w:t>
      </w:r>
      <w:r>
        <w:rPr>
          <w:rFonts w:hint="eastAsia"/>
          <w:vertAlign w:val="baseline"/>
        </w:rPr>
        <w:t>人民日报</w:t>
      </w:r>
      <w:r>
        <w:rPr>
          <w:rFonts w:hint="eastAsia"/>
          <w:vertAlign w:val="baseline"/>
          <w:lang w:eastAsia="zh-CN"/>
        </w:rPr>
        <w:t>，</w:t>
      </w:r>
      <w:r>
        <w:rPr>
          <w:rFonts w:hint="eastAsia" w:ascii="Times New Roman" w:hAnsi="Times New Roman" w:eastAsia="宋体" w:cs="Times New Roman"/>
          <w:szCs w:val="18"/>
          <w:vertAlign w:val="baseline"/>
          <w:lang w:val="en-US" w:eastAsia="zh-CN"/>
        </w:rPr>
        <w:t>2016-02-20(01).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38"/>
    <w:footnote w:id="39"/>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42083"/>
    <w:rsid w:val="7494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keepNext/>
      <w:keepLines/>
      <w:widowControl w:val="0"/>
      <w:spacing w:before="480" w:after="360"/>
      <w:jc w:val="center"/>
      <w:outlineLvl w:val="0"/>
    </w:pPr>
    <w:rPr>
      <w:rFonts w:eastAsia="黑体" w:asciiTheme="minorHAnsi" w:hAnsiTheme="minorHAnsi" w:cstheme="minorBidi"/>
      <w:b/>
      <w:bCs/>
      <w:kern w:val="44"/>
      <w:sz w:val="32"/>
      <w:szCs w:val="44"/>
      <w:lang w:val="en-US" w:eastAsia="zh-CN" w:bidi="ar-SA"/>
    </w:rPr>
  </w:style>
  <w:style w:type="paragraph" w:styleId="3">
    <w:name w:val="heading 2"/>
    <w:next w:val="1"/>
    <w:unhideWhenUsed/>
    <w:qFormat/>
    <w:uiPriority w:val="9"/>
    <w:pPr>
      <w:keepNext/>
      <w:keepLines/>
      <w:widowControl w:val="0"/>
      <w:spacing w:before="480" w:after="120"/>
      <w:jc w:val="left"/>
      <w:outlineLvl w:val="1"/>
    </w:pPr>
    <w:rPr>
      <w:rFonts w:eastAsia="黑体" w:asciiTheme="majorHAnsi" w:hAnsiTheme="majorHAnsi" w:cstheme="majorBidi"/>
      <w:bCs/>
      <w:kern w:val="2"/>
      <w:sz w:val="28"/>
      <w:szCs w:val="32"/>
      <w:lang w:val="en-US" w:eastAsia="zh-CN" w:bidi="ar-SA"/>
    </w:rPr>
  </w:style>
  <w:style w:type="paragraph" w:styleId="4">
    <w:name w:val="heading 3"/>
    <w:next w:val="1"/>
    <w:unhideWhenUsed/>
    <w:qFormat/>
    <w:uiPriority w:val="9"/>
    <w:pPr>
      <w:keepNext/>
      <w:keepLines/>
      <w:widowControl w:val="0"/>
      <w:spacing w:before="240" w:after="120"/>
      <w:jc w:val="left"/>
      <w:outlineLvl w:val="2"/>
    </w:pPr>
    <w:rPr>
      <w:rFonts w:eastAsia="黑体" w:asciiTheme="minorHAnsi" w:hAnsiTheme="minorHAnsi" w:cstheme="minorBidi"/>
      <w:bCs/>
      <w:kern w:val="2"/>
      <w:sz w:val="24"/>
      <w:szCs w:val="32"/>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qFormat/>
    <w:uiPriority w:val="0"/>
    <w:pPr>
      <w:widowControl w:val="0"/>
      <w:tabs>
        <w:tab w:val="center" w:pos="4153"/>
        <w:tab w:val="right" w:pos="8306"/>
      </w:tabs>
      <w:snapToGrid w:val="0"/>
      <w:jc w:val="left"/>
    </w:pPr>
    <w:rPr>
      <w:rFonts w:asciiTheme="minorHAnsi" w:hAnsiTheme="minorHAnsi" w:eastAsiaTheme="minorEastAsia" w:cstheme="minorBidi"/>
      <w:kern w:val="2"/>
      <w:sz w:val="18"/>
      <w:szCs w:val="24"/>
      <w:lang w:val="en-US" w:eastAsia="zh-CN" w:bidi="ar-SA"/>
    </w:rPr>
  </w:style>
  <w:style w:type="paragraph" w:styleId="6">
    <w:name w:val="footnote text"/>
    <w:qFormat/>
    <w:uiPriority w:val="0"/>
    <w:pPr>
      <w:widowControl w:val="0"/>
      <w:snapToGrid w:val="0"/>
      <w:jc w:val="left"/>
    </w:pPr>
    <w:rPr>
      <w:rFonts w:asciiTheme="minorHAnsi" w:hAnsiTheme="minorHAnsi" w:eastAsiaTheme="minorEastAsia" w:cstheme="minorBidi"/>
      <w:kern w:val="2"/>
      <w:sz w:val="18"/>
      <w:szCs w:val="24"/>
      <w:lang w:val="en-US" w:eastAsia="zh-CN" w:bidi="ar-SA"/>
    </w:rPr>
  </w:style>
  <w:style w:type="character" w:styleId="9">
    <w:name w:val="footnote reference"/>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2026-03-30T14:58:00Z</dcterms:created>
  <dc:creator>流年不语殇浅夏</dc:creator>
  <cp:lastModifiedBy>流年不语殇浅夏</cp:lastModifiedBy>
  <dcterms:modified xsi:type="dcterms:W3CDTF">2026-03-30T15:00:19Z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9B12C36DD5B04CCFBF1B5B5C5BDEDAD3_11</vt:lpwstr>
  </property>
  <property fmtid="{D5CDD505-2E9C-101B-9397-08002B2CF9AE}" pid="4" name="KSOTemplateDocerSaveRecord">
    <vt:lpwstr>eyJoZGlkIjoiNGMxNmNjYjExNjk5M2Y4OTAwOTllMjY1YTY2YzkwYWUiLCJ1c2VySWQiOiI2NDUxODI5OTUifQ==</vt:lpwstr>
  </property>
</Properties>
</file>